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PROTOCOLE DSE AUTOMATIQUE</w:t>
      </w:r>
    </w:p>
    <w:p>
      <w:pPr>
        <w:pStyle w:val="Heading2"/>
      </w:pPr>
      <w:r>
        <w:t xml:space="preserve">Cycle 1 sur 3 — Audit avant action et plan soumis à validation</w:t>
      </w:r>
    </w:p>
    <w:p>
      <w:pPr>
        <w:pStyle w:val="Heading2"/>
      </w:pPr>
      <w:r>
        <w:t xml:space="preserve">Conclusion unique</w:t>
      </w:r>
    </w:p>
    <w:p>
      <w:pPr>
        <w:pStyle w:val="Heading1"/>
      </w:pPr>
      <w:r>
        <w:t xml:space="preserve">⛔ VALIDATION SUPER ADMINISTRATEUR REQUISE</w:t>
      </w:r>
    </w:p>
    <w:p>
      <w:pPr>
        <w:pStyle w:val="Normal"/>
      </w:pPr>
      <w:r>
        <w:t xml:space="preserve">Aucune écriture n’a été effectuée. Le présent rapport décrit l’état réel actuel, les anomalies, les éléments manquants et le lot de réparation proposé. Les créations, complétions, liaisons OBJ, modifications de vues et écritures JRN restent suspendues jusqu’à validation explicite du Super Administrateur.</w:t>
      </w:r>
    </w:p>
    <w:p>
      <w:pPr>
        <w:pStyle w:val="Heading1"/>
      </w:pPr>
      <w:r>
        <w:t xml:space="preserve">1. État avant</w:t>
      </w:r>
    </w:p>
    <w:p>
      <w:pPr>
        <w:pStyle w:val="Heading2"/>
      </w:pPr>
      <w:r>
        <w:t xml:space="preserve">Listes auditées</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3120"/>
        <w:gridCol w:w="3120"/>
        <w:gridCol w:w="3120"/>
      </w:tblGrid>
      <w:tr>
        <w:trPr>
          <w:tblHeader/>
        </w:trPr>
        <w:tc>
          <w:tcPr>
            <w:tcW w:w="3120" w:type="dxa"/>
            <w:shd w:val="clear" w:color="auto" w:fill="FCE4D6"/>
          </w:tcPr>
          <w:p>
            <w:r>
              <w:rPr>
                <w:b/>
              </w:rPr>
              <w:t xml:space="preserve">Liste</w:t>
            </w:r>
          </w:p>
        </w:tc>
        <w:tc>
          <w:tcPr>
            <w:tcW w:w="3120" w:type="dxa"/>
            <w:shd w:val="clear" w:color="auto" w:fill="FCE4D6"/>
          </w:tcPr>
          <w:p>
            <w:r>
              <w:rPr>
                <w:b/>
              </w:rPr>
              <w:t xml:space="preserve">Nombre réel lu</w:t>
            </w:r>
          </w:p>
        </w:tc>
        <w:tc>
          <w:tcPr>
            <w:tcW w:w="3120" w:type="dxa"/>
            <w:shd w:val="clear" w:color="auto" w:fill="FCE4D6"/>
          </w:tcPr>
          <w:p>
            <w:r>
              <w:rPr>
                <w:b/>
              </w:rPr>
              <w:t xml:space="preserve">Rôle</w:t>
            </w:r>
          </w:p>
        </w:tc>
      </w:tr>
      <w:tr>
        <w:tc>
          <w:tcPr>
            <w:tcW w:w="3120" w:type="dxa"/>
          </w:tcPr>
          <w:p>
            <w:r>
              <w:t xml:space="preserve">REF - Referentiels</w:t>
            </w:r>
          </w:p>
        </w:tc>
        <w:tc>
          <w:tcPr>
            <w:tcW w:w="3120" w:type="dxa"/>
          </w:tcPr>
          <w:p>
            <w:r>
              <w:t xml:space="preserve">215</w:t>
            </w:r>
          </w:p>
        </w:tc>
        <w:tc>
          <w:tcPr>
            <w:tcW w:w="3120" w:type="dxa"/>
          </w:tcPr>
          <w:p>
            <w:r>
              <w:t xml:space="preserve">REF-N-00</w:t>
            </w:r>
          </w:p>
        </w:tc>
      </w:tr>
      <w:tr>
        <w:tc>
          <w:tcPr>
            <w:tcW w:w="3120" w:type="dxa"/>
          </w:tcPr>
          <w:p>
            <w:r>
              <w:t xml:space="preserve">REF-N-01</w:t>
            </w:r>
          </w:p>
        </w:tc>
        <w:tc>
          <w:tcPr>
            <w:tcW w:w="3120" w:type="dxa"/>
          </w:tcPr>
          <w:p>
            <w:r>
              <w:t xml:space="preserve">17</w:t>
            </w:r>
          </w:p>
        </w:tc>
        <w:tc>
          <w:tcPr>
            <w:tcW w:w="3120" w:type="dxa"/>
          </w:tcPr>
          <w:p>
            <w:r>
              <w:t xml:space="preserve">Familles</w:t>
            </w:r>
          </w:p>
        </w:tc>
      </w:tr>
      <w:tr>
        <w:tc>
          <w:tcPr>
            <w:tcW w:w="3120" w:type="dxa"/>
          </w:tcPr>
          <w:p>
            <w:r>
              <w:t xml:space="preserve">REF-N-02</w:t>
            </w:r>
          </w:p>
        </w:tc>
        <w:tc>
          <w:tcPr>
            <w:tcW w:w="3120" w:type="dxa"/>
          </w:tcPr>
          <w:p>
            <w:r>
              <w:t xml:space="preserve">52</w:t>
            </w:r>
          </w:p>
        </w:tc>
        <w:tc>
          <w:tcPr>
            <w:tcW w:w="3120" w:type="dxa"/>
          </w:tcPr>
          <w:p>
            <w:r>
              <w:t xml:space="preserve">Catégories</w:t>
            </w:r>
          </w:p>
        </w:tc>
      </w:tr>
      <w:tr>
        <w:tc>
          <w:tcPr>
            <w:tcW w:w="3120" w:type="dxa"/>
          </w:tcPr>
          <w:p>
            <w:r>
              <w:t xml:space="preserve">REF-N-03</w:t>
            </w:r>
          </w:p>
        </w:tc>
        <w:tc>
          <w:tcPr>
            <w:tcW w:w="3120" w:type="dxa"/>
          </w:tcPr>
          <w:p>
            <w:r>
              <w:t xml:space="preserve">190</w:t>
            </w:r>
          </w:p>
        </w:tc>
        <w:tc>
          <w:tcPr>
            <w:tcW w:w="3120" w:type="dxa"/>
          </w:tcPr>
          <w:p>
            <w:r>
              <w:t xml:space="preserve">Sous-catégories</w:t>
            </w:r>
          </w:p>
        </w:tc>
      </w:tr>
      <w:tr>
        <w:tc>
          <w:tcPr>
            <w:tcW w:w="3120" w:type="dxa"/>
          </w:tcPr>
          <w:p>
            <w:r>
              <w:t xml:space="preserve">OBJ-OBJETS</w:t>
            </w:r>
          </w:p>
        </w:tc>
        <w:tc>
          <w:tcPr>
            <w:tcW w:w="3120" w:type="dxa"/>
          </w:tcPr>
          <w:p>
            <w:r>
              <w:t xml:space="preserve">5</w:t>
            </w:r>
          </w:p>
        </w:tc>
        <w:tc>
          <w:tcPr>
            <w:tcW w:w="3120" w:type="dxa"/>
          </w:tcPr>
          <w:p>
            <w:r>
              <w:t xml:space="preserve">Registre des objets</w:t>
            </w:r>
          </w:p>
        </w:tc>
      </w:tr>
      <w:tr>
        <w:tc>
          <w:tcPr>
            <w:tcW w:w="3120" w:type="dxa"/>
          </w:tcPr>
          <w:p>
            <w:r>
              <w:t xml:space="preserve">JRN - Journal Global</w:t>
            </w:r>
          </w:p>
        </w:tc>
        <w:tc>
          <w:tcPr>
            <w:tcW w:w="3120" w:type="dxa"/>
          </w:tcPr>
          <w:p>
            <w:r>
              <w:t xml:space="preserve">124</w:t>
            </w:r>
          </w:p>
        </w:tc>
        <w:tc>
          <w:tcPr>
            <w:tcW w:w="3120" w:type="dxa"/>
          </w:tcPr>
          <w:p>
            <w:r>
              <w:t xml:space="preserve">Journalisation</w:t>
            </w:r>
          </w:p>
        </w:tc>
      </w:tr>
    </w:tbl>
    <w:p/>
    <w:p>
      <w:pPr>
        <w:pStyle w:val="Heading2"/>
      </w:pPr>
      <w:r>
        <w:t xml:space="preserve">Anomalie de métadonnée</w:t>
      </w:r>
    </w:p>
    <w:p>
      <w:pPr>
        <w:pStyle w:val="Normal"/>
      </w:pPr>
      <w:r>
        <w:t xml:space="preserve">Le schéma de OBJ-OBJETS annonce un itemCount de 0 tandis que la lecture réelle retourne 5 éléments. L’audit utilise les 5 lignes réellement lues.</w:t>
      </w:r>
    </w:p>
    <w:p>
      <w:pPr>
        <w:pStyle w:val="Heading2"/>
      </w:pPr>
      <w:r>
        <w:t xml:space="preserve">Colonnes</w:t>
      </w:r>
    </w:p>
    <w:p>
      <w:pPr>
        <w:pStyle w:val="ListParagraph"/>
        <w:numPr>
          <w:ilvl w:val="0"/>
          <w:numId w:val="1"/>
        </w:numPr>
      </w:pPr>
      <w:r>
        <w:t xml:space="preserve">Aucun champ Choice ou MultiChoice n’est présent dans les schémas métier contrôlés.</w:t>
      </w:r>
    </w:p>
    <w:p>
      <w:pPr>
        <w:pStyle w:val="ListParagraph"/>
        <w:numPr>
          <w:ilvl w:val="0"/>
          <w:numId w:val="1"/>
        </w:numPr>
      </w:pPr>
      <w:r>
        <w:t xml:space="preserve">Les classifications sont des Lookup ou LookupMulti.</w:t>
      </w:r>
    </w:p>
    <w:p>
      <w:pPr>
        <w:pStyle w:val="ListParagraph"/>
        <w:numPr>
          <w:ilvl w:val="0"/>
          <w:numId w:val="1"/>
        </w:numPr>
      </w:pPr>
      <w:r>
        <w:t xml:space="preserve">OBJ-OBJETS possède quatre Lookup simples vers N-00, N-01, N-02 et N-03.</w:t>
      </w:r>
    </w:p>
    <w:p>
      <w:pPr>
        <w:pStyle w:val="ListParagraph"/>
        <w:numPr>
          <w:ilvl w:val="0"/>
          <w:numId w:val="1"/>
        </w:numPr>
      </w:pPr>
      <w:r>
        <w:t xml:space="preserve">REF-N-00 utilise des LookupMulti obligatoires vers N-01, N-02 et N-03.</w:t>
      </w:r>
    </w:p>
    <w:p>
      <w:pPr>
        <w:pStyle w:val="ListParagraph"/>
        <w:numPr>
          <w:ilvl w:val="0"/>
          <w:numId w:val="1"/>
        </w:numPr>
      </w:pPr>
      <w:r>
        <w:t xml:space="preserve">REF-N-02 relie chaque catégorie à REF-N-01 par Lookup.</w:t>
      </w:r>
    </w:p>
    <w:p>
      <w:pPr>
        <w:pStyle w:val="ListParagraph"/>
        <w:numPr>
          <w:ilvl w:val="0"/>
          <w:numId w:val="1"/>
        </w:numPr>
      </w:pPr>
      <w:r>
        <w:t xml:space="preserve">REF-N-03 relie chaque sous-catégorie à REF-N-01 et REF-N-02 par Lookup.</w:t>
      </w:r>
    </w:p>
    <w:p>
      <w:pPr>
        <w:pStyle w:val="Heading1"/>
      </w:pPr>
      <w:r>
        <w:t xml:space="preserve">2. Doublons et équivalents</w:t>
      </w:r>
    </w:p>
    <w:p>
      <w:pPr>
        <w:pStyle w:val="Heading2"/>
      </w:pPr>
      <w:r>
        <w:t xml:space="preserve">Contrôles sans doublon exact</w:t>
      </w:r>
    </w:p>
    <w:p>
      <w:pPr>
        <w:pStyle w:val="ListParagraph"/>
        <w:numPr>
          <w:ilvl w:val="0"/>
          <w:numId w:val="1"/>
        </w:numPr>
      </w:pPr>
      <w:r>
        <w:t xml:space="preserve">REF-N-01 : 0 doublon de titre normalisé.</w:t>
      </w:r>
    </w:p>
    <w:p>
      <w:pPr>
        <w:pStyle w:val="ListParagraph"/>
        <w:numPr>
          <w:ilvl w:val="0"/>
          <w:numId w:val="1"/>
        </w:numPr>
      </w:pPr>
      <w:r>
        <w:t xml:space="preserve">REF-N-02 : 0 doublon de titre, Code Categorie ou Libelle Categorie.</w:t>
      </w:r>
    </w:p>
    <w:p>
      <w:pPr>
        <w:pStyle w:val="ListParagraph"/>
        <w:numPr>
          <w:ilvl w:val="0"/>
          <w:numId w:val="1"/>
        </w:numPr>
      </w:pPr>
      <w:r>
        <w:t xml:space="preserve">REF-N-03 : 0 doublon de titre ou ID-REF-N-03.</w:t>
      </w:r>
    </w:p>
    <w:p>
      <w:pPr>
        <w:pStyle w:val="ListParagraph"/>
        <w:numPr>
          <w:ilvl w:val="0"/>
          <w:numId w:val="1"/>
        </w:numPr>
      </w:pPr>
      <w:r>
        <w:t xml:space="preserve">REF-N-00 : 0 doublon de titre, ID-REF non vide ou Code Reference non vide.</w:t>
      </w:r>
    </w:p>
    <w:p>
      <w:pPr>
        <w:pStyle w:val="ListParagraph"/>
        <w:numPr>
          <w:ilvl w:val="0"/>
          <w:numId w:val="1"/>
        </w:numPr>
      </w:pPr>
      <w:r>
        <w:t xml:space="preserve">OBJ-OBJETS : 0 doublon d’ID Objet ou de Nom objet.</w:t>
      </w:r>
    </w:p>
    <w:p>
      <w:pPr>
        <w:pStyle w:val="ListParagraph"/>
        <w:numPr>
          <w:ilvl w:val="0"/>
          <w:numId w:val="1"/>
        </w:numPr>
      </w:pPr>
      <w:r>
        <w:t xml:space="preserve">JRN : 0 doublon parmi les Code Journal non vides.</w:t>
      </w:r>
    </w:p>
    <w:p>
      <w:pPr>
        <w:pStyle w:val="Heading2"/>
      </w:pPr>
      <w:r>
        <w:t xml:space="preserve">Équivalents et risques de confusion</w:t>
      </w:r>
    </w:p>
    <w:p>
      <w:pPr>
        <w:pStyle w:val="ListParagraph"/>
        <w:numPr>
          <w:ilvl w:val="0"/>
          <w:numId w:val="1"/>
        </w:numPr>
      </w:pPr>
      <w:r>
        <w:rPr>
          <w:rStyle w:val="Code"/>
        </w:rPr>
        <w:t xml:space="preserve">Type Objet</w:t>
      </w:r>
      <w:r>
        <w:t xml:space="preserve"> existe déjà sous JOURNAL avec le code </w:t>
      </w:r>
      <w:r>
        <w:rPr>
          <w:rStyle w:val="Code"/>
        </w:rPr>
        <w:t xml:space="preserve">JOURNAL-TYPE-OBJET</w:t>
      </w:r>
      <w:r>
        <w:t xml:space="preserve">. Il ne correspond pas au nouvel usage demandé </w:t>
      </w:r>
      <w:r>
        <w:rPr>
          <w:rStyle w:val="Code"/>
        </w:rPr>
        <w:t xml:space="preserve">TYPE REGISTRE OBJET</w:t>
      </w:r>
      <w:r>
        <w:t xml:space="preserve"> sous OBJET.</w:t>
      </w:r>
    </w:p>
    <w:p>
      <w:pPr>
        <w:pStyle w:val="ListParagraph"/>
        <w:numPr>
          <w:ilvl w:val="0"/>
          <w:numId w:val="1"/>
        </w:numPr>
      </w:pPr>
      <w:r>
        <w:rPr>
          <w:rStyle w:val="Code"/>
        </w:rPr>
        <w:t xml:space="preserve">Referentiel</w:t>
      </w:r>
      <w:r>
        <w:t xml:space="preserve">, </w:t>
      </w:r>
      <w:r>
        <w:rPr>
          <w:rStyle w:val="Code"/>
        </w:rPr>
        <w:t xml:space="preserve">Compte</w:t>
      </w:r>
      <w:r>
        <w:t xml:space="preserve"> et </w:t>
      </w:r>
      <w:r>
        <w:rPr>
          <w:rStyle w:val="Code"/>
        </w:rPr>
        <w:t xml:space="preserve">Projet</w:t>
      </w:r>
      <w:r>
        <w:t xml:space="preserve"> existent en REF-N-00, mais leurs codes désignent respectivement un type d’objet de journal et des types d’espace CONFIG. Ils ne doivent pas être réutilisés comme objets métier sans modifier leur sens.</w:t>
      </w:r>
    </w:p>
    <w:p>
      <w:pPr>
        <w:pStyle w:val="ListParagraph"/>
        <w:numPr>
          <w:ilvl w:val="0"/>
          <w:numId w:val="1"/>
        </w:numPr>
      </w:pPr>
      <w:r>
        <w:t xml:space="preserve">La solution proposée distingue les futures valeurs N-00 métier des valeurs techniques existantes afin d’éviter une relation inventée.</w:t>
      </w:r>
    </w:p>
    <w:p>
      <w:pPr>
        <w:pStyle w:val="Heading2"/>
      </w:pPr>
      <w:r>
        <w:t xml:space="preserve">Doublons dans JRN - Journal Global</w:t>
      </w:r>
    </w:p>
    <w:p>
      <w:pPr>
        <w:pStyle w:val="ListParagraph"/>
        <w:numPr>
          <w:ilvl w:val="0"/>
          <w:numId w:val="1"/>
        </w:numPr>
      </w:pPr>
      <w:r>
        <w:t xml:space="preserve">35 groupes de titres dupliqués après normalisation.</w:t>
      </w:r>
    </w:p>
    <w:p>
      <w:pPr>
        <w:pStyle w:val="ListParagraph"/>
        <w:numPr>
          <w:ilvl w:val="0"/>
          <w:numId w:val="1"/>
        </w:numPr>
      </w:pPr>
      <w:r>
        <w:t xml:space="preserve">120 lignes appartiennent à ces groupes.</w:t>
      </w:r>
    </w:p>
    <w:p>
      <w:pPr>
        <w:pStyle w:val="ListParagraph"/>
        <w:numPr>
          <w:ilvl w:val="0"/>
          <w:numId w:val="1"/>
        </w:numPr>
      </w:pPr>
      <w:r>
        <w:t xml:space="preserve">121 lignes n’ont pas de Code Journal.</w:t>
      </w:r>
    </w:p>
    <w:p>
      <w:pPr>
        <w:pStyle w:val="ListParagraph"/>
        <w:numPr>
          <w:ilvl w:val="0"/>
          <w:numId w:val="1"/>
        </w:numPr>
      </w:pPr>
      <w:r>
        <w:t xml:space="preserve">121 lignes n’ont pas de Type Objet REF.</w:t>
      </w:r>
    </w:p>
    <w:p>
      <w:pPr>
        <w:pStyle w:val="ListParagraph"/>
        <w:numPr>
          <w:ilvl w:val="0"/>
          <w:numId w:val="1"/>
        </w:numPr>
      </w:pPr>
      <w:r>
        <w:t xml:space="preserve">64 lignes n’ont pas de DSESourceKey.</w:t>
      </w:r>
    </w:p>
    <w:p>
      <w:pPr>
        <w:pStyle w:val="Normal"/>
      </w:pPr>
      <w:r>
        <w:t xml:space="preserve">Ces anomalies JRN sont préexistantes. Elles ne seront ni supprimées ni corrigées dans ce périmètre. La journalisation du présent protocole devra utiliser un Code Journal et une clé source uniques.</w:t>
      </w:r>
    </w:p>
    <w:p>
      <w:pPr>
        <w:pStyle w:val="Heading1"/>
      </w:pPr>
      <w:r>
        <w:t xml:space="preserve">3. Relations contrôlées</w:t>
      </w:r>
    </w:p>
    <w:p>
      <w:pPr>
        <w:pStyle w:val="Heading2"/>
      </w:pPr>
      <w:r>
        <w:t xml:space="preserve">Chaînes cibles</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4680"/>
        <w:gridCol w:w="4680"/>
      </w:tblGrid>
      <w:tr>
        <w:trPr>
          <w:tblHeader/>
        </w:trPr>
        <w:tc>
          <w:tcPr>
            <w:tcW w:w="4680" w:type="dxa"/>
            <w:shd w:val="clear" w:color="auto" w:fill="FCE4D6"/>
          </w:tcPr>
          <w:p>
            <w:r>
              <w:rPr>
                <w:b/>
              </w:rPr>
              <w:t xml:space="preserve">Chaîne</w:t>
            </w:r>
          </w:p>
        </w:tc>
        <w:tc>
          <w:tcPr>
            <w:tcW w:w="4680" w:type="dxa"/>
            <w:shd w:val="clear" w:color="auto" w:fill="FCE4D6"/>
          </w:tcPr>
          <w:p>
            <w:r>
              <w:rPr>
                <w:b/>
              </w:rPr>
              <w:t xml:space="preserve">État actuel</w:t>
            </w:r>
          </w:p>
        </w:tc>
      </w:tr>
      <w:tr>
        <w:tc>
          <w:tcPr>
            <w:tcW w:w="4680" w:type="dxa"/>
          </w:tcPr>
          <w:p>
            <w:r>
              <w:t xml:space="preserve">REFERENTIEL → TYPE REFERENTIEL → Référentiel</w:t>
            </w:r>
          </w:p>
        </w:tc>
        <w:tc>
          <w:tcPr>
            <w:tcW w:w="4680" w:type="dxa"/>
          </w:tcPr>
          <w:p>
            <w:r>
              <w:t xml:space="preserve">Entièrement manquante</w:t>
            </w:r>
          </w:p>
        </w:tc>
      </w:tr>
      <w:tr>
        <w:tc>
          <w:tcPr>
            <w:tcW w:w="4680" w:type="dxa"/>
          </w:tcPr>
          <w:p>
            <w:r>
              <w:t xml:space="preserve">OBJET → TYPE REGISTRE OBJET → Objet</w:t>
            </w:r>
          </w:p>
        </w:tc>
        <w:tc>
          <w:tcPr>
            <w:tcW w:w="4680" w:type="dxa"/>
          </w:tcPr>
          <w:p>
            <w:r>
              <w:t xml:space="preserve">Entièrement manquante</w:t>
            </w:r>
          </w:p>
        </w:tc>
      </w:tr>
      <w:tr>
        <w:tc>
          <w:tcPr>
            <w:tcW w:w="4680" w:type="dxa"/>
          </w:tcPr>
          <w:p>
            <w:r>
              <w:t xml:space="preserve">JOURNAL → TYPE JOURNAL → Journal Global</w:t>
            </w:r>
          </w:p>
        </w:tc>
        <w:tc>
          <w:tcPr>
            <w:tcW w:w="4680" w:type="dxa"/>
          </w:tcPr>
          <w:p>
            <w:r>
              <w:t xml:space="preserve">JOURNAL existe ; N-02 et N-03 manquent</w:t>
            </w:r>
          </w:p>
        </w:tc>
      </w:tr>
      <w:tr>
        <w:tc>
          <w:tcPr>
            <w:tcW w:w="4680" w:type="dxa"/>
          </w:tcPr>
          <w:p>
            <w:r>
              <w:t xml:space="preserve">COMPTE → TYPE COMPTE → Compte</w:t>
            </w:r>
          </w:p>
        </w:tc>
        <w:tc>
          <w:tcPr>
            <w:tcW w:w="4680" w:type="dxa"/>
          </w:tcPr>
          <w:p>
            <w:r>
              <w:t xml:space="preserve">COMPTE et Compte existent ; TYPE COMPTE et le lien N-03→N-02 manquent</w:t>
            </w:r>
          </w:p>
        </w:tc>
      </w:tr>
      <w:tr>
        <w:tc>
          <w:tcPr>
            <w:tcW w:w="4680" w:type="dxa"/>
          </w:tcPr>
          <w:p>
            <w:r>
              <w:t xml:space="preserve">PROJET → Type Projet → Projet</w:t>
            </w:r>
          </w:p>
        </w:tc>
        <w:tc>
          <w:tcPr>
            <w:tcW w:w="4680" w:type="dxa"/>
          </w:tcPr>
          <w:p>
            <w:r>
              <w:t xml:space="preserve">Les trois valeurs existent ; Projet n’est pas relié à Type Projet</w:t>
            </w:r>
          </w:p>
        </w:tc>
      </w:tr>
    </w:tbl>
    <w:p/>
    <w:p>
      <w:pPr>
        <w:pStyle w:val="Heading2"/>
      </w:pPr>
      <w:r>
        <w:t xml:space="preserve">Orphelins</w:t>
      </w:r>
    </w:p>
    <w:p>
      <w:pPr>
        <w:pStyle w:val="ListParagraph"/>
        <w:numPr>
          <w:ilvl w:val="0"/>
          <w:numId w:val="1"/>
        </w:numPr>
      </w:pPr>
      <w:r>
        <w:t xml:space="preserve">REF-N-02 : 0 catégorie sans famille.</w:t>
      </w:r>
    </w:p>
    <w:p>
      <w:pPr>
        <w:pStyle w:val="ListParagraph"/>
        <w:numPr>
          <w:ilvl w:val="0"/>
          <w:numId w:val="1"/>
        </w:numPr>
      </w:pPr>
      <w:r>
        <w:t xml:space="preserve">REF-N-03 : 0 sous-catégorie sans famille, mais 159 sous-catégories sans catégorie.</w:t>
      </w:r>
    </w:p>
    <w:p>
      <w:pPr>
        <w:pStyle w:val="ListParagraph"/>
        <w:numPr>
          <w:ilvl w:val="0"/>
          <w:numId w:val="1"/>
        </w:numPr>
      </w:pPr>
      <w:r>
        <w:t xml:space="preserve">Compte et Projet font partie des sous-catégories sans catégorie.</w:t>
      </w:r>
    </w:p>
    <w:p>
      <w:pPr>
        <w:pStyle w:val="ListParagraph"/>
        <w:numPr>
          <w:ilvl w:val="0"/>
          <w:numId w:val="1"/>
        </w:numPr>
      </w:pPr>
      <w:r>
        <w:t xml:space="preserve">REF-N-00 : les valeurs techniques Referentiel, Compte et Projet ne possèdent aucun lien N-01/N-02/N-03.</w:t>
      </w:r>
    </w:p>
    <w:p>
      <w:pPr>
        <w:pStyle w:val="ListParagraph"/>
        <w:numPr>
          <w:ilvl w:val="0"/>
          <w:numId w:val="1"/>
        </w:numPr>
      </w:pPr>
      <w:r>
        <w:t xml:space="preserve">OBJ-OBJETS : les cinq objets ont leurs quatre Lookup REF vides.</w:t>
      </w:r>
    </w:p>
    <w:p>
      <w:pPr>
        <w:pStyle w:val="Heading1"/>
      </w:pPr>
      <w:r>
        <w:t xml:space="preserve">4. Éléments manquants</w:t>
      </w:r>
    </w:p>
    <w:p>
      <w:pPr>
        <w:pStyle w:val="Heading2"/>
      </w:pPr>
      <w:r>
        <w:t xml:space="preserve">REF-N-01</w:t>
      </w:r>
    </w:p>
    <w:p>
      <w:pPr>
        <w:pStyle w:val="Normal"/>
      </w:pPr>
      <w:r>
        <w:t xml:space="preserve">À créer :</w:t>
      </w:r>
    </w:p>
    <w:p>
      <w:pPr>
        <w:pStyle w:val="ListParagraph"/>
        <w:numPr>
          <w:ilvl w:val="0"/>
          <w:numId w:val="2"/>
        </w:numPr>
      </w:pPr>
      <w:r>
        <w:t xml:space="preserve">REFERENTIEL</w:t>
      </w:r>
    </w:p>
    <w:p>
      <w:pPr>
        <w:pStyle w:val="ListParagraph"/>
        <w:numPr>
          <w:ilvl w:val="0"/>
          <w:numId w:val="2"/>
        </w:numPr>
      </w:pPr>
      <w:r>
        <w:t xml:space="preserve">OBJET</w:t>
      </w:r>
    </w:p>
    <w:p>
      <w:pPr>
        <w:pStyle w:val="Normal"/>
      </w:pPr>
      <w:r>
        <w:t xml:space="preserve">À réutiliser : JOURNAL, COMPTE et PROJET.</w:t>
      </w:r>
    </w:p>
    <w:p>
      <w:pPr>
        <w:pStyle w:val="Normal"/>
      </w:pPr>
      <w:r>
        <w:t xml:space="preserve">Les familles protégées </w:t>
      </w:r>
      <w:r>
        <w:rPr>
          <w:rStyle w:val="Code"/>
        </w:rPr>
        <w:t xml:space="preserve">FAM - ZIMMER</w:t>
      </w:r>
      <w:r>
        <w:t xml:space="preserve"> et </w:t>
      </w:r>
      <w:r>
        <w:rPr>
          <w:rStyle w:val="Code"/>
        </w:rPr>
        <w:t xml:space="preserve">FAM - WILLIG</w:t>
      </w:r>
      <w:r>
        <w:t xml:space="preserve"> n’ont pas été trouvées dans REF-N-01. Le plan ne cible aucun élément portant ces noms ou un nom équivalent.</w:t>
      </w:r>
    </w:p>
    <w:p>
      <w:pPr>
        <w:pStyle w:val="Heading2"/>
      </w:pPr>
      <w:r>
        <w:t xml:space="preserve">REF-N-02</w:t>
      </w:r>
    </w:p>
    <w:p>
      <w:pPr>
        <w:pStyle w:val="Normal"/>
      </w:pPr>
      <w:r>
        <w:t xml:space="preserve">À créer :</w:t>
      </w:r>
    </w:p>
    <w:p>
      <w:pPr>
        <w:pStyle w:val="ListParagraph"/>
        <w:numPr>
          <w:ilvl w:val="0"/>
          <w:numId w:val="2"/>
        </w:numPr>
      </w:pPr>
      <w:r>
        <w:t xml:space="preserve">TYPE REFERENTIEL → famille REFERENTIEL</w:t>
      </w:r>
    </w:p>
    <w:p>
      <w:pPr>
        <w:pStyle w:val="ListParagraph"/>
        <w:numPr>
          <w:ilvl w:val="0"/>
          <w:numId w:val="2"/>
        </w:numPr>
      </w:pPr>
      <w:r>
        <w:t xml:space="preserve">TYPE REGISTRE OBJET → famille OBJET</w:t>
      </w:r>
    </w:p>
    <w:p>
      <w:pPr>
        <w:pStyle w:val="ListParagraph"/>
        <w:numPr>
          <w:ilvl w:val="0"/>
          <w:numId w:val="2"/>
        </w:numPr>
      </w:pPr>
      <w:r>
        <w:t xml:space="preserve">TYPE JOURNAL → famille JOURNAL</w:t>
      </w:r>
    </w:p>
    <w:p>
      <w:pPr>
        <w:pStyle w:val="ListParagraph"/>
        <w:numPr>
          <w:ilvl w:val="0"/>
          <w:numId w:val="2"/>
        </w:numPr>
      </w:pPr>
      <w:r>
        <w:t xml:space="preserve">TYPE COMPTE → famille COMPTE</w:t>
      </w:r>
    </w:p>
    <w:p>
      <w:pPr>
        <w:pStyle w:val="Normal"/>
      </w:pPr>
      <w:r>
        <w:t xml:space="preserve">À réutiliser :</w:t>
      </w:r>
    </w:p>
    <w:p>
      <w:pPr>
        <w:pStyle w:val="ListParagraph"/>
        <w:numPr>
          <w:ilvl w:val="0"/>
          <w:numId w:val="1"/>
        </w:numPr>
      </w:pPr>
      <w:r>
        <w:t xml:space="preserve">Type Projet, ID 31, code </w:t>
      </w:r>
      <w:r>
        <w:rPr>
          <w:rStyle w:val="Code"/>
        </w:rPr>
        <w:t xml:space="preserve">PROJET-TYPE-PROJET</w:t>
      </w:r>
      <w:r>
        <w:t xml:space="preserve">, famille PROJET.</w:t>
      </w:r>
    </w:p>
    <w:p>
      <w:pPr>
        <w:pStyle w:val="Heading2"/>
      </w:pPr>
      <w:r>
        <w:t xml:space="preserve">REF-N-03</w:t>
      </w:r>
    </w:p>
    <w:p>
      <w:pPr>
        <w:pStyle w:val="Normal"/>
      </w:pPr>
      <w:r>
        <w:t xml:space="preserve">À créer :</w:t>
      </w:r>
    </w:p>
    <w:p>
      <w:pPr>
        <w:pStyle w:val="ListParagraph"/>
        <w:numPr>
          <w:ilvl w:val="0"/>
          <w:numId w:val="2"/>
        </w:numPr>
      </w:pPr>
      <w:r>
        <w:t xml:space="preserve">Référentiel → REFERENTIEL / TYPE REFERENTIEL</w:t>
      </w:r>
    </w:p>
    <w:p>
      <w:pPr>
        <w:pStyle w:val="ListParagraph"/>
        <w:numPr>
          <w:ilvl w:val="0"/>
          <w:numId w:val="2"/>
        </w:numPr>
      </w:pPr>
      <w:r>
        <w:t xml:space="preserve">Objet → OBJET / TYPE REGISTRE OBJET</w:t>
      </w:r>
    </w:p>
    <w:p>
      <w:pPr>
        <w:pStyle w:val="ListParagraph"/>
        <w:numPr>
          <w:ilvl w:val="0"/>
          <w:numId w:val="2"/>
        </w:numPr>
      </w:pPr>
      <w:r>
        <w:t xml:space="preserve">Journal Global → JOURNAL / TYPE JOURNAL</w:t>
      </w:r>
    </w:p>
    <w:p>
      <w:pPr>
        <w:pStyle w:val="Normal"/>
      </w:pPr>
      <w:r>
        <w:t xml:space="preserve">Identifiants proposés, d’après le maximum actuel 205 :</w:t>
      </w:r>
    </w:p>
    <w:p>
      <w:pPr>
        <w:pStyle w:val="ListParagraph"/>
        <w:numPr>
          <w:ilvl w:val="0"/>
          <w:numId w:val="1"/>
        </w:numPr>
      </w:pPr>
      <w:r>
        <w:rPr>
          <w:rStyle w:val="Code"/>
        </w:rPr>
        <w:t xml:space="preserve">ID-REF-N-03-00206</w:t>
      </w:r>
    </w:p>
    <w:p>
      <w:pPr>
        <w:pStyle w:val="ListParagraph"/>
        <w:numPr>
          <w:ilvl w:val="0"/>
          <w:numId w:val="1"/>
        </w:numPr>
      </w:pPr>
      <w:r>
        <w:rPr>
          <w:rStyle w:val="Code"/>
        </w:rPr>
        <w:t xml:space="preserve">ID-REF-N-03-00207</w:t>
      </w:r>
    </w:p>
    <w:p>
      <w:pPr>
        <w:pStyle w:val="ListParagraph"/>
        <w:numPr>
          <w:ilvl w:val="0"/>
          <w:numId w:val="1"/>
        </w:numPr>
      </w:pPr>
      <w:r>
        <w:rPr>
          <w:rStyle w:val="Code"/>
        </w:rPr>
        <w:t xml:space="preserve">ID-REF-N-03-00208</w:t>
      </w:r>
    </w:p>
    <w:p>
      <w:pPr>
        <w:pStyle w:val="Normal"/>
      </w:pPr>
      <w:r>
        <w:t xml:space="preserve">Quinze anciens numéros sont absents de la séquence. Le plan ne les réutilise pas afin d’éviter la réattribution d’identifiants historiques.</w:t>
      </w:r>
    </w:p>
    <w:p>
      <w:pPr>
        <w:pStyle w:val="Normal"/>
      </w:pPr>
      <w:r>
        <w:t xml:space="preserve">À compléter sans recréer :</w:t>
      </w:r>
    </w:p>
    <w:p>
      <w:pPr>
        <w:pStyle w:val="ListParagraph"/>
        <w:numPr>
          <w:ilvl w:val="0"/>
          <w:numId w:val="1"/>
        </w:numPr>
      </w:pPr>
      <w:r>
        <w:t xml:space="preserve">Compte, ID 20, </w:t>
      </w:r>
      <w:r>
        <w:rPr>
          <w:rStyle w:val="Code"/>
        </w:rPr>
        <w:t xml:space="preserve">ID-REF-N-03-00020</w:t>
      </w:r>
      <w:r>
        <w:t xml:space="preserve"> : ajouter TYPE COMPTE comme catégorie, conserver COMPTE comme famille.</w:t>
      </w:r>
    </w:p>
    <w:p>
      <w:pPr>
        <w:pStyle w:val="ListParagraph"/>
        <w:numPr>
          <w:ilvl w:val="0"/>
          <w:numId w:val="1"/>
        </w:numPr>
      </w:pPr>
      <w:r>
        <w:t xml:space="preserve">Projet, ID 5, </w:t>
      </w:r>
      <w:r>
        <w:rPr>
          <w:rStyle w:val="Code"/>
        </w:rPr>
        <w:t xml:space="preserve">ID-REF-N-03-00005</w:t>
      </w:r>
      <w:r>
        <w:t xml:space="preserve"> : ajouter Type Projet comme catégorie, conserver PROJET comme famille.</w:t>
      </w:r>
    </w:p>
    <w:p>
      <w:pPr>
        <w:pStyle w:val="Heading2"/>
      </w:pPr>
      <w:r>
        <w:t xml:space="preserve">REF-N-00</w:t>
      </w:r>
    </w:p>
    <w:p>
      <w:pPr>
        <w:pStyle w:val="Normal"/>
      </w:pPr>
      <w:r>
        <w:t xml:space="preserve">Cinq valeurs métier distinctes sont nécessaires. Les valeurs techniques existantes Referentiel, Compte et Projet ne sont pas conformes à cet usage et ne seront pas modifiées.</w:t>
      </w:r>
    </w:p>
    <w:p>
      <w:pPr>
        <w:pStyle w:val="Normal"/>
      </w:pPr>
      <w:r>
        <w:t xml:space="preserve">Proposition soumise à validation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Titre N-00 proposé</w:t>
            </w:r>
          </w:p>
        </w:tc>
        <w:tc>
          <w:tcPr>
            <w:tcW w:w="2340" w:type="dxa"/>
            <w:shd w:val="clear" w:color="auto" w:fill="FCE4D6"/>
          </w:tcPr>
          <w:p>
            <w:r>
              <w:rPr>
                <w:b/>
              </w:rPr>
              <w:t xml:space="preserve">ID-REF proposé</w:t>
            </w:r>
          </w:p>
        </w:tc>
        <w:tc>
          <w:tcPr>
            <w:tcW w:w="2340" w:type="dxa"/>
            <w:shd w:val="clear" w:color="auto" w:fill="FCE4D6"/>
          </w:tcPr>
          <w:p>
            <w:r>
              <w:rPr>
                <w:b/>
              </w:rPr>
              <w:t xml:space="preserve">Code Reference proposé</w:t>
            </w:r>
          </w:p>
        </w:tc>
        <w:tc>
          <w:tcPr>
            <w:tcW w:w="2340" w:type="dxa"/>
            <w:shd w:val="clear" w:color="auto" w:fill="FCE4D6"/>
          </w:tcPr>
          <w:p>
            <w:r>
              <w:rPr>
                <w:b/>
              </w:rPr>
              <w:t xml:space="preserve">Chaîne</w:t>
            </w:r>
          </w:p>
        </w:tc>
      </w:tr>
      <w:tr>
        <w:tc>
          <w:tcPr>
            <w:tcW w:w="2340" w:type="dxa"/>
          </w:tcPr>
          <w:p>
            <w:r>
              <w:t xml:space="preserve">Objet DSE - Référentiel</w:t>
            </w:r>
          </w:p>
        </w:tc>
        <w:tc>
          <w:tcPr>
            <w:tcW w:w="2340" w:type="dxa"/>
          </w:tcPr>
          <w:p>
            <w:r>
              <w:t xml:space="preserve">REF-TYPE-OBJET-DSE-REFERENTIEL</w:t>
            </w:r>
          </w:p>
        </w:tc>
        <w:tc>
          <w:tcPr>
            <w:tcW w:w="2340" w:type="dxa"/>
          </w:tcPr>
          <w:p>
            <w:r>
              <w:t xml:space="preserve">OBJET-DSE-REFERENTIEL</w:t>
            </w:r>
          </w:p>
        </w:tc>
        <w:tc>
          <w:tcPr>
            <w:tcW w:w="2340" w:type="dxa"/>
          </w:tcPr>
          <w:p>
            <w:r>
              <w:t xml:space="preserve">REFERENTIEL / TYPE REFERENTIEL / Référentiel</w:t>
            </w:r>
          </w:p>
        </w:tc>
      </w:tr>
      <w:tr>
        <w:tc>
          <w:tcPr>
            <w:tcW w:w="2340" w:type="dxa"/>
          </w:tcPr>
          <w:p>
            <w:r>
              <w:t xml:space="preserve">Objet DSE - Registre Objet</w:t>
            </w:r>
          </w:p>
        </w:tc>
        <w:tc>
          <w:tcPr>
            <w:tcW w:w="2340" w:type="dxa"/>
          </w:tcPr>
          <w:p>
            <w:r>
              <w:t xml:space="preserve">REF-TYPE-OBJET-DSE-REGISTRE-OBJET</w:t>
            </w:r>
          </w:p>
        </w:tc>
        <w:tc>
          <w:tcPr>
            <w:tcW w:w="2340" w:type="dxa"/>
          </w:tcPr>
          <w:p>
            <w:r>
              <w:t xml:space="preserve">OBJET-DSE-REGISTRE-OBJET</w:t>
            </w:r>
          </w:p>
        </w:tc>
        <w:tc>
          <w:tcPr>
            <w:tcW w:w="2340" w:type="dxa"/>
          </w:tcPr>
          <w:p>
            <w:r>
              <w:t xml:space="preserve">OBJET / TYPE REGISTRE OBJET / Objet</w:t>
            </w:r>
          </w:p>
        </w:tc>
      </w:tr>
      <w:tr>
        <w:tc>
          <w:tcPr>
            <w:tcW w:w="2340" w:type="dxa"/>
          </w:tcPr>
          <w:p>
            <w:r>
              <w:t xml:space="preserve">Objet DSE - Journal Global</w:t>
            </w:r>
          </w:p>
        </w:tc>
        <w:tc>
          <w:tcPr>
            <w:tcW w:w="2340" w:type="dxa"/>
          </w:tcPr>
          <w:p>
            <w:r>
              <w:t xml:space="preserve">REF-TYPE-OBJET-DSE-JOURNAL-GLOBAL</w:t>
            </w:r>
          </w:p>
        </w:tc>
        <w:tc>
          <w:tcPr>
            <w:tcW w:w="2340" w:type="dxa"/>
          </w:tcPr>
          <w:p>
            <w:r>
              <w:t xml:space="preserve">OBJET-DSE-JOURNAL-GLOBAL</w:t>
            </w:r>
          </w:p>
        </w:tc>
        <w:tc>
          <w:tcPr>
            <w:tcW w:w="2340" w:type="dxa"/>
          </w:tcPr>
          <w:p>
            <w:r>
              <w:t xml:space="preserve">JOURNAL / TYPE JOURNAL / Journal Global</w:t>
            </w:r>
          </w:p>
        </w:tc>
      </w:tr>
      <w:tr>
        <w:tc>
          <w:tcPr>
            <w:tcW w:w="2340" w:type="dxa"/>
          </w:tcPr>
          <w:p>
            <w:r>
              <w:t xml:space="preserve">Objet DSE - Compte</w:t>
            </w:r>
          </w:p>
        </w:tc>
        <w:tc>
          <w:tcPr>
            <w:tcW w:w="2340" w:type="dxa"/>
          </w:tcPr>
          <w:p>
            <w:r>
              <w:t xml:space="preserve">REF-TYPE-OBJET-DSE-COMPTE</w:t>
            </w:r>
          </w:p>
        </w:tc>
        <w:tc>
          <w:tcPr>
            <w:tcW w:w="2340" w:type="dxa"/>
          </w:tcPr>
          <w:p>
            <w:r>
              <w:t xml:space="preserve">OBJET-DSE-COMPTE</w:t>
            </w:r>
          </w:p>
        </w:tc>
        <w:tc>
          <w:tcPr>
            <w:tcW w:w="2340" w:type="dxa"/>
          </w:tcPr>
          <w:p>
            <w:r>
              <w:t xml:space="preserve">COMPTE / TYPE COMPTE / Compte</w:t>
            </w:r>
          </w:p>
        </w:tc>
      </w:tr>
      <w:tr>
        <w:tc>
          <w:tcPr>
            <w:tcW w:w="2340" w:type="dxa"/>
          </w:tcPr>
          <w:p>
            <w:r>
              <w:t xml:space="preserve">Objet DSE - Projet</w:t>
            </w:r>
          </w:p>
        </w:tc>
        <w:tc>
          <w:tcPr>
            <w:tcW w:w="2340" w:type="dxa"/>
          </w:tcPr>
          <w:p>
            <w:r>
              <w:t xml:space="preserve">REF-TYPE-OBJET-DSE-PROJET</w:t>
            </w:r>
          </w:p>
        </w:tc>
        <w:tc>
          <w:tcPr>
            <w:tcW w:w="2340" w:type="dxa"/>
          </w:tcPr>
          <w:p>
            <w:r>
              <w:t xml:space="preserve">OBJET-DSE-PROJET</w:t>
            </w:r>
          </w:p>
        </w:tc>
        <w:tc>
          <w:tcPr>
            <w:tcW w:w="2340" w:type="dxa"/>
          </w:tcPr>
          <w:p>
            <w:r>
              <w:t xml:space="preserve">PROJET / Type Projet / Projet</w:t>
            </w:r>
          </w:p>
        </w:tc>
      </w:tr>
    </w:tbl>
    <w:p/>
    <w:p>
      <w:pPr>
        <w:pStyle w:val="Normal"/>
      </w:pPr>
      <w:r>
        <w:t xml:space="preserve">Ces titres sont volontairement distincts des valeurs techniques existantes.</w:t>
      </w:r>
    </w:p>
    <w:p>
      <w:pPr>
        <w:pStyle w:val="Heading1"/>
      </w:pPr>
      <w:r>
        <w:t xml:space="preserve">5. Réparations proposées</w:t>
      </w:r>
    </w:p>
    <w:p>
      <w:pPr>
        <w:pStyle w:val="Heading2"/>
      </w:pPr>
      <w:r>
        <w:t xml:space="preserve">Ordre d’exécution validable</w:t>
      </w:r>
    </w:p>
    <w:p>
      <w:pPr>
        <w:pStyle w:val="Heading3"/>
      </w:pPr>
      <w:r>
        <w:t xml:space="preserve">Phase A — REF-N-01</w:t>
      </w:r>
    </w:p>
    <w:p>
      <w:pPr>
        <w:pStyle w:val="ListParagraph"/>
        <w:numPr>
          <w:ilvl w:val="0"/>
          <w:numId w:val="1"/>
        </w:numPr>
      </w:pPr>
      <w:r>
        <w:t xml:space="preserve">Créer REFERENTIEL et OBJET.</w:t>
      </w:r>
    </w:p>
    <w:p>
      <w:pPr>
        <w:pStyle w:val="ListParagraph"/>
        <w:numPr>
          <w:ilvl w:val="0"/>
          <w:numId w:val="1"/>
        </w:numPr>
      </w:pPr>
      <w:r>
        <w:t xml:space="preserve">Actif = Oui.</w:t>
      </w:r>
    </w:p>
    <w:p>
      <w:pPr>
        <w:pStyle w:val="ListParagraph"/>
        <w:numPr>
          <w:ilvl w:val="0"/>
          <w:numId w:val="1"/>
        </w:numPr>
      </w:pPr>
      <w:r>
        <w:t xml:space="preserve">Verrouille = Oui, cohérent avec les familles existantes.</w:t>
      </w:r>
    </w:p>
    <w:p>
      <w:pPr>
        <w:pStyle w:val="ListParagraph"/>
        <w:numPr>
          <w:ilvl w:val="0"/>
          <w:numId w:val="1"/>
        </w:numPr>
      </w:pPr>
      <w:r>
        <w:t xml:space="preserve">Notes de gouvernance renseignées.</w:t>
      </w:r>
    </w:p>
    <w:p>
      <w:pPr>
        <w:pStyle w:val="Heading3"/>
      </w:pPr>
      <w:r>
        <w:t xml:space="preserve">Phase B — REF-N-02</w:t>
      </w:r>
    </w:p>
    <w:p>
      <w:pPr>
        <w:pStyle w:val="Normal"/>
      </w:pPr>
      <w:r>
        <w:t xml:space="preserve">Créer quatre catégories avec les codes sémantiques proposés :</w:t>
      </w:r>
    </w:p>
    <w:p>
      <w:pPr>
        <w:pStyle w:val="ListParagraph"/>
        <w:numPr>
          <w:ilvl w:val="0"/>
          <w:numId w:val="1"/>
        </w:numPr>
      </w:pPr>
      <w:r>
        <w:rPr>
          <w:rStyle w:val="Code"/>
        </w:rPr>
        <w:t xml:space="preserve">REFERENTIEL-TYPE-REFERENTIEL</w:t>
      </w:r>
    </w:p>
    <w:p>
      <w:pPr>
        <w:pStyle w:val="ListParagraph"/>
        <w:numPr>
          <w:ilvl w:val="0"/>
          <w:numId w:val="1"/>
        </w:numPr>
      </w:pPr>
      <w:r>
        <w:rPr>
          <w:rStyle w:val="Code"/>
        </w:rPr>
        <w:t xml:space="preserve">OBJET-TYPE-REGISTRE-OBJET</w:t>
      </w:r>
    </w:p>
    <w:p>
      <w:pPr>
        <w:pStyle w:val="ListParagraph"/>
        <w:numPr>
          <w:ilvl w:val="0"/>
          <w:numId w:val="1"/>
        </w:numPr>
      </w:pPr>
      <w:r>
        <w:rPr>
          <w:rStyle w:val="Code"/>
        </w:rPr>
        <w:t xml:space="preserve">JOURNAL-TYPE-JOURNAL</w:t>
      </w:r>
    </w:p>
    <w:p>
      <w:pPr>
        <w:pStyle w:val="ListParagraph"/>
        <w:numPr>
          <w:ilvl w:val="0"/>
          <w:numId w:val="1"/>
        </w:numPr>
      </w:pPr>
      <w:r>
        <w:rPr>
          <w:rStyle w:val="Code"/>
        </w:rPr>
        <w:t xml:space="preserve">COMPTE-TYPE-COMPTE</w:t>
      </w:r>
    </w:p>
    <w:p>
      <w:pPr>
        <w:pStyle w:val="Normal"/>
      </w:pPr>
      <w:r>
        <w:t xml:space="preserve">Chaque catégorie sera active, reliée à sa famille et dotée d’un libellé unique identique au titre. Type Projet sera réutilisé sans modification.</w:t>
      </w:r>
    </w:p>
    <w:p>
      <w:pPr>
        <w:pStyle w:val="Heading3"/>
      </w:pPr>
      <w:r>
        <w:t xml:space="preserve">Phase C — REF-N-03</w:t>
      </w:r>
    </w:p>
    <w:p>
      <w:pPr>
        <w:pStyle w:val="ListParagraph"/>
        <w:numPr>
          <w:ilvl w:val="0"/>
          <w:numId w:val="1"/>
        </w:numPr>
      </w:pPr>
      <w:r>
        <w:t xml:space="preserve">Créer Référentiel, Objet et Journal Global avec les identifiants 00206 à 00208.</w:t>
      </w:r>
    </w:p>
    <w:p>
      <w:pPr>
        <w:pStyle w:val="ListParagraph"/>
        <w:numPr>
          <w:ilvl w:val="0"/>
          <w:numId w:val="1"/>
        </w:numPr>
      </w:pPr>
      <w:r>
        <w:t xml:space="preserve">Compléter uniquement les relations de Compte et Projet.</w:t>
      </w:r>
    </w:p>
    <w:p>
      <w:pPr>
        <w:pStyle w:val="ListParagraph"/>
        <w:numPr>
          <w:ilvl w:val="0"/>
          <w:numId w:val="1"/>
        </w:numPr>
      </w:pPr>
      <w:r>
        <w:t xml:space="preserve">Ne modifier aucun identifiant existant.</w:t>
      </w:r>
    </w:p>
    <w:p>
      <w:pPr>
        <w:pStyle w:val="Heading3"/>
      </w:pPr>
      <w:r>
        <w:t xml:space="preserve">Phase D — REF-N-00</w:t>
      </w:r>
    </w:p>
    <w:p>
      <w:pPr>
        <w:pStyle w:val="ListParagraph"/>
        <w:numPr>
          <w:ilvl w:val="0"/>
          <w:numId w:val="1"/>
        </w:numPr>
      </w:pPr>
      <w:r>
        <w:t xml:space="preserve">Créer les cinq valeurs métier distinctes proposées.</w:t>
      </w:r>
    </w:p>
    <w:p>
      <w:pPr>
        <w:pStyle w:val="ListParagraph"/>
        <w:numPr>
          <w:ilvl w:val="0"/>
          <w:numId w:val="1"/>
        </w:numPr>
      </w:pPr>
      <w:r>
        <w:t xml:space="preserve">Relier chacune à sa famille, sa catégorie et sa sous-catégorie.</w:t>
      </w:r>
    </w:p>
    <w:p>
      <w:pPr>
        <w:pStyle w:val="ListParagraph"/>
        <w:numPr>
          <w:ilvl w:val="0"/>
          <w:numId w:val="1"/>
        </w:numPr>
      </w:pPr>
      <w:r>
        <w:t xml:space="preserve">Actif = Oui.</w:t>
      </w:r>
    </w:p>
    <w:p>
      <w:pPr>
        <w:pStyle w:val="ListParagraph"/>
        <w:numPr>
          <w:ilvl w:val="0"/>
          <w:numId w:val="1"/>
        </w:numPr>
      </w:pPr>
      <w:r>
        <w:t xml:space="preserve">Renseigner ID-REF, Code Reference et Notes.</w:t>
      </w:r>
    </w:p>
    <w:p>
      <w:pPr>
        <w:pStyle w:val="ListParagraph"/>
        <w:numPr>
          <w:ilvl w:val="0"/>
          <w:numId w:val="1"/>
        </w:numPr>
      </w:pPr>
      <w:r>
        <w:t xml:space="preserve">Ne pas modifier les valeurs techniques existantes.</w:t>
      </w:r>
    </w:p>
    <w:p>
      <w:pPr>
        <w:pStyle w:val="Heading3"/>
      </w:pPr>
      <w:r>
        <w:t xml:space="preserve">Phase E — OBJ-OBJETS</w:t>
      </w:r>
    </w:p>
    <w:p>
      <w:pPr>
        <w:pStyle w:val="Normal"/>
      </w:pPr>
      <w:r>
        <w:t xml:space="preserve">Renseigner uniquement les quatre Lookup REF des objets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1872"/>
        <w:gridCol w:w="1872"/>
        <w:gridCol w:w="1872"/>
        <w:gridCol w:w="1872"/>
        <w:gridCol w:w="1872"/>
      </w:tblGrid>
      <w:tr>
        <w:trPr>
          <w:tblHeader/>
        </w:trPr>
        <w:tc>
          <w:tcPr>
            <w:tcW w:w="1872" w:type="dxa"/>
            <w:shd w:val="clear" w:color="auto" w:fill="FCE4D6"/>
          </w:tcPr>
          <w:p>
            <w:r>
              <w:rPr>
                <w:b/>
              </w:rPr>
              <w:t xml:space="preserve">ID Objet</w:t>
            </w:r>
          </w:p>
        </w:tc>
        <w:tc>
          <w:tcPr>
            <w:tcW w:w="1872" w:type="dxa"/>
            <w:shd w:val="clear" w:color="auto" w:fill="FCE4D6"/>
          </w:tcPr>
          <w:p>
            <w:r>
              <w:rPr>
                <w:b/>
              </w:rPr>
              <w:t xml:space="preserve">N-00 métier</w:t>
            </w:r>
          </w:p>
        </w:tc>
        <w:tc>
          <w:tcPr>
            <w:tcW w:w="1872" w:type="dxa"/>
            <w:shd w:val="clear" w:color="auto" w:fill="FCE4D6"/>
          </w:tcPr>
          <w:p>
            <w:r>
              <w:rPr>
                <w:b/>
              </w:rPr>
              <w:t xml:space="preserve">N-01</w:t>
            </w:r>
          </w:p>
        </w:tc>
        <w:tc>
          <w:tcPr>
            <w:tcW w:w="1872" w:type="dxa"/>
            <w:shd w:val="clear" w:color="auto" w:fill="FCE4D6"/>
          </w:tcPr>
          <w:p>
            <w:r>
              <w:rPr>
                <w:b/>
              </w:rPr>
              <w:t xml:space="preserve">N-02</w:t>
            </w:r>
          </w:p>
        </w:tc>
        <w:tc>
          <w:tcPr>
            <w:tcW w:w="1872" w:type="dxa"/>
            <w:shd w:val="clear" w:color="auto" w:fill="FCE4D6"/>
          </w:tcPr>
          <w:p>
            <w:r>
              <w:rPr>
                <w:b/>
              </w:rPr>
              <w:t xml:space="preserve">N-03</w:t>
            </w:r>
          </w:p>
        </w:tc>
      </w:tr>
      <w:tr>
        <w:tc>
          <w:tcPr>
            <w:tcW w:w="1872" w:type="dxa"/>
          </w:tcPr>
          <w:p>
            <w:r>
              <w:t xml:space="preserve">OBJ-000001</w:t>
            </w:r>
          </w:p>
        </w:tc>
        <w:tc>
          <w:tcPr>
            <w:tcW w:w="1872" w:type="dxa"/>
          </w:tcPr>
          <w:p>
            <w:r>
              <w:t xml:space="preserve">Objet DSE - Référentiel</w:t>
            </w:r>
          </w:p>
        </w:tc>
        <w:tc>
          <w:tcPr>
            <w:tcW w:w="1872" w:type="dxa"/>
          </w:tcPr>
          <w:p>
            <w:r>
              <w:t xml:space="preserve">REFERENTIEL</w:t>
            </w:r>
          </w:p>
        </w:tc>
        <w:tc>
          <w:tcPr>
            <w:tcW w:w="1872" w:type="dxa"/>
          </w:tcPr>
          <w:p>
            <w:r>
              <w:t xml:space="preserve">TYPE REFERENTIEL</w:t>
            </w:r>
          </w:p>
        </w:tc>
        <w:tc>
          <w:tcPr>
            <w:tcW w:w="1872" w:type="dxa"/>
          </w:tcPr>
          <w:p>
            <w:r>
              <w:t xml:space="preserve">Référentiel</w:t>
            </w:r>
          </w:p>
        </w:tc>
      </w:tr>
      <w:tr>
        <w:tc>
          <w:tcPr>
            <w:tcW w:w="1872" w:type="dxa"/>
          </w:tcPr>
          <w:p>
            <w:r>
              <w:t xml:space="preserve">OBJ-000002</w:t>
            </w:r>
          </w:p>
        </w:tc>
        <w:tc>
          <w:tcPr>
            <w:tcW w:w="1872" w:type="dxa"/>
          </w:tcPr>
          <w:p>
            <w:r>
              <w:t xml:space="preserve">Objet DSE - Registre Objet</w:t>
            </w:r>
          </w:p>
        </w:tc>
        <w:tc>
          <w:tcPr>
            <w:tcW w:w="1872" w:type="dxa"/>
          </w:tcPr>
          <w:p>
            <w:r>
              <w:t xml:space="preserve">OBJET</w:t>
            </w:r>
          </w:p>
        </w:tc>
        <w:tc>
          <w:tcPr>
            <w:tcW w:w="1872" w:type="dxa"/>
          </w:tcPr>
          <w:p>
            <w:r>
              <w:t xml:space="preserve">TYPE REGISTRE OBJET</w:t>
            </w:r>
          </w:p>
        </w:tc>
        <w:tc>
          <w:tcPr>
            <w:tcW w:w="1872" w:type="dxa"/>
          </w:tcPr>
          <w:p>
            <w:r>
              <w:t xml:space="preserve">Objet</w:t>
            </w:r>
          </w:p>
        </w:tc>
      </w:tr>
      <w:tr>
        <w:tc>
          <w:tcPr>
            <w:tcW w:w="1872" w:type="dxa"/>
          </w:tcPr>
          <w:p>
            <w:r>
              <w:t xml:space="preserve">OBJ-000003</w:t>
            </w:r>
          </w:p>
        </w:tc>
        <w:tc>
          <w:tcPr>
            <w:tcW w:w="1872" w:type="dxa"/>
          </w:tcPr>
          <w:p>
            <w:r>
              <w:t xml:space="preserve">Objet DSE - Journal Global</w:t>
            </w:r>
          </w:p>
        </w:tc>
        <w:tc>
          <w:tcPr>
            <w:tcW w:w="1872" w:type="dxa"/>
          </w:tcPr>
          <w:p>
            <w:r>
              <w:t xml:space="preserve">JOURNAL</w:t>
            </w:r>
          </w:p>
        </w:tc>
        <w:tc>
          <w:tcPr>
            <w:tcW w:w="1872" w:type="dxa"/>
          </w:tcPr>
          <w:p>
            <w:r>
              <w:t xml:space="preserve">TYPE JOURNAL</w:t>
            </w:r>
          </w:p>
        </w:tc>
        <w:tc>
          <w:tcPr>
            <w:tcW w:w="1872" w:type="dxa"/>
          </w:tcPr>
          <w:p>
            <w:r>
              <w:t xml:space="preserve">Journal Global</w:t>
            </w:r>
          </w:p>
        </w:tc>
      </w:tr>
      <w:tr>
        <w:tc>
          <w:tcPr>
            <w:tcW w:w="1872" w:type="dxa"/>
          </w:tcPr>
          <w:p>
            <w:r>
              <w:t xml:space="preserve">OBJ-000004</w:t>
            </w:r>
          </w:p>
        </w:tc>
        <w:tc>
          <w:tcPr>
            <w:tcW w:w="1872" w:type="dxa"/>
          </w:tcPr>
          <w:p>
            <w:r>
              <w:t xml:space="preserve">Objet DSE - Compte</w:t>
            </w:r>
          </w:p>
        </w:tc>
        <w:tc>
          <w:tcPr>
            <w:tcW w:w="1872" w:type="dxa"/>
          </w:tcPr>
          <w:p>
            <w:r>
              <w:t xml:space="preserve">COMPTE</w:t>
            </w:r>
          </w:p>
        </w:tc>
        <w:tc>
          <w:tcPr>
            <w:tcW w:w="1872" w:type="dxa"/>
          </w:tcPr>
          <w:p>
            <w:r>
              <w:t xml:space="preserve">TYPE COMPTE</w:t>
            </w:r>
          </w:p>
        </w:tc>
        <w:tc>
          <w:tcPr>
            <w:tcW w:w="1872" w:type="dxa"/>
          </w:tcPr>
          <w:p>
            <w:r>
              <w:t xml:space="preserve">Compte</w:t>
            </w:r>
          </w:p>
        </w:tc>
      </w:tr>
      <w:tr>
        <w:tc>
          <w:tcPr>
            <w:tcW w:w="1872" w:type="dxa"/>
          </w:tcPr>
          <w:p>
            <w:r>
              <w:t xml:space="preserve">OBJ-000005</w:t>
            </w:r>
          </w:p>
        </w:tc>
        <w:tc>
          <w:tcPr>
            <w:tcW w:w="1872" w:type="dxa"/>
          </w:tcPr>
          <w:p>
            <w:r>
              <w:t xml:space="preserve">Objet DSE - Projet</w:t>
            </w:r>
          </w:p>
        </w:tc>
        <w:tc>
          <w:tcPr>
            <w:tcW w:w="1872" w:type="dxa"/>
          </w:tcPr>
          <w:p>
            <w:r>
              <w:t xml:space="preserve">PROJET</w:t>
            </w:r>
          </w:p>
        </w:tc>
        <w:tc>
          <w:tcPr>
            <w:tcW w:w="1872" w:type="dxa"/>
          </w:tcPr>
          <w:p>
            <w:r>
              <w:t xml:space="preserve">Type Projet</w:t>
            </w:r>
          </w:p>
        </w:tc>
        <w:tc>
          <w:tcPr>
            <w:tcW w:w="1872" w:type="dxa"/>
          </w:tcPr>
          <w:p>
            <w:r>
              <w:t xml:space="preserve">Projet</w:t>
            </w:r>
          </w:p>
        </w:tc>
      </w:tr>
    </w:tbl>
    <w:p/>
    <w:p>
      <w:pPr>
        <w:pStyle w:val="Normal"/>
      </w:pPr>
      <w:r>
        <w:t xml:space="preserve">ID Objet, Nom objet, Notes, Actif et Verrouille resteront inchangés.</w:t>
      </w:r>
    </w:p>
    <w:p>
      <w:pPr>
        <w:pStyle w:val="Heading3"/>
      </w:pPr>
      <w:r>
        <w:t xml:space="preserve">Phase F — Vues ZZ</w:t>
      </w:r>
    </w:p>
    <w:p>
      <w:pPr>
        <w:pStyle w:val="Normal"/>
      </w:pPr>
      <w:r>
        <w:t xml:space="preserve">Après validation et prévisualisation obligatoire des vues :</w:t>
      </w:r>
    </w:p>
    <w:p>
      <w:pPr>
        <w:pStyle w:val="ListParagraph"/>
        <w:numPr>
          <w:ilvl w:val="0"/>
          <w:numId w:val="1"/>
        </w:numPr>
      </w:pPr>
      <w:r>
        <w:t xml:space="preserve">Masquer les colonnes ZZ dans </w:t>
      </w:r>
      <w:r>
        <w:rPr>
          <w:rStyle w:val="Code"/>
        </w:rPr>
        <w:t xml:space="preserve">DSE - Controle REF</w:t>
      </w:r>
      <w:r>
        <w:t xml:space="preserve"> et </w:t>
      </w:r>
      <w:r>
        <w:rPr>
          <w:rStyle w:val="Code"/>
        </w:rPr>
        <w:t xml:space="preserve">Actif</w:t>
      </w:r>
      <w:r>
        <w:t xml:space="preserve"> de REF-N-00.</w:t>
      </w:r>
    </w:p>
    <w:p>
      <w:pPr>
        <w:pStyle w:val="ListParagraph"/>
        <w:numPr>
          <w:ilvl w:val="0"/>
          <w:numId w:val="1"/>
        </w:numPr>
      </w:pPr>
      <w:r>
        <w:t xml:space="preserve">Ne supprimer aucune colonne.</w:t>
      </w:r>
    </w:p>
    <w:p>
      <w:pPr>
        <w:pStyle w:val="ListParagraph"/>
        <w:numPr>
          <w:ilvl w:val="0"/>
          <w:numId w:val="1"/>
        </w:numPr>
      </w:pPr>
      <w:r>
        <w:t xml:space="preserve">Les vues principales de REF-N-01, REF-N-02, REF-N-03 et OBJ ne montrent pas de colonne ZZ.</w:t>
      </w:r>
    </w:p>
    <w:p>
      <w:pPr>
        <w:pStyle w:val="ListParagraph"/>
        <w:numPr>
          <w:ilvl w:val="0"/>
          <w:numId w:val="1"/>
        </w:numPr>
      </w:pPr>
      <w:r>
        <w:t xml:space="preserve">Les colonnes DSE de JRN ne sont pas des colonnes ZZ et ne sont pas concernées.</w:t>
      </w:r>
    </w:p>
    <w:p>
      <w:pPr>
        <w:pStyle w:val="Heading3"/>
      </w:pPr>
      <w:r>
        <w:t xml:space="preserve">Phase G — Journalisation</w:t>
      </w:r>
    </w:p>
    <w:p>
      <w:pPr>
        <w:pStyle w:val="Normal"/>
      </w:pPr>
      <w:r>
        <w:t xml:space="preserve">Créer dans JRN - Journal Global des événements avec :</w:t>
      </w:r>
    </w:p>
    <w:p>
      <w:pPr>
        <w:pStyle w:val="ListParagraph"/>
        <w:numPr>
          <w:ilvl w:val="0"/>
          <w:numId w:val="1"/>
        </w:numPr>
      </w:pPr>
      <w:r>
        <w:t xml:space="preserve">Code Journal unique.</w:t>
      </w:r>
    </w:p>
    <w:p>
      <w:pPr>
        <w:pStyle w:val="ListParagraph"/>
        <w:numPr>
          <w:ilvl w:val="0"/>
          <w:numId w:val="1"/>
        </w:numPr>
      </w:pPr>
      <w:r>
        <w:t xml:space="preserve">Titre unique incluant le cycle et l’horodatage.</w:t>
      </w:r>
    </w:p>
    <w:p>
      <w:pPr>
        <w:pStyle w:val="ListParagraph"/>
        <w:numPr>
          <w:ilvl w:val="0"/>
          <w:numId w:val="1"/>
        </w:numPr>
      </w:pPr>
      <w:r>
        <w:t xml:space="preserve">Type Objet REF pointant vers la nouvelle valeur N-00 métier appropriée.</w:t>
      </w:r>
    </w:p>
    <w:p>
      <w:pPr>
        <w:pStyle w:val="ListParagraph"/>
        <w:numPr>
          <w:ilvl w:val="0"/>
          <w:numId w:val="1"/>
        </w:numPr>
      </w:pPr>
      <w:r>
        <w:t xml:space="preserve">Type Action, Origine, Impact et Statut résolus via les Lookup REF existants.</w:t>
      </w:r>
    </w:p>
    <w:p>
      <w:pPr>
        <w:pStyle w:val="ListParagraph"/>
        <w:numPr>
          <w:ilvl w:val="0"/>
          <w:numId w:val="1"/>
        </w:numPr>
      </w:pPr>
      <w:r>
        <w:t xml:space="preserve">DSESourceList, DSESourceItemId et DSESourceKey uniques.</w:t>
      </w:r>
    </w:p>
    <w:p>
      <w:pPr>
        <w:pStyle w:val="Heading1"/>
      </w:pPr>
      <w:r>
        <w:t xml:space="preserve">6. Validations requises</w:t>
      </w:r>
    </w:p>
    <w:p>
      <w:pPr>
        <w:pStyle w:val="Normal"/>
      </w:pPr>
      <w:r>
        <w:t xml:space="preserve">Le Super Administrateur doit valider explicitement le lot suivant :</w:t>
      </w:r>
    </w:p>
    <w:p>
      <w:pPr>
        <w:pStyle w:val="ListParagraph"/>
        <w:numPr>
          <w:ilvl w:val="0"/>
          <w:numId w:val="2"/>
        </w:numPr>
      </w:pPr>
      <w:r>
        <w:t xml:space="preserve">Création des familles REFERENTIEL et OBJET.</w:t>
      </w:r>
    </w:p>
    <w:p>
      <w:pPr>
        <w:pStyle w:val="ListParagraph"/>
        <w:numPr>
          <w:ilvl w:val="0"/>
          <w:numId w:val="2"/>
        </w:numPr>
      </w:pPr>
      <w:r>
        <w:t xml:space="preserve">Création des quatre catégories et de leurs codes proposés.</w:t>
      </w:r>
    </w:p>
    <w:p>
      <w:pPr>
        <w:pStyle w:val="ListParagraph"/>
        <w:numPr>
          <w:ilvl w:val="0"/>
          <w:numId w:val="2"/>
        </w:numPr>
      </w:pPr>
      <w:r>
        <w:t xml:space="preserve">Création des trois sous-catégories avec les identifiants 00206 à 00208.</w:t>
      </w:r>
    </w:p>
    <w:p>
      <w:pPr>
        <w:pStyle w:val="ListParagraph"/>
        <w:numPr>
          <w:ilvl w:val="0"/>
          <w:numId w:val="2"/>
        </w:numPr>
      </w:pPr>
      <w:r>
        <w:t xml:space="preserve">Complétion des relations de Compte et Projet.</w:t>
      </w:r>
    </w:p>
    <w:p>
      <w:pPr>
        <w:pStyle w:val="ListParagraph"/>
        <w:numPr>
          <w:ilvl w:val="0"/>
          <w:numId w:val="2"/>
        </w:numPr>
      </w:pPr>
      <w:r>
        <w:t xml:space="preserve">Création des cinq valeurs N-00 métier distinctes, avec les titres, ID-REF et codes proposés.</w:t>
      </w:r>
    </w:p>
    <w:p>
      <w:pPr>
        <w:pStyle w:val="ListParagraph"/>
        <w:numPr>
          <w:ilvl w:val="0"/>
          <w:numId w:val="2"/>
        </w:numPr>
      </w:pPr>
      <w:r>
        <w:t xml:space="preserve">Liaison des cinq objets selon le tableau de la phase E.</w:t>
      </w:r>
    </w:p>
    <w:p>
      <w:pPr>
        <w:pStyle w:val="ListParagraph"/>
        <w:numPr>
          <w:ilvl w:val="0"/>
          <w:numId w:val="2"/>
        </w:numPr>
      </w:pPr>
      <w:r>
        <w:t xml:space="preserve">Masquage des colonnes ZZ dans les deux vues identifiées, après prévisualisation.</w:t>
      </w:r>
    </w:p>
    <w:p>
      <w:pPr>
        <w:pStyle w:val="ListParagraph"/>
        <w:numPr>
          <w:ilvl w:val="0"/>
          <w:numId w:val="2"/>
        </w:numPr>
      </w:pPr>
      <w:r>
        <w:t xml:space="preserve">Journalisation des actions dans JRN.</w:t>
      </w:r>
    </w:p>
    <w:p>
      <w:pPr>
        <w:pStyle w:val="ListParagraph"/>
        <w:numPr>
          <w:ilvl w:val="0"/>
          <w:numId w:val="2"/>
        </w:numPr>
      </w:pPr>
      <w:r>
        <w:t xml:space="preserve">Acceptation du fait que les 159 sous-catégories sans catégorie et les doublons historiques de JRN restent hors périmètre de cette réparation ciblée.</w:t>
      </w:r>
    </w:p>
    <w:p>
      <w:pPr>
        <w:pStyle w:val="Heading1"/>
      </w:pPr>
      <w:r>
        <w:t xml:space="preserve">7. Actions réalisées</w:t>
      </w:r>
    </w:p>
    <w:p>
      <w:pPr>
        <w:pStyle w:val="ListParagraph"/>
        <w:numPr>
          <w:ilvl w:val="0"/>
          <w:numId w:val="1"/>
        </w:numPr>
      </w:pPr>
      <w:r>
        <w:t xml:space="preserve">Audit complet des schémas, lignes, codes, identifiants, Lookup, relations, doublons, équivalents, orphelins et vues.</w:t>
      </w:r>
    </w:p>
    <w:p>
      <w:pPr>
        <w:pStyle w:val="ListParagraph"/>
        <w:numPr>
          <w:ilvl w:val="0"/>
          <w:numId w:val="1"/>
        </w:numPr>
      </w:pPr>
      <w:r>
        <w:t xml:space="preserve">Rapport de cycle 1 créé.</w:t>
      </w:r>
    </w:p>
    <w:p>
      <w:pPr>
        <w:pStyle w:val="ListParagraph"/>
        <w:numPr>
          <w:ilvl w:val="0"/>
          <w:numId w:val="1"/>
        </w:numPr>
      </w:pPr>
      <w:r>
        <w:t xml:space="preserve">Écritures métier : 0.</w:t>
      </w:r>
    </w:p>
    <w:p>
      <w:pPr>
        <w:pStyle w:val="ListParagraph"/>
        <w:numPr>
          <w:ilvl w:val="0"/>
          <w:numId w:val="1"/>
        </w:numPr>
      </w:pPr>
      <w:r>
        <w:t xml:space="preserve">Créations : 0.</w:t>
      </w:r>
    </w:p>
    <w:p>
      <w:pPr>
        <w:pStyle w:val="ListParagraph"/>
        <w:numPr>
          <w:ilvl w:val="0"/>
          <w:numId w:val="1"/>
        </w:numPr>
      </w:pPr>
      <w:r>
        <w:t xml:space="preserve">Modifications : 0.</w:t>
      </w:r>
    </w:p>
    <w:p>
      <w:pPr>
        <w:pStyle w:val="ListParagraph"/>
        <w:numPr>
          <w:ilvl w:val="0"/>
          <w:numId w:val="1"/>
        </w:numPr>
      </w:pPr>
      <w:r>
        <w:t xml:space="preserve">Suppressions : 0.</w:t>
      </w:r>
    </w:p>
    <w:p>
      <w:pPr>
        <w:pStyle w:val="ListParagraph"/>
        <w:numPr>
          <w:ilvl w:val="0"/>
          <w:numId w:val="1"/>
        </w:numPr>
      </w:pPr>
      <w:r>
        <w:t xml:space="preserve">Modifications hors périmètre : 0.</w:t>
      </w:r>
    </w:p>
    <w:p>
      <w:pPr>
        <w:pStyle w:val="Heading1"/>
      </w:pPr>
      <w:r>
        <w:t xml:space="preserve">8. État après</w:t>
      </w:r>
    </w:p>
    <w:p>
      <w:pPr>
        <w:pStyle w:val="Normal"/>
      </w:pPr>
      <w:r>
        <w:t xml:space="preserve">Identique à l’état avant, car la validation n’a pas encore été accordée.</w:t>
      </w:r>
    </w:p>
    <w:p>
      <w:pPr>
        <w:pStyle w:val="ListParagraph"/>
        <w:numPr>
          <w:ilvl w:val="0"/>
          <w:numId w:val="1"/>
        </w:numPr>
      </w:pPr>
      <w:r>
        <w:t xml:space="preserve">0 chaîne complète sur 5.</w:t>
      </w:r>
    </w:p>
    <w:p>
      <w:pPr>
        <w:pStyle w:val="ListParagraph"/>
        <w:numPr>
          <w:ilvl w:val="0"/>
          <w:numId w:val="1"/>
        </w:numPr>
      </w:pPr>
      <w:r>
        <w:t xml:space="preserve">0 objet relié sur 5.</w:t>
      </w:r>
    </w:p>
    <w:p>
      <w:pPr>
        <w:pStyle w:val="ListParagraph"/>
        <w:numPr>
          <w:ilvl w:val="0"/>
          <w:numId w:val="1"/>
        </w:numPr>
      </w:pPr>
      <w:r>
        <w:t xml:space="preserve">0 correctif appliqué.</w:t>
      </w:r>
    </w:p>
    <w:p>
      <w:pPr>
        <w:pStyle w:val="Heading1"/>
      </w:pPr>
      <w:r>
        <w:t xml:space="preserve">9. Erreurs et risques</w:t>
      </w:r>
    </w:p>
    <w:p>
      <w:pPr>
        <w:pStyle w:val="ListParagraph"/>
        <w:numPr>
          <w:ilvl w:val="0"/>
          <w:numId w:val="1"/>
        </w:numPr>
      </w:pPr>
      <w:r>
        <w:t xml:space="preserve">Le titre et la convention de code des nouvelles valeurs N-00 constituent une décision de gouvernance ; ils doivent être approuvés avant écriture.</w:t>
      </w:r>
    </w:p>
    <w:p>
      <w:pPr>
        <w:pStyle w:val="ListParagraph"/>
        <w:numPr>
          <w:ilvl w:val="0"/>
          <w:numId w:val="1"/>
        </w:numPr>
      </w:pPr>
      <w:r>
        <w:t xml:space="preserve">Les identifiants 00206 à 00208 sont disponibles selon l’état audité, mais seront revérifiés juste avant création.</w:t>
      </w:r>
    </w:p>
    <w:p>
      <w:pPr>
        <w:pStyle w:val="ListParagraph"/>
        <w:numPr>
          <w:ilvl w:val="0"/>
          <w:numId w:val="1"/>
        </w:numPr>
      </w:pPr>
      <w:r>
        <w:t xml:space="preserve">L’unicité globale de JRN n’est pas garantie par le schéma ; la journalisation devra utiliser des clés explicitement uniques.</w:t>
      </w:r>
    </w:p>
    <w:p>
      <w:pPr>
        <w:pStyle w:val="ListParagraph"/>
        <w:numPr>
          <w:ilvl w:val="0"/>
          <w:numId w:val="1"/>
        </w:numPr>
      </w:pPr>
      <w:r>
        <w:t xml:space="preserve">Le schéma OBJ rapporte un itemCount incohérent avec la lecture réelle.</w:t>
      </w:r>
    </w:p>
    <w:p>
      <w:pPr>
        <w:pStyle w:val="Heading1"/>
      </w:pPr>
      <w:r>
        <w:t xml:space="preserve">10. Travail restant</w:t>
      </w:r>
    </w:p>
    <w:p>
      <w:pPr>
        <w:pStyle w:val="Normal"/>
      </w:pPr>
      <w:r>
        <w:t xml:space="preserve">Après validation : exécuter le lot dans l’ordre N-01, N-02, N-03, N-00, OBJ, vues ZZ, JRN ; puis lancer immédiatement l’audit du cycle 2. Si une anomalie certaine subsiste, produire un second rapport et demander une nouvelle validation. Maximum : 3 cycles.</w:t>
      </w:r>
    </w:p>
    <w:p>
      <w:pPr>
        <w:pStyle w:val="Heading1"/>
      </w:pPr>
      <w:r>
        <w:t xml:space="preserve">Conclusion</w:t>
      </w:r>
    </w:p>
    <w:p>
      <w:pPr>
        <w:pStyle w:val="Heading2"/>
      </w:pPr>
      <w:r>
        <w:t xml:space="preserve">⛔ VALIDATION SUPER ADMINISTRATEUR REQUISE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55A11"/>
      <w:sz w:val="40"/>
      <w:szCs w:val="40"/>
    </w:rPr>
  </w:style>
  <!-- Heading 2 — medium, bold, accent blue -->
  <w:style w:type="paragraph" w:styleId="Heading2">
    <w:name w:val="heading 2"/>
    <w:basedOn w:val="Normal"/>
    <w:next w:val="Normal"/>
    <w:pPr>
      <w:keepNext/>
      <w:keepLines/>
      <w:spacing w:before="200" w:after="0"/>
      <w:outlineLvl w:val="1"/>
    </w:pPr>
    <w:rPr>
      <w:b/>
      <w:color w:val="C55A11"/>
      <w:sz w:val="32"/>
      <w:szCs w:val="32"/>
    </w:rPr>
  </w:style>
  <!-- Heading 3 — small, bold, accent blue -->
  <w:style w:type="paragraph" w:styleId="Heading3">
    <w:name w:val="heading 3"/>
    <w:basedOn w:val="Normal"/>
    <w:next w:val="Normal"/>
    <w:pPr>
      <w:keepNext/>
      <w:keepLines/>
      <w:spacing w:before="160" w:after="0"/>
      <w:outlineLvl w:val="2"/>
    </w:pPr>
    <w:rPr>
      <w:b/>
      <w:color w:val="C55A11"/>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8F8BA3274B174F88AD87175120E719" ma:contentTypeVersion="10" ma:contentTypeDescription="Crée un document." ma:contentTypeScope="" ma:versionID="6760ff901b75dae024357594a58816ea">
  <xsd:schema xmlns:xsd="http://www.w3.org/2001/XMLSchema" xmlns:xs="http://www.w3.org/2001/XMLSchema" xmlns:p="http://schemas.microsoft.com/office/2006/metadata/properties" xmlns:ns2="a0a43d7f-69bf-4a33-81a8-723658f89159" xmlns:ns3="10542f6c-bfff-4234-92b5-1d884106cc52" targetNamespace="http://schemas.microsoft.com/office/2006/metadata/properties" ma:root="true" ma:fieldsID="ee14a8b15aadfe4797e3acb850aebb9e" ns2:_="" ns3:_="">
    <xsd:import namespace="a0a43d7f-69bf-4a33-81a8-723658f89159"/>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43d7f-69bf-4a33-81a8-723658f89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43d7f-69bf-4a33-81a8-723658f89159">
      <Terms xmlns="http://schemas.microsoft.com/office/infopath/2007/PartnerControls"/>
    </lcf76f155ced4ddcb4097134ff3c332f>
    <TaxCatchAll xmlns="10542f6c-bfff-4234-92b5-1d884106cc52" xsi:nil="true"/>
  </documentManagement>
</p:properties>
</file>

<file path=customXml/itemProps1.xml><?xml version="1.0" encoding="utf-8"?>
<ds:datastoreItem xmlns:ds="http://schemas.openxmlformats.org/officeDocument/2006/customXml" ds:itemID="{E6B6C312-B9EB-4F39-9AFD-24E7A133D145}"/>
</file>

<file path=customXml/itemProps2.xml><?xml version="1.0" encoding="utf-8"?>
<ds:datastoreItem xmlns:ds="http://schemas.openxmlformats.org/officeDocument/2006/customXml" ds:itemID="{84EBB267-F892-40FA-93B6-F85100AE948F}"/>
</file>

<file path=customXml/itemProps3.xml><?xml version="1.0" encoding="utf-8"?>
<ds:datastoreItem xmlns:ds="http://schemas.openxmlformats.org/officeDocument/2006/customXml" ds:itemID="{5FF5FD63-6AC9-4EA2-B7DF-479B176109D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0x010100688F8BA3274B174F88AD87175120E719</vt:lpwstr>
  </property>
  <property fmtid="{D5CDD505-2E9C-101B-9397-08002B2CF9AE}" pid="4" name="docLang">
    <vt:lpwstr>fr</vt:lpwstr>
  </property>
  <property fmtid="{D5CDD505-2E9C-101B-9397-08002B2CF9AE}" pid="5" name="MediaServiceImageTags">
    <vt:lpwstr/>
  </property>
</Properties>
</file>