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LS from RAN WG3: Reply LS on clarification of UAV regulation from SA WG2</w:t>
      </w:r>
    </w:p>
    <w:p>
      <w:r>
        <w:t>TDoc ID: S2-2601750</w:t>
      </w:r>
    </w:p>
    <w:p>
      <w:r>
        <w:t>Agenda Item: 19.10.2</w:t>
      </w:r>
    </w:p>
    <w:p/>
    <w:p>
      <w:r>
        <w:t>本文稿为3GPP RAN WG3针对SA WG2关于无人机（UAV）监管要求的回复，主要在Rel-19版本中新增并完善了与空中用户设备（Aerial UE）飞行信息报告相关的NGAP协议定义。新增了“飞行信息报告控制”（Aerial-UE-FlightInformationReportingControl）信息元素，明确核心网可配置无人机飞行高度阈值、报告周期等参数，并支持启动或停止飞行信息上报，以及上报上报失败事件。同时，定义了飞行信息报告的事件类型、区域和时间戳上报机制，增强了对无人机动态飞行状态的感知能力。该修改旨在支持空中交通管理与监管需求，提升网络对UAV飞行行为的可监控性，未来可能影响无人机通信、空域管理及安全合规等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