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单篇文稿分析报告 - Draft Report of SA WG2 meeting #173</w:t>
      </w:r>
    </w:p>
    <w:p>
      <w:r>
        <w:t>TDoc ID: S2-2601722</w:t>
      </w:r>
    </w:p>
    <w:p>
      <w:r>
        <w:t>Agenda Item: 3</w:t>
      </w:r>
    </w:p>
    <w:p/>
    <w:p>
      <w:r>
        <w:t>该文稿为3GPP SA WG2第173次工作会议的草案报告，系统梳理了从Rel-15至Rel-20期间5G系统架构的演进路径，重点涵盖5G核心网（5GC）在切片、边缘计算、网络自动化、V2X、工业物联网、卫星接入、ProSe、低功耗设备支持等方面的持续增强。会议明确了各阶段维护项（Maintenance）与新工作项（WIDs）的技术方向，提出对网络切片（eNS）、访问流量调度（ATSSS）、位置服务（eLCS）、非3GPP接入、AI/ML支持、边缘计算及卫星融合等关键能力的深化发展。同时，报告前瞻性地启动了6G系统架构的初步研究，涵盖感知通信融合、网络切片、服务暴露、网络共享等核心议题。这些进展将推动5G向更智能、更灵活、更泛在的网络能力演进，为垂直行业应用和未来网络生态奠定技术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