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 xml:space="preserve">第三轮审稿回应与修改说明</w:t>
      </w:r>
    </w:p>
    <w:p>
      <w:pPr>
        <w:pStyle w:val="Normal"/>
      </w:pPr>
      <w:r>
        <w:rPr/>
        <w:t xml:space="preserve">本说明对应第三轮综合审稿意见R3-M1、R3-M2及R3-m1至R3-m5。修订稿另存为TOU_speed_carbon_FJSP_rev3_cn.docx，原文件保留。本次直接修改正文、统计、表格和嵌入图，并提供FJSP_rev3_reproducibility.zip作为可离线核验的补充材料。</w:t>
      </w:r>
    </w:p>
    <w:p>
      <w:pPr>
        <w:pStyle w:val="Normal"/>
      </w:pPr>
      <w:r>
        <w:rPr/>
        <w:t xml:space="preserve">本轮最重要的实质变动是共池协议。上一版共池只保留独立新种子实验的均值与标准差；本版改为直接使用已公开四档碳价扫描前沿及BASE候选，在每个运行内构建公共池。全部候选具有可追溯染色体索引，因此可以不重跑优化而核验选点和误差。由此更新表5、图5及相应正文，主比较与覆盖率保持原协议。</w:t>
      </w:r>
    </w:p>
    <w:p>
      <w:pPr>
        <w:pStyle w:val="Heading1"/>
      </w:pPr>
      <w:r>
        <w:rPr/>
        <w:t xml:space="preserve">R3-M1 全文核心主张已经统一</w:t>
      </w:r>
    </w:p>
    <w:p>
      <w:pPr>
        <w:pStyle w:val="Normal"/>
      </w:pPr>
      <w:r>
        <w:rPr/>
        <w:t xml:space="preserve">已重写摘要、引言贡献列表、3.2至3.6节解释、讨论和结论，删除“内部化阈值位于0.08至0.8之间”“机制排序在两算例间一致”以及“证明单一能耗通道”的表述。全文统一为有限候选池下的价格响应及所测情景中的权衡变化。</w:t>
      </w:r>
    </w:p>
    <w:p>
      <w:pPr>
        <w:pStyle w:val="Normal"/>
      </w:pPr>
      <w:r>
        <w:rPr/>
        <w:t xml:space="preserve">3.2节按未取整班表重新计算贡献链。齿轮轴CTRL减BASE完工均值为−4.2 min，C1减CTRL为−28.1 min；Mk04分别为−33.9和−3.5 min，结论明确说明排序随算例而变。3.3节同时指出，移除分时感知的完工方向在两算例中也不同。单个消融代表点与运行级比较链不再合并为统一机制排序。</w:t>
      </w:r>
    </w:p>
    <w:p>
      <w:pPr>
        <w:pStyle w:val="Normal"/>
      </w:pPr>
      <w:r>
        <w:rPr/>
        <w:t xml:space="preserve">CTRL与C1之差在摘要、方法、结果和结论均改称“分时与碳结算联合感知增量”。起点移位解释限定为所测情景，窗口长度未独立验证；待机与启停同时归零且重新优化的实验保留为联合参数反例。图7及3.6节标题同步更正，不再作排他性通道识别。</w:t>
      </w:r>
    </w:p>
    <w:p>
      <w:pPr>
        <w:pStyle w:val="Heading1"/>
      </w:pPr>
      <w:r>
        <w:rPr/>
        <w:t xml:space="preserve">R3-M2 共池档案与复算入口已经补齐</w:t>
      </w:r>
    </w:p>
    <w:p>
      <w:pPr>
        <w:pStyle w:val="Normal"/>
      </w:pPr>
      <w:r>
        <w:rPr/>
        <w:t xml:space="preserve">补充包保留公开提交81cdfd8的两份原始archive文件，并新增实验配置映射。重建程序按历史脚本的调用顺序恢复每条记录的实验族、开关、碳价与配额、起点、联合参数和电价倍率，再逐个解码核对全部原始规划目标。齿轮轴最大数值误差约3.64×10⁻¹²，Mk04约1.14×10⁻¹³，均小于10⁻⁶。</w:t>
      </w:r>
    </w:p>
    <w:p>
      <w:pPr>
        <w:pStyle w:val="Normal"/>
      </w:pPr>
      <w:r>
        <w:rPr/>
        <w:t xml:space="preserve">新共池在r=0、1、2、3内分别合并E1 BASE及E3四档前沿，对应源条目12+r、48+r、52+r、56+r、60+r；候选数分别为749、713、744、728，保留重复个体。每个候选均保存源条目、源个体索引、未取整非结算成本、碳排与完工，每档另存选中ID及逐运行结果。四运行在0和0.08档的选中ID均相同。</w:t>
      </w:r>
    </w:p>
    <w:p>
      <w:pPr>
        <w:pStyle w:val="Caption"/>
        <w:keepNext/>
      </w:pPr>
      <w:r>
        <w:rPr/>
        <w:t xml:space="preserve">表A　修订后共池结果。±为四运行的分母n描述性标准差</w:t>
      </w:r>
    </w:p>
    <w:tbl>
      <w:tblPr>
        <w:tblW w:type="dxa" w:w="8788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50"/>
        <w:gridCol w:w="2750"/>
        <w:gridCol w:w="5088"/>
      </w:tblGrid>
      <w:tr>
        <w:trPr>
          <w:tblHeader/>
          <w:cantSplit/>
        </w:trPr>
        <w:tc>
          <w:tcPr>
            <w:tcW w:type="dxa" w:w="950"/>
            <w:tcMar>
              <w:top w:w="90" w:type="dxa"/>
              <w:bottom w:w="90" w:type="dxa"/>
              <w:left w:w="90" w:type="dxa"/>
              <w:right w:w="90" w:type="dxa"/>
            </w:tcMar>
            <w:shd w:fill="F2F2F2"/>
          </w:tcPr>
          <w:p>
            <w:pPr>
              <w:pStyle w:val="Normal"/>
              <w:spacing w:line="240" w:lineRule="auto" w:before="60" w:after="60"/>
              <w:ind w:firstLine="0" w:firstLineChars="0"/>
              <w:jc w:val="left"/>
            </w:pPr>
            <w:r>
              <w:rPr>
                <w:sz w:val="21"/>
                <w:b/>
              </w:rPr>
              <w:t xml:space="preserve">碳价 元/kgCO₂</w:t>
            </w:r>
          </w:p>
        </w:tc>
        <w:tc>
          <w:tcPr>
            <w:tcW w:type="dxa" w:w="2750"/>
            <w:tcMar>
              <w:top w:w="90" w:type="dxa"/>
              <w:bottom w:w="90" w:type="dxa"/>
              <w:left w:w="90" w:type="dxa"/>
              <w:right w:w="90" w:type="dxa"/>
            </w:tcMar>
            <w:shd w:fill="F2F2F2"/>
          </w:tcPr>
          <w:p>
            <w:pPr>
              <w:pStyle w:val="Normal"/>
              <w:spacing w:line="240" w:lineRule="auto" w:before="60" w:after="60"/>
              <w:ind w:firstLine="0" w:firstLineChars="0"/>
              <w:jc w:val="left"/>
            </w:pPr>
            <w:r>
              <w:rPr>
                <w:sz w:val="21"/>
                <w:b/>
              </w:rPr>
              <w:t xml:space="preserve">碳排 kgCO₂</w:t>
            </w:r>
          </w:p>
        </w:tc>
        <w:tc>
          <w:tcPr>
            <w:tcW w:type="dxa" w:w="5088"/>
            <w:tcMar>
              <w:top w:w="90" w:type="dxa"/>
              <w:bottom w:w="90" w:type="dxa"/>
              <w:left w:w="90" w:type="dxa"/>
              <w:right w:w="90" w:type="dxa"/>
            </w:tcMar>
            <w:shd w:fill="F2F2F2"/>
          </w:tcPr>
          <w:p>
            <w:pPr>
              <w:pStyle w:val="Normal"/>
              <w:spacing w:line="240" w:lineRule="auto" w:before="60" w:after="60"/>
              <w:ind w:firstLine="0" w:firstLineChars="0"/>
              <w:jc w:val="left"/>
            </w:pPr>
            <w:r>
              <w:rPr>
                <w:sz w:val="21"/>
                <w:b/>
              </w:rPr>
              <w:t xml:space="preserve">不含结算成本 元</w:t>
            </w:r>
          </w:p>
        </w:tc>
      </w:tr>
      <w:tr>
        <w:trPr>
          <w:cantSplit/>
        </w:trPr>
        <w:tc>
          <w:tcPr>
            <w:tcW w:type="dxa" w:w="95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Normal"/>
              <w:spacing w:line="240" w:lineRule="auto" w:before="60" w:after="60"/>
              <w:ind w:firstLine="0" w:firstLineChars="0"/>
              <w:jc w:val="left"/>
            </w:pPr>
            <w:r>
              <w:rPr>
                <w:sz w:val="21"/>
              </w:rPr>
              <w:t xml:space="preserve">0</w:t>
            </w:r>
          </w:p>
        </w:tc>
        <w:tc>
          <w:tcPr>
            <w:tcW w:type="dxa" w:w="275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Normal"/>
              <w:spacing w:line="240" w:lineRule="auto" w:before="60" w:after="60"/>
              <w:ind w:firstLine="0" w:firstLineChars="0"/>
              <w:jc w:val="left"/>
            </w:pPr>
            <w:r>
              <w:rPr>
                <w:sz w:val="21"/>
              </w:rPr>
              <w:t xml:space="preserve">280.6±7.6</w:t>
            </w:r>
          </w:p>
        </w:tc>
        <w:tc>
          <w:tcPr>
            <w:tcW w:type="dxa" w:w="508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Normal"/>
              <w:spacing w:line="240" w:lineRule="auto" w:before="60" w:after="60"/>
              <w:ind w:firstLine="0" w:firstLineChars="0"/>
              <w:jc w:val="left"/>
            </w:pPr>
            <w:r>
              <w:rPr>
                <w:sz w:val="21"/>
              </w:rPr>
              <w:t xml:space="preserve">8402.1±5.5</w:t>
            </w:r>
          </w:p>
        </w:tc>
      </w:tr>
      <w:tr>
        <w:trPr>
          <w:cantSplit/>
        </w:trPr>
        <w:tc>
          <w:tcPr>
            <w:tcW w:type="dxa" w:w="95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Normal"/>
              <w:spacing w:line="240" w:lineRule="auto" w:before="60" w:after="60"/>
              <w:ind w:firstLine="0" w:firstLineChars="0"/>
              <w:jc w:val="left"/>
            </w:pPr>
            <w:r>
              <w:rPr>
                <w:sz w:val="21"/>
              </w:rPr>
              <w:t xml:space="preserve">0.08</w:t>
            </w:r>
          </w:p>
        </w:tc>
        <w:tc>
          <w:tcPr>
            <w:tcW w:type="dxa" w:w="275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Normal"/>
              <w:spacing w:line="240" w:lineRule="auto" w:before="60" w:after="60"/>
              <w:ind w:firstLine="0" w:firstLineChars="0"/>
              <w:jc w:val="left"/>
            </w:pPr>
            <w:r>
              <w:rPr>
                <w:sz w:val="21"/>
              </w:rPr>
              <w:t xml:space="preserve">280.6±7.6</w:t>
            </w:r>
          </w:p>
        </w:tc>
        <w:tc>
          <w:tcPr>
            <w:tcW w:type="dxa" w:w="508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Normal"/>
              <w:spacing w:line="240" w:lineRule="auto" w:before="60" w:after="60"/>
              <w:ind w:firstLine="0" w:firstLineChars="0"/>
              <w:jc w:val="left"/>
            </w:pPr>
            <w:r>
              <w:rPr>
                <w:sz w:val="21"/>
              </w:rPr>
              <w:t xml:space="preserve">8402.1±5.5</w:t>
            </w:r>
          </w:p>
        </w:tc>
      </w:tr>
      <w:tr>
        <w:trPr>
          <w:cantSplit/>
        </w:trPr>
        <w:tc>
          <w:tcPr>
            <w:tcW w:type="dxa" w:w="95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Normal"/>
              <w:spacing w:line="240" w:lineRule="auto" w:before="60" w:after="60"/>
              <w:ind w:firstLine="0" w:firstLineChars="0"/>
              <w:jc w:val="left"/>
            </w:pPr>
            <w:r>
              <w:rPr>
                <w:sz w:val="21"/>
              </w:rPr>
              <w:t xml:space="preserve">0.8</w:t>
            </w:r>
          </w:p>
        </w:tc>
        <w:tc>
          <w:tcPr>
            <w:tcW w:type="dxa" w:w="275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Normal"/>
              <w:spacing w:line="240" w:lineRule="auto" w:before="60" w:after="60"/>
              <w:ind w:firstLine="0" w:firstLineChars="0"/>
              <w:jc w:val="left"/>
            </w:pPr>
            <w:r>
              <w:rPr>
                <w:sz w:val="21"/>
              </w:rPr>
              <w:t xml:space="preserve">263.1±10.7</w:t>
            </w:r>
          </w:p>
        </w:tc>
        <w:tc>
          <w:tcPr>
            <w:tcW w:type="dxa" w:w="508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Normal"/>
              <w:spacing w:line="240" w:lineRule="auto" w:before="60" w:after="60"/>
              <w:ind w:firstLine="0" w:firstLineChars="0"/>
              <w:jc w:val="left"/>
            </w:pPr>
            <w:r>
              <w:rPr>
                <w:sz w:val="21"/>
              </w:rPr>
              <w:t xml:space="preserve">8409.1±7.3</w:t>
            </w:r>
          </w:p>
        </w:tc>
      </w:tr>
      <w:tr>
        <w:trPr>
          <w:cantSplit/>
        </w:trPr>
        <w:tc>
          <w:tcPr>
            <w:tcW w:type="dxa" w:w="95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Normal"/>
              <w:spacing w:line="240" w:lineRule="auto" w:before="60" w:after="60"/>
              <w:ind w:firstLine="0" w:firstLineChars="0"/>
              <w:jc w:val="left"/>
            </w:pPr>
            <w:r>
              <w:rPr>
                <w:sz w:val="21"/>
              </w:rPr>
              <w:t xml:space="preserve">2.0</w:t>
            </w:r>
          </w:p>
        </w:tc>
        <w:tc>
          <w:tcPr>
            <w:tcW w:type="dxa" w:w="275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Normal"/>
              <w:spacing w:line="240" w:lineRule="auto" w:before="60" w:after="60"/>
              <w:ind w:firstLine="0" w:firstLineChars="0"/>
              <w:jc w:val="left"/>
            </w:pPr>
            <w:r>
              <w:rPr>
                <w:sz w:val="21"/>
              </w:rPr>
              <w:t xml:space="preserve">240.0±4.6</w:t>
            </w:r>
          </w:p>
        </w:tc>
        <w:tc>
          <w:tcPr>
            <w:tcW w:type="dxa" w:w="508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Normal"/>
              <w:spacing w:line="240" w:lineRule="auto" w:before="60" w:after="60"/>
              <w:ind w:firstLine="0" w:firstLineChars="0"/>
              <w:jc w:val="left"/>
            </w:pPr>
            <w:r>
              <w:rPr>
                <w:sz w:val="21"/>
              </w:rPr>
              <w:t xml:space="preserve">8435.5±7.2</w:t>
            </w:r>
          </w:p>
        </w:tc>
      </w:tr>
    </w:tbl>
    <w:p>
      <w:pPr>
        <w:pStyle w:val="Normal"/>
      </w:pPr>
      <w:r>
        <w:rPr/>
        <w:t xml:space="preserve">3.4节和表5明确区分跨运行代表点与运行内选点的均值。2.0档均值低于主实验指定BASE代表点被表述为描述性参照，不作为逐运行稳定抵消的证据。排放非增作为固定候选池线性成本选择的数学自检，图5不再连接采样点以暗示档间阈值。</w:t>
      </w:r>
    </w:p>
    <w:p>
      <w:pPr>
        <w:pStyle w:val="Normal"/>
      </w:pPr>
      <w:r>
        <w:rPr/>
        <w:t xml:space="preserve">离线入口为examples/rebuild_rev3.py，使用Python标准库即可重建主比较、E2至E5代表点、双口径覆盖率及新共池结果。其写出文件位于data/results/rev3。历史run_c1_pricepool.py的仓库导入路径和输出目录设置已在补充包中修正，并提供--check入口；回应不再声称历史run_c1_rev2.py生成了原始archive。公开仓库未由本次修订写入，新增材料随本地补充包交付。</w:t>
      </w:r>
    </w:p>
    <w:p>
      <w:pPr>
        <w:pStyle w:val="Heading1"/>
      </w:pPr>
      <w:r>
        <w:rPr/>
        <w:t xml:space="preserve">R3-m1 未取整统计与标准差定义已落实</w:t>
      </w:r>
    </w:p>
    <w:p>
      <w:pPr>
        <w:pStyle w:val="Normal"/>
      </w:pPr>
      <w:r>
        <w:rPr/>
        <w:t xml:space="preserve">全部运行级统计从档案染色体重评价后计算，最后取整。摘要、3.2节、表3注与结论同步为齿轮轴C1减BASE完工−32.3±15.3 min，CTRL减BASE完工−4.2±13.3 min、成本−63.8±6.7元；Mk04碳差为+0.90±0.23 kgCO₂。齿轮轴联合感知成本差的配对t 95%区间为−30.4至2.6元，仍跨零。</w:t>
      </w:r>
    </w:p>
    <w:p>
      <w:pPr>
        <w:pStyle w:val="Normal"/>
      </w:pPr>
      <w:r>
        <w:rPr/>
        <w:t xml:space="preserve">3.1节明确描述性标准差分母为n，主比较n=6，共池n=4；配对t区间另使用样本标准差与自由度5，并说明小样本推断假设。原始逐运行差值、均值、两类标准差和区间均保存在main_stats_rev3.json，避免从一位小数数组反复汇总。</w:t>
      </w:r>
    </w:p>
    <w:p>
      <w:pPr>
        <w:pStyle w:val="Heading1"/>
      </w:pPr>
      <w:r>
        <w:rPr/>
        <w:t xml:space="preserve">R3-m2 表5成本口径与图5已同步</w:t>
      </w:r>
    </w:p>
    <w:p>
      <w:pPr>
        <w:pStyle w:val="Normal"/>
      </w:pPr>
      <w:r>
        <w:rPr/>
        <w:t xml:space="preserve">表5四行共池成本统一为不含碳结算口径，图5使用同一数据。表注说明四个运行内候选池及其选点均值，误差棒为运行间标准差。独立搜索层仍标注含结算和探索性代表点，两层口径不作直接横向收益比较。</w:t>
      </w:r>
    </w:p>
    <w:p>
      <w:pPr>
        <w:pStyle w:val="Heading1"/>
      </w:pPr>
      <w:r>
        <w:rPr/>
        <w:t xml:space="preserve">R3-m3 嵌入图与公式已实际替换</w:t>
      </w:r>
    </w:p>
    <w:p>
      <w:pPr>
        <w:pStyle w:val="Normal"/>
      </w:pPr>
      <w:r>
        <w:rPr/>
        <w:t xml:space="preserve">已重绘并替换交付DOCX内的七幅嵌入图。图2明确采用Queue-append earliest-start decoding；图1明确内部ON空档与块起点核算，图7明确Joint ratio同时作用于待机与加载瞬态能耗。图3与图4提高了标记和文字的可读性，图5换为本轮归档共池的双面板采样点与误差棒。式(6)指数beta改为原生数学β，保留可编辑公式。</w:t>
      </w:r>
    </w:p>
    <w:p>
      <w:pPr>
        <w:pStyle w:val="Heading1"/>
      </w:pPr>
      <w:r>
        <w:rPr/>
        <w:t xml:space="preserve">R3-m4 递推描述与有符号配额记录已订正</w:t>
      </w:r>
    </w:p>
    <w:p>
      <w:pPr>
        <w:pStyle w:val="Normal"/>
      </w:pPr>
      <w:r>
        <w:rPr/>
        <w:t xml:space="preserve">2.1与2.2节改为固定机床指派、同机工序顺序和速度后递推确定时刻，并明确加工时长为Tijk/sij。算法本身保持不变。补充包重算E6有符号平移，齿轮轴与Mk04每增0.1配额倍率分别约−1.9387和−0.0628元，历史汇总中的signed字段已订正，原记录另存以保留来源。</w:t>
      </w:r>
    </w:p>
    <w:p>
      <w:pPr>
        <w:pStyle w:val="Heading1"/>
      </w:pPr>
      <w:r>
        <w:rPr/>
        <w:t xml:space="preserve">R3-m5 情景来源与可得性声明已收窄</w:t>
      </w:r>
    </w:p>
    <w:p>
      <w:pPr>
        <w:pStyle w:val="Normal"/>
      </w:pPr>
      <w:r>
        <w:rPr/>
        <w:t xml:space="preserve">3.1节将分时曲线和0.08碳价明确标为示例情景，删除未经定位的“目录结构”“2024至2025年市场均价”断言，不将机械加工案例认定为实际ETS履约主体。工业来源参数与合成、假设参数分别说明，补充包DATA.md及参数JSON同步。</w:t>
      </w:r>
    </w:p>
    <w:p>
      <w:pPr>
        <w:pStyle w:val="Normal"/>
      </w:pPr>
      <w:r>
        <w:rPr/>
        <w:t xml:space="preserve">代码可用性章节直接说明原始档案、新结果、配置映射与离线入口；基线复现的逐算例和组件汇总、日志已随补充包提供。核对既有table2_repro.json后，将平均hypervolume高于固定率ASA实现的算例数由8更正为10，覆盖率为1的算例数仍为6；不据这些汇总声称完成全套新复现，也删除引导初始化在全部情景中稳定有益的判断。</w:t>
      </w:r>
    </w:p>
    <w:p>
      <w:pPr>
        <w:pStyle w:val="Heading1"/>
      </w:pPr>
      <w:r>
        <w:rPr/>
        <w:t xml:space="preserve">交付与核验范围</w:t>
      </w:r>
    </w:p>
    <w:p>
      <w:pPr>
        <w:pStyle w:val="Normal"/>
      </w:pPr>
      <w:r>
        <w:rPr/>
        <w:t xml:space="preserve">本次没有重跑进化优化，主要数值由已存档班表解码重评价；基线复现保留既有汇总资料。正文已校正与审稿相关的科学主张，原始实测或工业数据的现场真实性及功率参数校准未作新增验证。等待基因、单因素通道实验和现场校准继续保留为研究扩展，不列为本轮已完成实验。</w:t>
      </w:r>
    </w:p>
    <w:p>
      <w:pPr>
        <w:pStyle w:val="Normal"/>
      </w:pPr>
      <w:r>
        <w:rPr/>
        <w:t xml:space="preserve">署名、单位、邮编和通讯邮箱仍沿用原稿占位，需作者在正式投稿前补齐。</w:t>
      </w:r>
    </w:p>
    <w:sectPr w:rsidR="00FC693F" w:rsidRPr="0006063C" w:rsidSect="00034616">
      <w:footerReference w:type="default" r:id="rId9"/>
      <w:pgSz w:w="11906" w:h="16838"/>
      <w:pgMar w:top="1440" w:right="1417" w:bottom="144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30">
    <w:multiLevelType w:val="multilevel"/>
    <w:lvl w:ilvl="0">
      <w:start w:val="1"/>
      <w:numFmt w:val="decimal"/>
      <w:pStyle w:val="Heading1"/>
      <w:lvlText w:val="%1"/>
      <w:suff w:val="space"/>
    </w:lvl>
    <w:lvl w:ilvl="1">
      <w:start w:val="1"/>
      <w:numFmt w:val="decimal"/>
      <w:pStyle w:val="Heading2"/>
      <w:lvlText w:val="%1.%2"/>
      <w:suff w:val="space"/>
    </w:lvl>
    <w:lvl w:ilvl="2">
      <w:start w:val="1"/>
      <w:numFmt w:val="decimal"/>
      <w:pStyle w:val="Heading3"/>
      <w:lvlText w:val="%1.%2.%3"/>
      <w:suff w:val="space"/>
    </w:lvl>
  </w:abstract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480" w:firstLineChars="200"/>
      <w:jc w:val="both"/>
      <w:snapToGrid w:val="0"/>
    </w:pPr>
    <w:rPr>
      <w:rFonts w:ascii="Times New Roman" w:hAnsi="Times New Roman" w:eastAsia="宋体" w:cs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  <w:ind w:firstLine="0" w:firstLineChars="0"/>
      <w:jc w:val="center"/>
      <w:snapToGrid w:val="0"/>
    </w:pPr>
    <w:rPr>
      <w:rFonts w:ascii="Times New Roman" w:hAnsi="Times New Roman" w:eastAsia="宋体" w:cs="Times New Roman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360" w:lineRule="auto"/>
      <w:ind w:firstLine="0" w:firstLineChars="0"/>
      <w:jc w:val="left"/>
      <w:outlineLvl w:val="0"/>
      <w:snapToGrid w:val="0"/>
      <w:numPr>
        <w:ilvl w:val="0"/>
        <w:numId w:val="30"/>
      </w:numPr>
    </w:pPr>
    <w:rPr>
      <w:rFonts w:cstheme="majorBidi" w:ascii="Times New Roman" w:hAnsi="Times New Roman" w:eastAsia="黑体" w:cs="Times New Roman"/>
      <w:b w:val="0"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20" w:after="60" w:line="360" w:lineRule="auto"/>
      <w:ind w:firstLine="0" w:firstLineChars="0"/>
      <w:jc w:val="left"/>
      <w:outlineLvl w:val="1"/>
      <w:snapToGrid w:val="0"/>
      <w:numPr>
        <w:ilvl w:val="1"/>
        <w:numId w:val="30"/>
      </w:numPr>
    </w:pPr>
    <w:rPr>
      <w:rFonts w:cstheme="majorBidi" w:ascii="Times New Roman" w:hAnsi="Times New Roman" w:eastAsia="黑体" w:cs="Times New Roman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360" w:lineRule="auto"/>
      <w:ind w:firstLine="0" w:firstLineChars="0"/>
      <w:jc w:val="left"/>
      <w:outlineLvl w:val="2"/>
      <w:snapToGrid w:val="0"/>
      <w:numPr>
        <w:ilvl w:val="2"/>
        <w:numId w:val="30"/>
      </w:numPr>
    </w:pPr>
    <w:rPr>
      <w:rFonts w:cstheme="majorBidi" w:ascii="Times New Roman" w:hAnsi="Times New Roman" w:eastAsia="黑体" w:cs="Times New Roman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360" w:line="360" w:lineRule="auto" w:before="0"/>
      <w:ind w:firstLine="0" w:firstLineChars="0"/>
      <w:contextualSpacing/>
      <w:jc w:val="center"/>
      <w:snapToGrid w:val="0"/>
    </w:pPr>
    <w:rPr>
      <w:rFonts w:cstheme="majorBidi" w:ascii="Times New Roman" w:hAnsi="Times New Roman" w:eastAsia="黑体" w:cs="Times New Roman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 w:before="120" w:after="120"/>
      <w:ind w:firstLine="0" w:firstLineChars="0"/>
      <w:jc w:val="center"/>
      <w:snapToGrid w:val="0"/>
    </w:pPr>
    <w:rPr>
      <w:rFonts w:ascii="Times New Roman" w:hAnsi="Times New Roman" w:eastAsia="宋体" w:cs="Times New Roman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bstractHeading">
    <w:name w:val="Abstract Heading"/>
    <w:basedOn w:val="Normal"/>
    <w:pPr>
      <w:keepNext/>
      <w:widowControl/>
      <w:spacing w:line="360" w:lineRule="auto" w:before="240" w:after="120"/>
      <w:ind w:firstLine="0" w:firstLineChars="0"/>
      <w:jc w:val="center"/>
      <w:snapToGrid w:val="0"/>
    </w:pPr>
    <w:rPr>
      <w:rFonts w:ascii="Times New Roman" w:hAnsi="Times New Roman" w:eastAsia="黑体" w:cs="Times New Roman"/>
      <w:b w:val="0"/>
      <w:color w:val="000000"/>
      <w:sz w:val="32"/>
    </w:rPr>
  </w:style>
  <w:style w:type="paragraph" w:customStyle="1" w:styleId="EnglishAbstract">
    <w:name w:val="English Abstract"/>
    <w:basedOn w:val="Normal"/>
    <w:pPr>
      <w:widowControl/>
      <w:spacing w:line="360" w:lineRule="auto" w:before="0" w:after="0"/>
      <w:ind w:firstLine="0" w:firstLineChars="0"/>
      <w:jc w:val="both"/>
      <w:snapToGrid w:val="0"/>
    </w:pPr>
    <w:rPr>
      <w:rFonts w:ascii="Times New Roman" w:hAnsi="Times New Roman" w:eastAsia="宋体" w:cs="Times New Roman"/>
      <w:b w:val="0"/>
      <w:color w:val="000000"/>
      <w:sz w:val="24"/>
    </w:rPr>
  </w:style>
  <w:style w:type="paragraph" w:customStyle="1" w:styleId="Keywords">
    <w:name w:val="Keywords"/>
    <w:basedOn w:val="Normal"/>
    <w:pPr>
      <w:widowControl/>
      <w:spacing w:line="360" w:lineRule="auto" w:before="0" w:after="0"/>
      <w:ind w:firstLine="0" w:firstLineChars="0"/>
      <w:jc w:val="both"/>
      <w:snapToGrid w:val="0"/>
    </w:pPr>
    <w:rPr>
      <w:rFonts w:ascii="Times New Roman" w:hAnsi="Times New Roman" w:eastAsia="宋体" w:cs="Times New Roman"/>
      <w:b w:val="0"/>
      <w:color w:val="000000"/>
      <w:sz w:val="24"/>
    </w:rPr>
  </w:style>
  <w:style w:type="paragraph" w:customStyle="1" w:styleId="TableText">
    <w:name w:val="Table Text"/>
    <w:basedOn w:val="Normal"/>
    <w:pPr>
      <w:widowControl/>
      <w:spacing w:line="240" w:lineRule="auto" w:before="0" w:after="0"/>
      <w:ind w:firstLine="0" w:firstLineChars="0"/>
      <w:jc w:val="center"/>
      <w:snapToGrid w:val="0"/>
    </w:pPr>
    <w:rPr>
      <w:rFonts w:ascii="Times New Roman" w:hAnsi="Times New Roman" w:eastAsia="宋体" w:cs="Times New Roman"/>
      <w:b w:val="0"/>
      <w:color w:val="000000"/>
      <w:sz w:val="21"/>
    </w:rPr>
  </w:style>
  <w:style w:type="paragraph" w:customStyle="1" w:styleId="Reference">
    <w:name w:val="Reference"/>
    <w:basedOn w:val="Normal"/>
    <w:pPr>
      <w:widowControl/>
      <w:spacing w:line="240" w:lineRule="auto" w:before="0" w:after="60"/>
      <w:ind w:firstLineChars="0" w:left="425" w:hanging="425" w:hangingChars="200"/>
      <w:jc w:val="both"/>
      <w:snapToGrid w:val="0"/>
    </w:pPr>
    <w:rPr>
      <w:rFonts w:ascii="Times New Roman" w:hAnsi="Times New Roman" w:eastAsia="宋体" w:cs="Times New Roman"/>
      <w:b w:val="0"/>
      <w:color w:val="000000"/>
      <w:sz w:val="21"/>
    </w:rPr>
  </w:style>
  <w:style w:type="paragraph" w:customStyle="1" w:styleId="Note">
    <w:name w:val="Note"/>
    <w:basedOn w:val="Normal"/>
    <w:pPr>
      <w:widowControl/>
      <w:spacing w:line="240" w:lineRule="auto" w:before="0" w:after="0"/>
      <w:ind w:firstLine="0" w:firstLineChars="0"/>
      <w:jc w:val="both"/>
      <w:snapToGrid w:val="0"/>
    </w:pPr>
    <w:rPr>
      <w:rFonts w:ascii="Times New Roman" w:hAnsi="Times New Roman" w:eastAsia="宋体" w:cs="Times New Roman"/>
      <w:b w:val="0"/>
      <w:color w:val="000000"/>
      <w:sz w:val="21"/>
    </w:rPr>
  </w:style>
  <w:style w:type="paragraph" w:customStyle="1" w:styleId="Equation">
    <w:name w:val="Equation"/>
    <w:basedOn w:val="Normal"/>
    <w:pPr>
      <w:widowControl/>
      <w:spacing w:line="360" w:lineRule="auto" w:before="120" w:after="120"/>
      <w:ind w:firstLine="0" w:firstLineChars="0"/>
      <w:jc w:val="center"/>
      <w:snapToGrid w:val="0"/>
    </w:pPr>
    <w:rPr>
      <w:rFonts w:ascii="Times New Roman" w:hAnsi="Times New Roman" w:eastAsia="宋体" w:cs="Times New Roman"/>
      <w:b w:val="0"/>
      <w:color w:val="000000"/>
      <w:sz w:val="24"/>
    </w:rPr>
  </w:style>
  <w:style w:type="paragraph" w:customStyle="1" w:styleId="TOC1">
    <w:name w:val="TOC 1"/>
    <w:basedOn w:val="Normal"/>
    <w:pPr>
      <w:widowControl/>
      <w:spacing w:line="360" w:lineRule="auto" w:before="0" w:after="0"/>
      <w:ind w:firstLine="0" w:firstLineChars="0"/>
      <w:jc w:val="both"/>
      <w:snapToGrid w:val="0"/>
    </w:pPr>
    <w:rPr>
      <w:rFonts w:ascii="Times New Roman" w:hAnsi="Times New Roman" w:eastAsia="宋体" w:cs="Times New Roman"/>
      <w:b w:val="0"/>
      <w:color w:val="000000"/>
      <w:sz w:val="24"/>
    </w:rPr>
  </w:style>
  <w:style w:type="paragraph" w:customStyle="1" w:styleId="TOC2">
    <w:name w:val="TOC 2"/>
    <w:basedOn w:val="Normal"/>
    <w:pPr>
      <w:widowControl/>
      <w:spacing w:line="360" w:lineRule="auto" w:before="0" w:after="0"/>
      <w:ind w:firstLine="0" w:firstLineChars="0"/>
      <w:jc w:val="both"/>
      <w:snapToGrid w:val="0"/>
    </w:pPr>
    <w:rPr>
      <w:rFonts w:ascii="Times New Roman" w:hAnsi="Times New Roman" w:eastAsia="宋体" w:cs="Times New Roman"/>
      <w:b w:val="0"/>
      <w:color w:val="000000"/>
      <w:sz w:val="24"/>
    </w:rPr>
  </w:style>
  <w:style w:type="paragraph" w:customStyle="1" w:styleId="TOC3">
    <w:name w:val="TOC 3"/>
    <w:basedOn w:val="Normal"/>
    <w:pPr>
      <w:widowControl/>
      <w:spacing w:line="360" w:lineRule="auto" w:before="0" w:after="0"/>
      <w:ind w:firstLine="0" w:firstLineChars="0"/>
      <w:jc w:val="both"/>
      <w:snapToGrid w:val="0"/>
    </w:pPr>
    <w:rPr>
      <w:rFonts w:ascii="Times New Roman" w:hAnsi="Times New Roman" w:eastAsia="宋体" w:cs="Times New Roman"/>
      <w:b w:val="0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第三轮审稿回应与修改说明</dc:title>
  <dc:subject>个人默认 Word 格式 v1.0</dc:subject>
  <dc:creator>Codex</dc:creator>
  <cp:keywords/>
  <dc:description>generated by python-docx</dc:description>
  <cp:lastModifiedBy>Codex</cp:lastModifiedBy>
  <cp:revision>1</cp:revision>
  <dcterms:created xsi:type="dcterms:W3CDTF">2013-12-23T23:15:00Z</dcterms:created>
  <dcterms:modified xsi:type="dcterms:W3CDTF">2013-12-23T23:15:00Z</dcterms:modified>
  <cp:category/>
</cp:coreProperties>
</file>