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ind w:firstLine="0"/>
        <w:jc w:val="center"/>
      </w:pPr>
      <w:r>
        <w:rPr>
          <w:rFonts w:ascii="Times New Roman" w:hAnsi="Times New Roman" w:eastAsia="黑体"/>
          <w:b w:val="0"/>
          <w:sz w:val="44"/>
        </w:rPr>
        <w:t xml:space="preserve">耦合分时电价、变速选择与线性碳结算的柔性作业车间调度：三目标优化与价格碳权衡的情景依赖性</w:t>
      </w:r>
    </w:p>
    <w:p>
      <w:pPr>
        <w:spacing w:line="240" w:lineRule="auto" w:after="60"/>
        <w:ind w:firstLine="0"/>
        <w:jc w:val="center"/>
      </w:pPr>
      <w:r>
        <w:rPr>
          <w:rFonts w:ascii="Times New Roman" w:hAnsi="Times New Roman" w:eastAsia="宋体"/>
          <w:b w:val="0"/>
          <w:sz w:val="24"/>
        </w:rPr>
        <w:t>作者一（First Author）¹　作者二（Second Author）²*</w:t>
      </w:r>
    </w:p>
    <w:p>
      <w:pPr>
        <w:spacing w:line="240" w:lineRule="auto" w:after="60"/>
        <w:ind w:firstLine="0"/>
        <w:jc w:val="center"/>
      </w:pPr>
      <w:r>
        <w:rPr>
          <w:rFonts w:ascii="Times New Roman" w:hAnsi="Times New Roman" w:eastAsia="宋体"/>
          <w:b w:val="0"/>
          <w:sz w:val="21"/>
        </w:rPr>
        <w:t>¹ 单位一，城市 邮编；² 单位二，城市 邮编</w:t>
      </w:r>
    </w:p>
    <w:p>
      <w:pPr>
        <w:spacing w:line="240" w:lineRule="auto" w:after="60"/>
        <w:ind w:firstLine="0"/>
        <w:jc w:val="center"/>
      </w:pPr>
      <w:r>
        <w:rPr>
          <w:rFonts w:ascii="Times New Roman" w:hAnsi="Times New Roman" w:eastAsia="宋体"/>
          <w:b w:val="0"/>
          <w:sz w:val="21"/>
        </w:rPr>
        <w:t>* 通讯作者（E-mail：待补充）</w:t>
      </w:r>
    </w:p>
    <w:p>
      <w:pPr>
        <w:spacing w:before="240" w:after="120"/>
        <w:ind w:firstLine="0"/>
        <w:jc w:val="center"/>
        <w:keepNext w:val="1"/>
        <w:keepLines w:val="1"/>
      </w:pPr>
      <w:r>
        <w:rPr>
          <w:rFonts w:ascii="Times New Roman" w:hAnsi="Times New Roman" w:eastAsia="黑体"/>
          <w:b w:val="0"/>
          <w:sz w:val="32"/>
        </w:rPr>
        <w:t>摘要</w:t>
      </w:r>
    </w:p>
    <w:p>
      <w:pPr>
        <w:spacing w:line="360" w:lineRule="auto" w:after="0"/>
        <w:ind w:firstLine="480"/>
        <w:jc w:val="both"/>
      </w:pPr>
      <w:r>
        <w:rPr>
          <w:rFonts w:ascii="Times New Roman" w:hAnsi="Times New Roman" w:eastAsia="宋体"/>
          <w:b w:val="0"/>
          <w:sz w:val="24"/>
        </w:rPr>
        <w:t xml:space="preserve">柔性作业车间的排序、机床指派与速度选择共同影响加工时刻、用电费用和碳排放。针对不同规划规则因计价假设和能耗边界不同而难以直接比较的问题，本文建立统一能源账本下的三目标调度模型，对加工、待机与启停电量一致计费计碳，并耦合分时电价、离散变速与线性碳结算。采用共同求解配置和现实成本最小选点规则，设置价格盲目但速度可见的对照，分别评价速度可用性及分时与碳结算联合感知的增量。齿轮轴案例中，整合规则相对平价基线每运行降低成本77.7±13.6元、缩短完工32.3±15.3 min，同时增加碳排33.3±14.4 kgCO₂；重评价并集前沿的双向覆盖率为1.000与0.000。由已归档四档碳价搜索班表构建的运行内公共池，在0与0.08元/kgCO₂下选点相同，在0.8与2.0档观察到平均排放下降。起点移位与待机、启停能耗的联合参数实验表明，所测情景中的成本排放权衡可随实例和参数改变方向；齿轮轴在联合归零后仍存在增碳现象，排除了全待机解释。线性对称结算下，配额水平仅平移成本常数，不改变调度排序。结果量化了联合规划规则的收益及碳代价，并为指定解码空间与搜索预算下的价格响应提供了可复核证据。</w:t>
      </w:r>
    </w:p>
    <w:p>
      <w:pPr>
        <w:spacing w:after="120"/>
        <w:ind w:firstLine="0"/>
      </w:pPr>
      <w:r>
        <w:rPr>
          <w:rFonts w:ascii="Times New Roman" w:hAnsi="Times New Roman" w:eastAsia="宋体"/>
          <w:b/>
          <w:sz w:val="24"/>
        </w:rPr>
        <w:t xml:space="preserve">关键词：柔性作业车间调度；低碳制造；分时电价；线性碳结算；机床变速；统一能源账本；价格碳权衡</w:t>
      </w:r>
    </w:p>
    <w:p>
      <w:pPr>
        <w:spacing w:before="240" w:after="120"/>
        <w:ind w:firstLine="0"/>
        <w:jc w:val="left"/>
        <w:keepNext w:val="1"/>
        <w:keepLines w:val="1"/>
      </w:pPr>
      <w:r>
        <w:rPr>
          <w:rFonts w:ascii="Times New Roman" w:hAnsi="Times New Roman" w:eastAsia="黑体"/>
          <w:b w:val="0"/>
          <w:sz w:val="32"/>
        </w:rPr>
        <w:t>1　引言</w:t>
      </w:r>
    </w:p>
    <w:p>
      <w:pPr>
        <w:spacing w:line="360" w:lineRule="auto" w:after="0"/>
        <w:ind w:firstLine="480"/>
        <w:jc w:val="both"/>
      </w:pPr>
      <w:r>
        <w:rPr>
          <w:rFonts w:ascii="Times New Roman" w:hAnsi="Times New Roman" w:eastAsia="宋体"/>
          <w:b w:val="0"/>
          <w:sz w:val="24"/>
        </w:rPr>
        <w:t xml:space="preserve">生产调度决定制造用电在何时、何地以及以何种强度被消耗，因此同时影响生产成本与碳足迹。柔性作业车间中，每道工序可在候选机床集中选择设备，加工速度又进一步改变工序时长与功率。将工序排序、机床指派和加工强度联合优化，是研究制造效率与低碳目标之间关系的重要途径[13]。</w:t>
      </w:r>
    </w:p>
    <w:p>
      <w:pPr>
        <w:spacing w:line="360" w:lineRule="auto" w:after="0"/>
        <w:ind w:firstLine="480"/>
        <w:jc w:val="both"/>
      </w:pPr>
      <w:r>
        <w:rPr>
          <w:rFonts w:ascii="Times New Roman" w:hAnsi="Times New Roman" w:eastAsia="宋体"/>
          <w:b w:val="0"/>
          <w:sz w:val="24"/>
        </w:rPr>
        <w:t xml:space="preserve">低碳柔性车间调度研究可按所嵌入的经济机制分为三类。第一类在时间目标上叠加由恒定功率与固定排放因子计算的能耗或碳排项，代表工作包括Mei等[1]的改进NSGA-II三目标模型、Liao与Qian[2]的碳足迹驱动模型，以及Destouet等[3]的可持续调度模型。第二类引入动态或分时电价，研究能源与劳务目标[4]、客户满意度[5]以及离散速度选择[6]。第三类引入碳成本或能源市场机制，包括配额交易与外包策略[7]、生产调度与能源采购的两层耦合[8]；相关研究也采用深度强化学习处理可再生供给下的低碳调度[9]和扰动重调度[10]。表1比较上述近邻研究的机制特征。在所比较文献中，分时电价、速度相关功率与碳结算尚未在本文采用的统一评价框架中共同处理，待机与启停状态的披露口径也不尽相同。表中“未报告”表示原文没有披露相应边界或状态定义，不代表确定缺失。为比较不同规划规则的实际价值，还需要在共同电价、结算与能耗账本下重新评价其班表，并将模型规则、求解配置和取点方式分别说明。</w:t>
      </w:r>
    </w:p>
    <w:p>
      <w:pPr>
        <w:spacing w:line="360" w:lineRule="auto" w:after="0"/>
        <w:ind w:firstLine="480"/>
        <w:jc w:val="both"/>
      </w:pPr>
      <w:r>
        <w:rPr>
          <w:rFonts w:ascii="Times New Roman" w:hAnsi="Times New Roman" w:eastAsia="宋体"/>
          <w:b w:val="0"/>
          <w:sz w:val="24"/>
        </w:rPr>
        <w:t xml:space="preserve">本文建立耦合分时电价、离散速度与线性碳结算的三目标柔性作业车间调度模型，以统一能源账本连接生产决策、电费与碳排，并采用带引导初始化的NSGA-II求解。研究贡献有四方面。第一，在共同求解配置与同现实评价下量化整合规则相对平价基线的成本、完工和碳排增量，通过速度可见对照区分速度可用性与联合市场感知的运行级效果。第二，在固定运行内候选池中分析四档碳价的选点与排放响应，并给出配额常数平移的数学性质与数值校核。第三，通过班次起点移位和非加工能耗联合参数实验，给出价格碳权衡随所测情景变化的证据及反例。第四，提供班表档案、实验配置映射与离线重评价程序，使主比较、消融和共池结果能够从染色体直接复算。</w:t>
      </w:r>
    </w:p>
    <w:p>
      <w:pPr>
        <w:spacing w:line="240" w:lineRule="auto" w:before="120" w:after="120"/>
        <w:ind w:firstLine="0"/>
        <w:jc w:val="center"/>
        <w:keepNext w:val="1"/>
        <w:keepLines w:val="1"/>
      </w:pPr>
      <w:r>
        <w:rPr>
          <w:rFonts w:ascii="Times New Roman" w:hAnsi="Times New Roman" w:eastAsia="宋体"/>
          <w:b w:val="0"/>
          <w:sz w:val="21"/>
        </w:rPr>
        <w:t xml:space="preserve">表1　近邻研究与本文的机制特征比较</w:t>
      </w:r>
    </w:p>
    <w:tbl>
      <w:tblPr>
        <w:tblW w:type="auto" w:w="0"/>
        <w:jc w:val="center"/>
        <w:tblLook w:firstColumn="1" w:firstRow="1" w:lastColumn="0" w:lastRow="0" w:noHBand="0" w:noVBand="1" w:val="04A0"/>
        <w:tblBorders>
          <w:top w:val="single" w:sz="12" w:space="0" w:color="000000"/>
          <w:bottom w:val="single" w:sz="12" w:space="0" w:color="000000"/>
          <w:insideH w:val="none"/>
          <w:left w:val="none"/>
          <w:right w:val="none"/>
          <w:insideV w:val="none"/>
        </w:tblBorders>
      </w:tblPr>
      <w:tblGrid>
        <w:gridCol w:w="1255"/>
        <w:gridCol w:w="1255"/>
        <w:gridCol w:w="1255"/>
        <w:gridCol w:w="1255"/>
        <w:gridCol w:w="1255"/>
        <w:gridCol w:w="1255"/>
        <w:gridCol w:w="1255"/>
      </w:tblGrid>
      <w:tr>
        <w:trPr>
          <w:cantSplit/>
          <w:tblHeader/>
        </w:trPr>
        <w:tc>
          <w:tcPr>
            <w:tcW w:type="dxa" w:w="1255"/>
            <w:tcBorders>
              <w:bottom w:val="single" w:sz="6" w:color="000000"/>
            </w:tcBorders>
          </w:tcPr>
          <w:p>
            <w:pPr>
              <w:spacing w:line="240" w:lineRule="auto" w:after="40"/>
              <w:jc w:val="center"/>
            </w:pPr>
            <w:r/>
            <w:r>
              <w:rPr>
                <w:rFonts w:ascii="Times New Roman" w:hAnsi="Times New Roman" w:eastAsia="宋体"/>
                <w:b/>
                <w:sz w:val="21"/>
              </w:rPr>
              <w:t>研究</w:t>
            </w:r>
          </w:p>
        </w:tc>
        <w:tc>
          <w:tcPr>
            <w:tcW w:type="dxa" w:w="1255"/>
            <w:tcBorders>
              <w:bottom w:val="single" w:sz="6" w:color="000000"/>
            </w:tcBorders>
          </w:tcPr>
          <w:p>
            <w:pPr>
              <w:spacing w:line="240" w:lineRule="auto" w:after="40"/>
              <w:jc w:val="center"/>
            </w:pPr>
            <w:r/>
            <w:r>
              <w:rPr>
                <w:rFonts w:ascii="Times New Roman" w:hAnsi="Times New Roman" w:eastAsia="宋体"/>
                <w:b/>
                <w:sz w:val="21"/>
              </w:rPr>
              <w:t>分时计费</w:t>
            </w:r>
          </w:p>
        </w:tc>
        <w:tc>
          <w:tcPr>
            <w:tcW w:type="dxa" w:w="1255"/>
            <w:tcBorders>
              <w:bottom w:val="single" w:sz="6" w:color="000000"/>
            </w:tcBorders>
          </w:tcPr>
          <w:p>
            <w:pPr>
              <w:spacing w:line="240" w:lineRule="auto" w:after="40"/>
              <w:jc w:val="center"/>
            </w:pPr>
            <w:r/>
            <w:r>
              <w:rPr>
                <w:rFonts w:ascii="Times New Roman" w:hAnsi="Times New Roman" w:eastAsia="宋体"/>
                <w:b/>
                <w:sz w:val="21"/>
              </w:rPr>
              <w:t>速度功率耦合</w:t>
            </w:r>
          </w:p>
        </w:tc>
        <w:tc>
          <w:tcPr>
            <w:tcW w:type="dxa" w:w="1255"/>
            <w:tcBorders>
              <w:bottom w:val="single" w:sz="6" w:color="000000"/>
            </w:tcBorders>
          </w:tcPr>
          <w:p>
            <w:pPr>
              <w:spacing w:line="240" w:lineRule="auto" w:after="40"/>
              <w:jc w:val="center"/>
            </w:pPr>
            <w:r/>
            <w:r>
              <w:rPr>
                <w:rFonts w:ascii="Times New Roman" w:hAnsi="Times New Roman" w:eastAsia="宋体"/>
                <w:b/>
                <w:sz w:val="21"/>
              </w:rPr>
              <w:t>待机启停计费</w:t>
            </w:r>
          </w:p>
        </w:tc>
        <w:tc>
          <w:tcPr>
            <w:tcW w:type="dxa" w:w="1255"/>
            <w:tcBorders>
              <w:bottom w:val="single" w:sz="6" w:color="000000"/>
            </w:tcBorders>
          </w:tcPr>
          <w:p>
            <w:pPr>
              <w:spacing w:line="240" w:lineRule="auto" w:after="40"/>
              <w:jc w:val="center"/>
            </w:pPr>
            <w:r/>
            <w:r>
              <w:rPr>
                <w:rFonts w:ascii="Times New Roman" w:hAnsi="Times New Roman" w:eastAsia="宋体"/>
                <w:b/>
                <w:sz w:val="21"/>
              </w:rPr>
              <w:t>碳成本机制</w:t>
            </w:r>
          </w:p>
        </w:tc>
        <w:tc>
          <w:tcPr>
            <w:tcW w:type="dxa" w:w="1255"/>
            <w:tcBorders>
              <w:bottom w:val="single" w:sz="6" w:color="000000"/>
            </w:tcBorders>
          </w:tcPr>
          <w:p>
            <w:pPr>
              <w:spacing w:line="240" w:lineRule="auto" w:after="40"/>
              <w:jc w:val="center"/>
            </w:pPr>
            <w:r/>
            <w:r>
              <w:rPr>
                <w:rFonts w:ascii="Times New Roman" w:hAnsi="Times New Roman" w:eastAsia="宋体"/>
                <w:b/>
                <w:sz w:val="21"/>
              </w:rPr>
              <w:t>等待或时钟决策</w:t>
            </w:r>
          </w:p>
        </w:tc>
        <w:tc>
          <w:tcPr>
            <w:tcW w:type="dxa" w:w="1255"/>
            <w:tcBorders>
              <w:bottom w:val="single" w:sz="6" w:color="000000"/>
            </w:tcBorders>
          </w:tcPr>
          <w:p>
            <w:pPr>
              <w:spacing w:line="240" w:lineRule="auto" w:after="40"/>
              <w:jc w:val="center"/>
            </w:pPr>
            <w:r/>
            <w:r>
              <w:rPr>
                <w:rFonts w:ascii="Times New Roman" w:hAnsi="Times New Roman" w:eastAsia="宋体"/>
                <w:b/>
                <w:sz w:val="21"/>
              </w:rPr>
              <w:t>统一账本</w:t>
            </w:r>
          </w:p>
        </w:tc>
      </w:tr>
      <w:tr>
        <w:trPr>
          <w:cantSplit/>
        </w:trPr>
        <w:tc>
          <w:tcPr>
            <w:tcW w:type="dxa" w:w="1255"/>
          </w:tcPr>
          <w:p>
            <w:pPr>
              <w:spacing w:line="240" w:lineRule="auto" w:after="40"/>
              <w:jc w:val="center"/>
            </w:pPr>
            <w:r/>
            <w:r>
              <w:rPr>
                <w:rFonts w:ascii="Times New Roman" w:hAnsi="Times New Roman" w:eastAsia="宋体"/>
                <w:b w:val="0"/>
                <w:sz w:val="21"/>
              </w:rPr>
              <w:t>Mei 等[1]</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仅计碳</w:t>
            </w:r>
          </w:p>
        </w:tc>
        <w:tc>
          <w:tcPr>
            <w:tcW w:type="dxa" w:w="1255"/>
          </w:tcPr>
          <w:p>
            <w:pPr>
              <w:spacing w:line="240" w:lineRule="auto" w:after="40"/>
              <w:jc w:val="center"/>
            </w:pPr>
            <w:r/>
            <w:r>
              <w:rPr>
                <w:rFonts w:ascii="Times New Roman" w:hAnsi="Times New Roman" w:eastAsia="宋体"/>
                <w:b w:val="0"/>
                <w:sz w:val="21"/>
              </w:rPr>
              <w:t>固定因子</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否</w:t>
            </w:r>
          </w:p>
        </w:tc>
      </w:tr>
      <w:tr>
        <w:trPr>
          <w:cantSplit/>
        </w:trPr>
        <w:tc>
          <w:tcPr>
            <w:tcW w:type="dxa" w:w="1255"/>
          </w:tcPr>
          <w:p>
            <w:pPr>
              <w:spacing w:line="240" w:lineRule="auto" w:after="40"/>
              <w:jc w:val="center"/>
            </w:pPr>
            <w:r/>
            <w:r>
              <w:rPr>
                <w:rFonts w:ascii="Times New Roman" w:hAnsi="Times New Roman" w:eastAsia="宋体"/>
                <w:b w:val="0"/>
                <w:sz w:val="21"/>
              </w:rPr>
              <w:t>Liao 与 Qian[2]</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仅计碳</w:t>
            </w:r>
          </w:p>
        </w:tc>
        <w:tc>
          <w:tcPr>
            <w:tcW w:type="dxa" w:w="1255"/>
          </w:tcPr>
          <w:p>
            <w:pPr>
              <w:spacing w:line="240" w:lineRule="auto" w:after="40"/>
              <w:jc w:val="center"/>
            </w:pPr>
            <w:r/>
            <w:r>
              <w:rPr>
                <w:rFonts w:ascii="Times New Roman" w:hAnsi="Times New Roman" w:eastAsia="宋体"/>
                <w:b w:val="0"/>
                <w:sz w:val="21"/>
              </w:rPr>
              <w:t>固定因子</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否</w:t>
            </w:r>
          </w:p>
        </w:tc>
      </w:tr>
      <w:tr>
        <w:trPr>
          <w:cantSplit/>
        </w:trPr>
        <w:tc>
          <w:tcPr>
            <w:tcW w:type="dxa" w:w="1255"/>
          </w:tcPr>
          <w:p>
            <w:pPr>
              <w:spacing w:line="240" w:lineRule="auto" w:after="40"/>
              <w:jc w:val="center"/>
            </w:pPr>
            <w:r/>
            <w:r>
              <w:rPr>
                <w:rFonts w:ascii="Times New Roman" w:hAnsi="Times New Roman" w:eastAsia="宋体"/>
                <w:b w:val="0"/>
                <w:sz w:val="21"/>
              </w:rPr>
              <w:t>Gong 等[4]</w:t>
            </w:r>
          </w:p>
        </w:tc>
        <w:tc>
          <w:tcPr>
            <w:tcW w:type="dxa" w:w="1255"/>
          </w:tcPr>
          <w:p>
            <w:pPr>
              <w:spacing w:line="240" w:lineRule="auto" w:after="40"/>
              <w:jc w:val="center"/>
            </w:pPr>
            <w:r/>
            <w:r>
              <w:rPr>
                <w:rFonts w:ascii="Times New Roman" w:hAnsi="Times New Roman" w:eastAsia="宋体"/>
                <w:b w:val="0"/>
                <w:sz w:val="21"/>
              </w:rPr>
              <w:t>有</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未报告</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未报告</w:t>
            </w:r>
          </w:p>
        </w:tc>
      </w:tr>
      <w:tr>
        <w:trPr>
          <w:cantSplit/>
        </w:trPr>
        <w:tc>
          <w:tcPr>
            <w:tcW w:type="dxa" w:w="1255"/>
          </w:tcPr>
          <w:p>
            <w:pPr>
              <w:spacing w:line="240" w:lineRule="auto" w:after="40"/>
              <w:jc w:val="center"/>
            </w:pPr>
            <w:r/>
            <w:r>
              <w:rPr>
                <w:rFonts w:ascii="Times New Roman" w:hAnsi="Times New Roman" w:eastAsia="宋体"/>
                <w:b w:val="0"/>
                <w:sz w:val="21"/>
              </w:rPr>
              <w:t>Jia 等[5]</w:t>
            </w:r>
          </w:p>
        </w:tc>
        <w:tc>
          <w:tcPr>
            <w:tcW w:type="dxa" w:w="1255"/>
          </w:tcPr>
          <w:p>
            <w:pPr>
              <w:spacing w:line="240" w:lineRule="auto" w:after="40"/>
              <w:jc w:val="center"/>
            </w:pPr>
            <w:r/>
            <w:r>
              <w:rPr>
                <w:rFonts w:ascii="Times New Roman" w:hAnsi="Times New Roman" w:eastAsia="宋体"/>
                <w:b w:val="0"/>
                <w:sz w:val="21"/>
              </w:rPr>
              <w:t>有</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未报告</w:t>
            </w:r>
          </w:p>
        </w:tc>
        <w:tc>
          <w:tcPr>
            <w:tcW w:type="dxa" w:w="1255"/>
          </w:tcPr>
          <w:p>
            <w:pPr>
              <w:spacing w:line="240" w:lineRule="auto" w:after="40"/>
              <w:jc w:val="center"/>
            </w:pPr>
            <w:r/>
            <w:r>
              <w:rPr>
                <w:rFonts w:ascii="Times New Roman" w:hAnsi="Times New Roman" w:eastAsia="宋体"/>
                <w:b w:val="0"/>
                <w:sz w:val="21"/>
              </w:rPr>
              <w:t>固定因子</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未报告</w:t>
            </w:r>
          </w:p>
        </w:tc>
      </w:tr>
      <w:tr>
        <w:trPr>
          <w:cantSplit/>
        </w:trPr>
        <w:tc>
          <w:tcPr>
            <w:tcW w:type="dxa" w:w="1255"/>
          </w:tcPr>
          <w:p>
            <w:pPr>
              <w:spacing w:line="240" w:lineRule="auto" w:after="40"/>
              <w:jc w:val="center"/>
            </w:pPr>
            <w:r/>
            <w:r>
              <w:rPr>
                <w:rFonts w:ascii="Times New Roman" w:hAnsi="Times New Roman" w:eastAsia="宋体"/>
                <w:b w:val="0"/>
                <w:sz w:val="21"/>
              </w:rPr>
              <w:t>Zhang 等[6]</w:t>
            </w:r>
          </w:p>
        </w:tc>
        <w:tc>
          <w:tcPr>
            <w:tcW w:type="dxa" w:w="1255"/>
          </w:tcPr>
          <w:p>
            <w:pPr>
              <w:spacing w:line="240" w:lineRule="auto" w:after="40"/>
              <w:jc w:val="center"/>
            </w:pPr>
            <w:r/>
            <w:r>
              <w:rPr>
                <w:rFonts w:ascii="Times New Roman" w:hAnsi="Times New Roman" w:eastAsia="宋体"/>
                <w:b w:val="0"/>
                <w:sz w:val="21"/>
              </w:rPr>
              <w:t>有</w:t>
            </w:r>
          </w:p>
        </w:tc>
        <w:tc>
          <w:tcPr>
            <w:tcW w:type="dxa" w:w="1255"/>
          </w:tcPr>
          <w:p>
            <w:pPr>
              <w:spacing w:line="240" w:lineRule="auto" w:after="40"/>
              <w:jc w:val="center"/>
            </w:pPr>
            <w:r/>
            <w:r>
              <w:rPr>
                <w:rFonts w:ascii="Times New Roman" w:hAnsi="Times New Roman" w:eastAsia="宋体"/>
                <w:b w:val="0"/>
                <w:sz w:val="21"/>
              </w:rPr>
              <w:t>有</w:t>
            </w:r>
          </w:p>
        </w:tc>
        <w:tc>
          <w:tcPr>
            <w:tcW w:type="dxa" w:w="1255"/>
          </w:tcPr>
          <w:p>
            <w:pPr>
              <w:spacing w:line="240" w:lineRule="auto" w:after="40"/>
              <w:jc w:val="center"/>
            </w:pPr>
            <w:r/>
            <w:r>
              <w:rPr>
                <w:rFonts w:ascii="Times New Roman" w:hAnsi="Times New Roman" w:eastAsia="宋体"/>
                <w:b w:val="0"/>
                <w:sz w:val="21"/>
              </w:rPr>
              <w:t>未报告</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未报告</w:t>
            </w:r>
          </w:p>
        </w:tc>
      </w:tr>
      <w:tr>
        <w:trPr>
          <w:cantSplit/>
        </w:trPr>
        <w:tc>
          <w:tcPr>
            <w:tcW w:type="dxa" w:w="1255"/>
          </w:tcPr>
          <w:p>
            <w:pPr>
              <w:spacing w:line="240" w:lineRule="auto" w:after="40"/>
              <w:jc w:val="center"/>
            </w:pPr>
            <w:r/>
            <w:r>
              <w:rPr>
                <w:rFonts w:ascii="Times New Roman" w:hAnsi="Times New Roman" w:eastAsia="宋体"/>
                <w:b w:val="0"/>
                <w:sz w:val="21"/>
              </w:rPr>
              <w:t>Zhang 等[7]</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未报告</w:t>
            </w:r>
          </w:p>
        </w:tc>
        <w:tc>
          <w:tcPr>
            <w:tcW w:type="dxa" w:w="1255"/>
          </w:tcPr>
          <w:p>
            <w:pPr>
              <w:spacing w:line="240" w:lineRule="auto" w:after="40"/>
              <w:jc w:val="center"/>
            </w:pPr>
            <w:r/>
            <w:r>
              <w:rPr>
                <w:rFonts w:ascii="Times New Roman" w:hAnsi="Times New Roman" w:eastAsia="宋体"/>
                <w:b w:val="0"/>
                <w:sz w:val="21"/>
              </w:rPr>
              <w:t>配额交易</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未报告</w:t>
            </w:r>
          </w:p>
        </w:tc>
      </w:tr>
      <w:tr>
        <w:trPr>
          <w:cantSplit/>
        </w:trPr>
        <w:tc>
          <w:tcPr>
            <w:tcW w:type="dxa" w:w="1255"/>
          </w:tcPr>
          <w:p>
            <w:pPr>
              <w:spacing w:line="240" w:lineRule="auto" w:after="40"/>
              <w:jc w:val="center"/>
            </w:pPr>
            <w:r/>
            <w:r>
              <w:rPr>
                <w:rFonts w:ascii="Times New Roman" w:hAnsi="Times New Roman" w:eastAsia="宋体"/>
                <w:b w:val="0"/>
                <w:sz w:val="21"/>
              </w:rPr>
              <w:t>Burmeister 等[8]</w:t>
            </w:r>
          </w:p>
        </w:tc>
        <w:tc>
          <w:tcPr>
            <w:tcW w:type="dxa" w:w="1255"/>
          </w:tcPr>
          <w:p>
            <w:pPr>
              <w:spacing w:line="240" w:lineRule="auto" w:after="40"/>
              <w:jc w:val="center"/>
            </w:pPr>
            <w:r/>
            <w:r>
              <w:rPr>
                <w:rFonts w:ascii="Times New Roman" w:hAnsi="Times New Roman" w:eastAsia="宋体"/>
                <w:b w:val="0"/>
                <w:sz w:val="21"/>
              </w:rPr>
              <w:t>动态市场价</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未报告</w:t>
            </w:r>
          </w:p>
        </w:tc>
        <w:tc>
          <w:tcPr>
            <w:tcW w:type="dxa" w:w="1255"/>
          </w:tcPr>
          <w:p>
            <w:pPr>
              <w:spacing w:line="240" w:lineRule="auto" w:after="40"/>
              <w:jc w:val="center"/>
            </w:pPr>
            <w:r/>
            <w:r>
              <w:rPr>
                <w:rFonts w:ascii="Times New Roman" w:hAnsi="Times New Roman" w:eastAsia="宋体"/>
                <w:b w:val="0"/>
                <w:sz w:val="21"/>
              </w:rPr>
              <w:t>市场采购</w:t>
            </w:r>
          </w:p>
        </w:tc>
        <w:tc>
          <w:tcPr>
            <w:tcW w:type="dxa" w:w="1255"/>
          </w:tcPr>
          <w:p>
            <w:pPr>
              <w:spacing w:line="240" w:lineRule="auto" w:after="40"/>
              <w:jc w:val="center"/>
            </w:pPr>
            <w:r/>
            <w:r>
              <w:rPr>
                <w:rFonts w:ascii="Times New Roman" w:hAnsi="Times New Roman" w:eastAsia="宋体"/>
                <w:b w:val="0"/>
                <w:sz w:val="21"/>
              </w:rPr>
              <w:t>无</w:t>
            </w:r>
          </w:p>
        </w:tc>
        <w:tc>
          <w:tcPr>
            <w:tcW w:type="dxa" w:w="1255"/>
          </w:tcPr>
          <w:p>
            <w:pPr>
              <w:spacing w:line="240" w:lineRule="auto" w:after="40"/>
              <w:jc w:val="center"/>
            </w:pPr>
            <w:r/>
            <w:r>
              <w:rPr>
                <w:rFonts w:ascii="Times New Roman" w:hAnsi="Times New Roman" w:eastAsia="宋体"/>
                <w:b w:val="0"/>
                <w:sz w:val="21"/>
              </w:rPr>
              <w:t>未报告</w:t>
            </w:r>
          </w:p>
        </w:tc>
      </w:tr>
      <w:tr>
        <w:trPr>
          <w:cantSplit/>
        </w:trPr>
        <w:tc>
          <w:tcPr>
            <w:tcW w:type="dxa" w:w="1255"/>
          </w:tcPr>
          <w:p>
            <w:pPr>
              <w:spacing w:line="240" w:lineRule="auto" w:after="40"/>
              <w:jc w:val="center"/>
            </w:pPr>
            <w:r/>
            <w:r>
              <w:rPr>
                <w:rFonts w:ascii="Times New Roman" w:hAnsi="Times New Roman" w:eastAsia="宋体"/>
                <w:b w:val="0"/>
                <w:sz w:val="21"/>
              </w:rPr>
              <w:t>本文</w:t>
            </w:r>
          </w:p>
        </w:tc>
        <w:tc>
          <w:tcPr>
            <w:tcW w:type="dxa" w:w="1255"/>
          </w:tcPr>
          <w:p>
            <w:pPr>
              <w:spacing w:line="240" w:lineRule="auto" w:after="40"/>
              <w:jc w:val="center"/>
            </w:pPr>
            <w:r/>
            <w:r>
              <w:rPr>
                <w:rFonts w:ascii="Times New Roman" w:hAnsi="Times New Roman" w:eastAsia="宋体"/>
                <w:b w:val="0"/>
                <w:sz w:val="21"/>
              </w:rPr>
              <w:t>有</w:t>
            </w:r>
          </w:p>
        </w:tc>
        <w:tc>
          <w:tcPr>
            <w:tcW w:type="dxa" w:w="1255"/>
          </w:tcPr>
          <w:p>
            <w:pPr>
              <w:spacing w:line="240" w:lineRule="auto" w:after="40"/>
              <w:jc w:val="center"/>
            </w:pPr>
            <w:r/>
            <w:r>
              <w:rPr>
                <w:rFonts w:ascii="Times New Roman" w:hAnsi="Times New Roman" w:eastAsia="宋体"/>
                <w:b w:val="0"/>
                <w:sz w:val="21"/>
              </w:rPr>
              <w:t>有</w:t>
            </w:r>
          </w:p>
        </w:tc>
        <w:tc>
          <w:tcPr>
            <w:tcW w:type="dxa" w:w="1255"/>
          </w:tcPr>
          <w:p>
            <w:pPr>
              <w:spacing w:line="240" w:lineRule="auto" w:after="40"/>
              <w:jc w:val="center"/>
            </w:pPr>
            <w:r/>
            <w:r>
              <w:rPr>
                <w:rFonts w:ascii="Times New Roman" w:hAnsi="Times New Roman" w:eastAsia="宋体"/>
                <w:b w:val="0"/>
                <w:sz w:val="21"/>
              </w:rPr>
              <w:t>计费且计碳</w:t>
            </w:r>
          </w:p>
        </w:tc>
        <w:tc>
          <w:tcPr>
            <w:tcW w:type="dxa" w:w="1255"/>
          </w:tcPr>
          <w:p>
            <w:pPr>
              <w:spacing w:line="240" w:lineRule="auto" w:after="40"/>
              <w:jc w:val="center"/>
            </w:pPr>
            <w:r/>
            <w:r>
              <w:rPr>
                <w:rFonts w:ascii="Times New Roman" w:hAnsi="Times New Roman" w:eastAsia="宋体"/>
                <w:b w:val="0"/>
                <w:sz w:val="21"/>
              </w:rPr>
              <w:t>线性对称结算</w:t>
            </w:r>
          </w:p>
        </w:tc>
        <w:tc>
          <w:tcPr>
            <w:tcW w:type="dxa" w:w="1255"/>
          </w:tcPr>
          <w:p>
            <w:pPr>
              <w:spacing w:line="240" w:lineRule="auto" w:after="40"/>
              <w:jc w:val="center"/>
            </w:pPr>
            <w:r/>
            <w:r>
              <w:rPr>
                <w:rFonts w:ascii="Times New Roman" w:hAnsi="Times New Roman" w:eastAsia="宋体"/>
                <w:b w:val="0"/>
                <w:sz w:val="21"/>
              </w:rPr>
              <w:t>无（显式限定）</w:t>
            </w:r>
          </w:p>
        </w:tc>
        <w:tc>
          <w:tcPr>
            <w:tcW w:type="dxa" w:w="1255"/>
          </w:tcPr>
          <w:p>
            <w:pPr>
              <w:spacing w:line="240" w:lineRule="auto" w:after="40"/>
              <w:jc w:val="center"/>
            </w:pPr>
            <w:r/>
            <w:r>
              <w:rPr>
                <w:rFonts w:ascii="Times New Roman" w:hAnsi="Times New Roman" w:eastAsia="宋体"/>
                <w:b w:val="0"/>
                <w:sz w:val="21"/>
              </w:rPr>
              <w:t>是</w:t>
            </w:r>
          </w:p>
        </w:tc>
      </w:tr>
    </w:tbl>
    <w:p>
      <w:pPr>
        <w:ind w:firstLine="0"/>
        <w:jc w:val="center"/>
        <w:keepNext w:val="1"/>
        <w:keepLines w:val="1"/>
      </w:pPr>
      <w:r>
        <w:drawing>
          <wp:inline xmlns:a="http://schemas.openxmlformats.org/drawingml/2006/main" xmlns:pic="http://schemas.openxmlformats.org/drawingml/2006/picture">
            <wp:extent cx="5220000" cy="2220448"/>
            <wp:docPr id="1" name="Picture 1" descr="图1 第三轮修订后图形，数据与说明见正文图注"/>
            <wp:cNvGraphicFramePr>
              <a:graphicFrameLocks noChangeAspect="1"/>
            </wp:cNvGraphicFramePr>
            <a:graphic>
              <a:graphicData uri="http://schemas.openxmlformats.org/drawingml/2006/picture">
                <pic:pic>
                  <pic:nvPicPr>
                    <pic:cNvPr id="0" name="fig2_coupling.png"/>
                    <pic:cNvPicPr/>
                  </pic:nvPicPr>
                  <pic:blipFill>
                    <a:blip r:embed="rId9"/>
                    <a:stretch>
                      <a:fillRect/>
                    </a:stretch>
                  </pic:blipFill>
                  <pic:spPr>
                    <a:xfrm>
                      <a:off x="0" y="0"/>
                      <a:ext cx="5220000" cy="2220448"/>
                    </a:xfrm>
                    <a:prstGeom prst="rect"/>
                  </pic:spPr>
                </pic:pic>
              </a:graphicData>
            </a:graphic>
          </wp:inline>
        </w:drawing>
      </w:r>
    </w:p>
    <w:p>
      <w:pPr>
        <w:spacing w:line="240" w:lineRule="auto" w:before="120" w:after="120"/>
        <w:ind w:firstLine="0"/>
        <w:jc w:val="center"/>
        <w:keepNext w:val="0"/>
        <w:keepLines w:val="1"/>
      </w:pPr>
      <w:r>
        <w:rPr>
          <w:rFonts w:ascii="Times New Roman" w:hAnsi="Times New Roman" w:eastAsia="宋体"/>
          <w:b w:val="0"/>
          <w:sz w:val="21"/>
        </w:rPr>
        <w:t xml:space="preserve">图1　联合决策与统一能源账本的耦合关系。加工、内部待机空档与块起点加载瞬态的电量同时进入电费和碳排核算</w:t>
      </w:r>
    </w:p>
    <w:p>
      <w:pPr>
        <w:spacing w:before="240" w:after="120"/>
        <w:ind w:firstLine="0"/>
        <w:jc w:val="left"/>
        <w:keepNext w:val="1"/>
        <w:keepLines w:val="1"/>
      </w:pPr>
      <w:r>
        <w:rPr>
          <w:rFonts w:ascii="Times New Roman" w:hAnsi="Times New Roman" w:eastAsia="黑体"/>
          <w:b w:val="0"/>
          <w:sz w:val="32"/>
        </w:rPr>
        <w:t>2　统一能源账本下的问题描述与数学模型</w:t>
      </w:r>
    </w:p>
    <w:p>
      <w:pPr>
        <w:spacing w:before="120" w:after="60"/>
        <w:ind w:firstLine="0"/>
        <w:jc w:val="left"/>
        <w:keepNext w:val="1"/>
        <w:keepLines w:val="1"/>
      </w:pPr>
      <w:r>
        <w:rPr>
          <w:rFonts w:ascii="Times New Roman" w:hAnsi="Times New Roman" w:eastAsia="黑体"/>
          <w:b w:val="0"/>
          <w:sz w:val="28"/>
        </w:rPr>
        <w:t>2.1　机器状态与统一能源账本</w:t>
      </w:r>
    </w:p>
    <w:p>
      <w:pPr>
        <w:spacing w:line="360" w:lineRule="auto" w:after="0"/>
        <w:ind w:firstLine="480"/>
        <w:jc w:val="both"/>
      </w:pPr>
      <w:r>
        <w:rPr>
          <w:rFonts w:ascii="Times New Roman" w:hAnsi="Times New Roman" w:eastAsia="宋体"/>
          <w:b w:val="0"/>
          <w:sz w:val="24"/>
        </w:rPr>
        <w:t xml:space="preserve">每台机床具有加工、待机与关机三种状态。其首个忙碌块起点至末个忙碌块终点构成通电窗口，窗口内未被加工占用的区间为待机，按空载功率耗电；窗口外视为关机，不耗电。每个忙碌块起点计一次启停能耗，在本文中具体表示加载瞬态，而非每次均将整台机床断电重启。加工与待机电量在相应区间内按分时电价积分计费，加载瞬态电量按块起点时刻的电价计费，三项同时进入碳核算且不重复计价。固定可行的机床指派x、同机工序顺序y及速度s后，队尾追加解码递推确定各工序开工和完工时刻。机床指派决定额定加工参数，速度进一步决定实际时长与功率，二者共同作用于能源账本。</w:t>
      </w:r>
    </w:p>
    <w:p>
      <w:pPr>
        <w:spacing w:before="120" w:after="120"/>
        <w:ind w:firstLine="0"/>
        <w:jc w:val="center"/>
        <w:tabs>
          <w:tab w:val="center" w:pos="4393"/>
          <w:tab w:val="right" w:pos="8787"/>
        </w:tabs>
      </w:pPr>
      <w:r>
        <w:rPr>
          <w:rFonts w:ascii="Times New Roman" w:hAnsi="Times New Roman" w:eastAsia="宋体"/>
          <w:b w:val="0"/>
          <w:sz w:val="24"/>
        </w:rPr>
        <w:tab/>
      </w:r>
      <m:oMath>
        <m:sSub>
          <m:e>
            <m:r>
              <m:rPr>
                <m:sty m:val="i"/>
              </m:rPr>
              <w:rPr>
                <w:rFonts w:ascii="Cambria Math" w:hAnsi="Cambria Math"/>
              </w:rPr>
              <m:t>F</m:t>
            </m:r>
          </m:e>
          <m:sub>
            <m:r>
              <m:rPr>
                <m:sty m:val="i"/>
              </m:rPr>
              <w:rPr>
                <w:rFonts w:ascii="Cambria Math" w:hAnsi="Cambria Math"/>
              </w:rPr>
              <m:t>e</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E</m:t>
            </m:r>
          </m:e>
          <m:sub>
            <m:r>
              <m:rPr>
                <m:sty m:val="i"/>
              </m:rPr>
              <w:rPr>
                <w:rFonts w:ascii="Cambria Math" w:hAnsi="Cambria Math"/>
              </w:rPr>
              <m:t>proc</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E</m:t>
            </m:r>
          </m:e>
          <m:sub>
            <m:r>
              <m:rPr>
                <m:sty m:val="i"/>
              </m:rPr>
              <w:rPr>
                <w:rFonts w:ascii="Cambria Math" w:hAnsi="Cambria Math"/>
              </w:rPr>
              <m:t>idle</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E</m:t>
            </m:r>
          </m:e>
          <m:sub>
            <m:r>
              <m:rPr>
                <m:sty m:val="i"/>
              </m:rPr>
              <w:rPr>
                <w:rFonts w:ascii="Cambria Math" w:hAnsi="Cambria Math"/>
              </w:rPr>
              <m:t>ss</m:t>
            </m:r>
          </m:sub>
        </m:sSub>
      </m:oMath>
      <w:r>
        <w:rPr>
          <w:rFonts w:ascii="Times New Roman" w:hAnsi="Times New Roman" w:eastAsia="宋体"/>
          <w:b w:val="0"/>
          <w:sz w:val="24"/>
        </w:rPr>
        <w:tab/>
        <w:t>(1)</w:t>
      </w:r>
    </w:p>
    <w:p>
      <w:pPr>
        <w:spacing w:before="120" w:after="120"/>
        <w:ind w:firstLine="0"/>
        <w:jc w:val="center"/>
        <w:tabs>
          <w:tab w:val="center" w:pos="4393"/>
          <w:tab w:val="right" w:pos="8787"/>
        </w:tabs>
      </w:pPr>
      <w:r>
        <w:rPr>
          <w:rFonts w:ascii="Times New Roman" w:hAnsi="Times New Roman" w:eastAsia="宋体"/>
          <w:b w:val="0"/>
          <w:sz w:val="24"/>
        </w:rPr>
        <w:tab/>
      </w:r>
      <m:oMath>
        <m:sSub>
          <m:e>
            <m:r>
              <m:rPr>
                <m:sty m:val="i"/>
              </m:rPr>
              <w:rPr>
                <w:rFonts w:ascii="Cambria Math" w:hAnsi="Cambria Math"/>
              </w:rPr>
              <m:t>F</m:t>
            </m:r>
          </m:e>
          <m:sub>
            <m:r>
              <m:rPr>
                <m:sty m:val="i"/>
              </m:rPr>
              <w:rPr>
                <w:rFonts w:ascii="Cambria Math" w:hAnsi="Cambria Math"/>
              </w:rPr>
              <m:t>o</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r>
          <m:rPr>
            <m:sty m:val="p"/>
          </m:rPr>
          <w:rPr>
            <w:rFonts w:ascii="Cambria Math" w:hAnsi="Cambria Math"/>
          </w:rPr>
          <m:t>δ</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F</m:t>
            </m:r>
          </m:e>
          <m:sub>
            <m:r>
              <m:rPr>
                <m:sty m:val="i"/>
              </m:rPr>
              <w:rPr>
                <w:rFonts w:ascii="Cambria Math" w:hAnsi="Cambria Math"/>
              </w:rPr>
              <m:t>e</m:t>
            </m:r>
          </m:sub>
        </m:sSub>
      </m:oMath>
      <w:r>
        <w:rPr>
          <w:rFonts w:ascii="Times New Roman" w:hAnsi="Times New Roman" w:eastAsia="宋体"/>
          <w:b w:val="0"/>
          <w:sz w:val="24"/>
        </w:rPr>
        <w:tab/>
        <w:t>(2)</w:t>
      </w:r>
    </w:p>
    <w:p>
      <w:pPr>
        <w:spacing w:before="120" w:after="120"/>
        <w:ind w:firstLine="0"/>
        <w:jc w:val="center"/>
        <w:tabs>
          <w:tab w:val="center" w:pos="4393"/>
          <w:tab w:val="right" w:pos="8787"/>
        </w:tabs>
      </w:pPr>
      <w:r>
        <w:rPr>
          <w:rFonts w:ascii="Times New Roman" w:hAnsi="Times New Roman" w:eastAsia="宋体"/>
          <w:b w:val="0"/>
          <w:sz w:val="24"/>
        </w:rPr>
        <w:tab/>
      </w:r>
      <m:oMath>
        <m:sSub>
          <m:e>
            <m:r>
              <m:rPr>
                <m:sty m:val="i"/>
              </m:rPr>
              <w:rPr>
                <w:rFonts w:ascii="Cambria Math" w:hAnsi="Cambria Math"/>
              </w:rPr>
              <m:t>C</m:t>
            </m:r>
          </m:e>
          <m:sub>
            <m:r>
              <m:rPr>
                <m:sty m:val="i"/>
              </m:rPr>
              <w:rPr>
                <w:rFonts w:ascii="Cambria Math" w:hAnsi="Cambria Math"/>
              </w:rPr>
              <m:t>elec</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p"/>
              </m:rPr>
              <w:rPr>
                <w:rFonts w:ascii="Cambria Math" w:hAnsi="Cambria Math"/>
              </w:rPr>
              <m:t>Σ</m:t>
            </m:r>
          </m:e>
          <m:sub>
            <m:r>
              <m:rPr>
                <m:sty m:val="i"/>
              </m:rPr>
              <w:rPr>
                <w:rFonts w:ascii="Cambria Math" w:hAnsi="Cambria Math"/>
              </w:rPr>
              <m:t>m</m:t>
            </m:r>
          </m:sub>
        </m:sSub>
        <m:r>
          <m:rPr>
            <m:sty m:val="p"/>
          </m:rPr>
          <w:rPr>
            <w:rFonts w:ascii="Cambria Math" w:hAnsi="Cambria Math"/>
          </w:rPr>
          <m:t xml:space="preserve"> </m:t>
        </m:r>
        <m:sSub>
          <m:e>
            <m:r>
              <m:rPr>
                <m:sty m:val="p"/>
              </m:rPr>
              <w:rPr>
                <w:rFonts w:ascii="Cambria Math" w:hAnsi="Cambria Math"/>
              </w:rPr>
              <m:t>Σ</m:t>
            </m:r>
          </m:e>
          <m:sub>
            <m:r>
              <m:rPr>
                <m:sty m:val="i"/>
              </m:rPr>
              <w:rPr>
                <w:rFonts w:ascii="Cambria Math" w:hAnsi="Cambria Math"/>
              </w:rPr>
              <m:t>windows</m:t>
            </m:r>
          </m:sub>
        </m:sSub>
        <m:r>
          <m:rPr>
            <m:sty m:val="p"/>
          </m:rPr>
          <w:rPr>
            <w:rFonts w:ascii="Cambria Math" w:hAnsi="Cambria Math"/>
          </w:rPr>
          <m:t xml:space="preserve"> </m:t>
        </m:r>
        <m:sSubSup>
          <m:e>
            <m:r>
              <m:rPr>
                <m:sty m:val="p"/>
              </m:rPr>
              <w:rPr>
                <w:rFonts w:ascii="Cambria Math" w:hAnsi="Cambria Math"/>
              </w:rPr>
              <m:t>∫</m:t>
            </m:r>
          </m:e>
          <m:sub>
            <m:r>
              <m:rPr>
                <m:sty m:val="p"/>
              </m:rPr>
              <w:rPr>
                <w:rFonts w:ascii="Cambria Math" w:hAnsi="Cambria Math"/>
              </w:rPr>
              <m:t>t0</m:t>
            </m:r>
          </m:sub>
          <m:sup>
            <m:r>
              <m:rPr>
                <m:sty m:val="p"/>
              </m:rPr>
              <w:rPr>
                <w:rFonts w:ascii="Cambria Math" w:hAnsi="Cambria Math"/>
              </w:rPr>
              <m:t>t1</m:t>
            </m:r>
          </m:sup>
        </m:sSubSup>
        <m:r>
          <m:rPr>
            <m:sty m:val="p"/>
          </m:rPr>
          <w:rPr>
            <w:rFonts w:ascii="Cambria Math" w:hAnsi="Cambria Math"/>
          </w:rPr>
          <m:t xml:space="preserve"> </m:t>
        </m:r>
        <m:r>
          <m:rPr>
            <m:sty m:val="p"/>
          </m:rPr>
          <w:rPr>
            <w:rFonts w:ascii="Cambria Math" w:hAnsi="Cambria Math"/>
          </w:rPr>
          <m:t>π</m:t>
        </m:r>
        <m:r>
          <m:rPr>
            <m:sty m:val="p"/>
          </m:rPr>
          <w:rPr>
            <w:rFonts w:ascii="Cambria Math" w:hAnsi="Cambria Math"/>
          </w:rPr>
          <m:t xml:space="preserve"> </m:t>
        </m:r>
        <m:r>
          <m:rPr>
            <m:sty m:val="p"/>
          </m:rPr>
          <w:rPr>
            <w:rFonts w:ascii="Cambria Math" w:hAnsi="Cambria Math"/>
          </w:rPr>
          <m:t>(t)</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P</m:t>
            </m:r>
          </m:e>
          <m:sub>
            <m:r>
              <m:rPr>
                <m:sty m:val="i"/>
              </m:rPr>
              <w:rPr>
                <w:rFonts w:ascii="Cambria Math" w:hAnsi="Cambria Math"/>
              </w:rPr>
              <m:t>w</m:t>
            </m:r>
          </m:sub>
        </m:sSub>
        <m:r>
          <m:rPr>
            <m:sty m:val="p"/>
          </m:rPr>
          <w:rPr>
            <w:rFonts w:ascii="Cambria Math" w:hAnsi="Cambria Math"/>
          </w:rPr>
          <m:t xml:space="preserve"> </m:t>
        </m:r>
        <m:r>
          <m:rPr>
            <m:sty m:val="p"/>
          </m:rPr>
          <w:rPr>
            <w:rFonts w:ascii="Cambria Math" w:hAnsi="Cambria Math"/>
          </w:rPr>
          <m:t>dt</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r>
          <m:rPr>
            <m:sty m:val="p"/>
          </m:rPr>
          <w:rPr>
            <w:rFonts w:ascii="Cambria Math" w:hAnsi="Cambria Math"/>
          </w:rPr>
          <m:t>60</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p"/>
              </m:rPr>
              <w:rPr>
                <w:rFonts w:ascii="Cambria Math" w:hAnsi="Cambria Math"/>
              </w:rPr>
              <m:t>Σ</m:t>
            </m:r>
          </m:e>
          <m:sub>
            <m:r>
              <m:rPr>
                <m:sty m:val="i"/>
              </m:rPr>
              <w:rPr>
                <w:rFonts w:ascii="Cambria Math" w:hAnsi="Cambria Math"/>
              </w:rPr>
              <m:t>m</m:t>
            </m:r>
          </m:sub>
        </m:sSub>
        <m:r>
          <m:rPr>
            <m:sty m:val="p"/>
          </m:rPr>
          <w:rPr>
            <w:rFonts w:ascii="Cambria Math" w:hAnsi="Cambria Math"/>
          </w:rPr>
          <m:t xml:space="preserve"> </m:t>
        </m:r>
        <m:sSub>
          <m:e>
            <m:r>
              <m:rPr>
                <m:sty m:val="p"/>
              </m:rPr>
              <w:rPr>
                <w:rFonts w:ascii="Cambria Math" w:hAnsi="Cambria Math"/>
              </w:rPr>
              <m:t>Σ</m:t>
            </m:r>
          </m:e>
          <m:sub>
            <m:r>
              <m:rPr>
                <m:sty m:val="i"/>
              </m:rPr>
              <w:rPr>
                <w:rFonts w:ascii="Cambria Math" w:hAnsi="Cambria Math"/>
              </w:rPr>
              <m:t>blocks</m:t>
            </m:r>
          </m:sub>
        </m:sSub>
        <m:r>
          <m:rPr>
            <m:sty m:val="p"/>
          </m:rPr>
          <w:rPr>
            <w:rFonts w:ascii="Cambria Math" w:hAnsi="Cambria Math"/>
          </w:rPr>
          <m:t xml:space="preserve"> </m:t>
        </m:r>
        <m:sSub>
          <m:e>
            <m:r>
              <m:rPr>
                <m:sty m:val="i"/>
              </m:rPr>
              <w:rPr>
                <w:rFonts w:ascii="Cambria Math" w:hAnsi="Cambria Math"/>
              </w:rPr>
              <m:t>e</m:t>
            </m:r>
          </m:e>
          <m:sub>
            <m:r>
              <m:rPr>
                <m:sty m:val="p"/>
              </m:rPr>
              <w:rPr>
                <w:rFonts w:ascii="Cambria Math" w:hAnsi="Cambria Math"/>
              </w:rPr>
              <m:t>ss_m</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r>
          <m:rPr>
            <m:sty m:val="p"/>
          </m:rPr>
          <w:rPr>
            <w:rFonts w:ascii="Cambria Math" w:hAnsi="Cambria Math"/>
          </w:rPr>
          <m:t>π</m:t>
        </m:r>
        <m:r>
          <m:rPr>
            <m:sty m:val="p"/>
          </m:rPr>
          <w:rPr>
            <w:rFonts w:ascii="Cambria Math" w:hAnsi="Cambria Math"/>
          </w:rPr>
          <m:t xml:space="preserve"> </m:t>
        </m:r>
        <m:sSub>
          <m:e>
            <m:r>
              <m:rPr>
                <m:sty m:val="p"/>
              </m:rPr>
              <w:rPr>
                <w:rFonts w:ascii="Cambria Math" w:hAnsi="Cambria Math"/>
              </w:rPr>
              <m:t>(t</m:t>
            </m:r>
          </m:e>
          <m:sub>
            <m:r>
              <m:rPr>
                <m:sty m:val="p"/>
              </m:rPr>
              <w:rPr>
                <w:rFonts w:ascii="Cambria Math" w:hAnsi="Cambria Math"/>
              </w:rPr>
              <m:t>block)</m:t>
            </m:r>
          </m:sub>
        </m:sSub>
      </m:oMath>
      <w:r>
        <w:rPr>
          <w:rFonts w:ascii="Times New Roman" w:hAnsi="Times New Roman" w:eastAsia="宋体"/>
          <w:b w:val="0"/>
          <w:sz w:val="24"/>
        </w:rPr>
        <w:tab/>
        <w:t>(3)</w:t>
      </w:r>
    </w:p>
    <w:p>
      <w:pPr>
        <w:spacing w:line="360" w:lineRule="auto" w:after="0"/>
        <w:ind w:firstLine="480"/>
        <w:jc w:val="both"/>
      </w:pPr>
      <w:r>
        <w:rPr>
          <w:rFonts w:ascii="Times New Roman" w:hAnsi="Times New Roman" w:eastAsia="宋体"/>
          <w:b w:val="0"/>
          <w:sz w:val="24"/>
        </w:rPr>
        <w:t xml:space="preserve">式(1)的三项分别为加工、待机与加载瞬态电量，式(2)以固定电网排放因子δ折算碳排。式(3)第一项分别对加工窗口和内部待机区间积分，Pw为对应状态功率；第二项对每个忙碌块的起点计入启停电费。时间单位为min，故功率积分除以60得到kWh。图表中的峰平谷电量仅包含加工与待机，启停电量在能量分解中单列；这两部分之和等于式(1)的总电量。</w:t>
      </w:r>
    </w:p>
    <w:p>
      <w:pPr>
        <w:spacing w:line="240" w:lineRule="auto" w:before="120" w:after="120"/>
        <w:ind w:firstLine="0"/>
        <w:jc w:val="center"/>
        <w:keepNext w:val="1"/>
        <w:keepLines w:val="1"/>
      </w:pPr>
      <w:r>
        <w:rPr>
          <w:rFonts w:ascii="Times New Roman" w:hAnsi="Times New Roman" w:eastAsia="宋体"/>
          <w:b w:val="0"/>
          <w:sz w:val="21"/>
        </w:rPr>
        <w:t>表2　整合模型的主要记号</w:t>
      </w:r>
    </w:p>
    <w:tbl>
      <w:tblPr>
        <w:tblW w:type="auto" w:w="0"/>
        <w:jc w:val="center"/>
        <w:tblLook w:firstColumn="1" w:firstRow="1" w:lastColumn="0" w:lastRow="0" w:noHBand="0" w:noVBand="1" w:val="04A0"/>
        <w:tblBorders>
          <w:top w:val="single" w:sz="12" w:space="0" w:color="000000"/>
          <w:bottom w:val="single" w:sz="12" w:space="0" w:color="000000"/>
          <w:insideH w:val="none"/>
          <w:left w:val="none"/>
          <w:right w:val="none"/>
          <w:insideV w:val="none"/>
        </w:tblBorders>
      </w:tblPr>
      <w:tblGrid>
        <w:gridCol w:w="4394"/>
        <w:gridCol w:w="4394"/>
      </w:tblGrid>
      <w:tr>
        <w:trPr>
          <w:cantSplit/>
          <w:tblHeader/>
        </w:trPr>
        <w:tc>
          <w:tcPr>
            <w:tcW w:type="dxa" w:w="4394"/>
            <w:tcBorders>
              <w:bottom w:val="single" w:sz="6" w:color="000000"/>
            </w:tcBorders>
          </w:tcPr>
          <w:p>
            <w:pPr>
              <w:spacing w:line="240" w:lineRule="auto" w:after="40"/>
              <w:jc w:val="center"/>
            </w:pPr>
            <w:r/>
            <w:r>
              <w:rPr>
                <w:rFonts w:ascii="Times New Roman" w:hAnsi="Times New Roman" w:eastAsia="宋体"/>
                <w:b/>
                <w:sz w:val="21"/>
              </w:rPr>
              <w:t>符号</w:t>
            </w:r>
          </w:p>
        </w:tc>
        <w:tc>
          <w:tcPr>
            <w:tcW w:type="dxa" w:w="4394"/>
            <w:tcBorders>
              <w:bottom w:val="single" w:sz="6" w:color="000000"/>
            </w:tcBorders>
          </w:tcPr>
          <w:p>
            <w:pPr>
              <w:spacing w:line="240" w:lineRule="auto" w:after="40"/>
              <w:jc w:val="center"/>
            </w:pPr>
            <w:r/>
            <w:r>
              <w:rPr>
                <w:rFonts w:ascii="Times New Roman" w:hAnsi="Times New Roman" w:eastAsia="宋体"/>
                <w:b/>
                <w:sz w:val="21"/>
              </w:rPr>
              <w:t>含义</w:t>
            </w:r>
          </w:p>
        </w:tc>
      </w:tr>
      <w:tr>
        <w:trPr>
          <w:cantSplit/>
        </w:trPr>
        <w:tc>
          <w:tcPr>
            <w:tcW w:type="dxa" w:w="4394"/>
          </w:tcPr>
          <w:p>
            <w:pPr>
              <w:spacing w:line="240" w:lineRule="auto" w:after="40"/>
              <w:jc w:val="center"/>
            </w:pPr>
            <w:r/>
            <w:r>
              <w:rPr>
                <w:rFonts w:ascii="Times New Roman" w:hAnsi="Times New Roman" w:eastAsia="宋体"/>
                <w:b w:val="0"/>
                <w:sz w:val="21"/>
              </w:rPr>
              <w:t>J, i</w:t>
            </w:r>
          </w:p>
        </w:tc>
        <w:tc>
          <w:tcPr>
            <w:tcW w:type="dxa" w:w="4394"/>
          </w:tcPr>
          <w:p>
            <w:pPr>
              <w:spacing w:line="240" w:lineRule="auto" w:after="40"/>
              <w:jc w:val="center"/>
            </w:pPr>
            <w:r/>
            <w:r>
              <w:rPr>
                <w:rFonts w:ascii="Times New Roman" w:hAnsi="Times New Roman" w:eastAsia="宋体"/>
                <w:b w:val="0"/>
                <w:sz w:val="21"/>
              </w:rPr>
              <w:t>工件集合与工件下标</w:t>
            </w:r>
          </w:p>
        </w:tc>
      </w:tr>
      <w:tr>
        <w:trPr>
          <w:cantSplit/>
        </w:trPr>
        <w:tc>
          <w:tcPr>
            <w:tcW w:type="dxa" w:w="4394"/>
          </w:tcPr>
          <w:p>
            <w:pPr>
              <w:spacing w:line="240" w:lineRule="auto" w:after="40"/>
              <w:jc w:val="center"/>
            </w:pPr>
            <w:r/>
            <w:r>
              <w:rPr>
                <w:rFonts w:ascii="Times New Roman" w:hAnsi="Times New Roman" w:eastAsia="宋体"/>
                <w:b w:val="0"/>
                <w:i/>
                <w:sz w:val="21"/>
              </w:rPr>
              <w:t>O</w:t>
            </w:r>
            <w:r>
              <w:rPr>
                <w:rFonts w:ascii="Times New Roman" w:hAnsi="Times New Roman" w:eastAsia="宋体"/>
                <w:b w:val="0"/>
                <w:i/>
                <w:sz w:val="18"/>
                <w:vertAlign w:val="subscript"/>
              </w:rPr>
              <w:t>i</w:t>
            </w:r>
            <w:r>
              <w:rPr>
                <w:rFonts w:ascii="Times New Roman" w:hAnsi="Times New Roman" w:eastAsia="宋体"/>
                <w:b w:val="0"/>
                <w:sz w:val="21"/>
              </w:rPr>
              <w:t>, j</w:t>
            </w:r>
          </w:p>
        </w:tc>
        <w:tc>
          <w:tcPr>
            <w:tcW w:type="dxa" w:w="4394"/>
          </w:tcPr>
          <w:p>
            <w:pPr>
              <w:spacing w:line="240" w:lineRule="auto" w:after="40"/>
              <w:jc w:val="center"/>
            </w:pPr>
            <w:r/>
            <w:r>
              <w:rPr>
                <w:rFonts w:ascii="Times New Roman" w:hAnsi="Times New Roman" w:eastAsia="宋体"/>
                <w:b w:val="0"/>
                <w:sz w:val="21"/>
              </w:rPr>
              <w:t>工件 i 的工序序列与工序下标</w:t>
            </w:r>
          </w:p>
        </w:tc>
      </w:tr>
      <w:tr>
        <w:trPr>
          <w:cantSplit/>
        </w:trPr>
        <w:tc>
          <w:tcPr>
            <w:tcW w:type="dxa" w:w="4394"/>
          </w:tcPr>
          <w:p>
            <w:pPr>
              <w:spacing w:line="240" w:lineRule="auto" w:after="40"/>
              <w:jc w:val="center"/>
            </w:pPr>
            <w:r/>
            <w:r>
              <w:rPr>
                <w:rFonts w:ascii="Times New Roman" w:hAnsi="Times New Roman" w:eastAsia="宋体"/>
                <w:b w:val="0"/>
                <w:sz w:val="21"/>
              </w:rPr>
              <w:t>M, k</w:t>
            </w:r>
          </w:p>
        </w:tc>
        <w:tc>
          <w:tcPr>
            <w:tcW w:type="dxa" w:w="4394"/>
          </w:tcPr>
          <w:p>
            <w:pPr>
              <w:spacing w:line="240" w:lineRule="auto" w:after="40"/>
              <w:jc w:val="center"/>
            </w:pPr>
            <w:r/>
            <w:r>
              <w:rPr>
                <w:rFonts w:ascii="Times New Roman" w:hAnsi="Times New Roman" w:eastAsia="宋体"/>
                <w:b w:val="0"/>
                <w:sz w:val="21"/>
              </w:rPr>
              <w:t>机床集合与机床下标</w:t>
            </w:r>
          </w:p>
        </w:tc>
      </w:tr>
      <w:tr>
        <w:trPr>
          <w:cantSplit/>
        </w:trPr>
        <w:tc>
          <w:tcPr>
            <w:tcW w:type="dxa" w:w="4394"/>
          </w:tcPr>
          <w:p>
            <w:pPr>
              <w:spacing w:line="240" w:lineRule="auto" w:after="40"/>
              <w:jc w:val="center"/>
            </w:pPr>
            <w:r/>
            <w:r>
              <w:rPr>
                <w:rFonts w:ascii="Times New Roman" w:hAnsi="Times New Roman" w:eastAsia="宋体"/>
                <w:b w:val="0"/>
                <w:sz w:val="21"/>
              </w:rPr>
              <w:t>S, s</w:t>
            </w:r>
          </w:p>
        </w:tc>
        <w:tc>
          <w:tcPr>
            <w:tcW w:type="dxa" w:w="4394"/>
          </w:tcPr>
          <w:p>
            <w:pPr>
              <w:spacing w:line="240" w:lineRule="auto" w:after="40"/>
              <w:jc w:val="center"/>
            </w:pPr>
            <w:r/>
            <w:r>
              <w:rPr>
                <w:rFonts w:ascii="Times New Roman" w:hAnsi="Times New Roman" w:eastAsia="宋体"/>
                <w:b w:val="0"/>
                <w:sz w:val="21"/>
              </w:rPr>
              <w:t>离散速度档 {0.8, 1.0, 1.2} 与速度下标</w:t>
            </w:r>
          </w:p>
        </w:tc>
      </w:tr>
      <w:tr>
        <w:trPr>
          <w:cantSplit/>
        </w:trPr>
        <w:tc>
          <w:tcPr>
            <w:tcW w:type="dxa" w:w="4394"/>
          </w:tcPr>
          <w:p>
            <w:pPr>
              <w:spacing w:line="240" w:lineRule="auto" w:after="40"/>
              <w:jc w:val="center"/>
            </w:pPr>
            <w:r/>
            <w:r>
              <w:rPr>
                <w:rFonts w:ascii="Times New Roman" w:hAnsi="Times New Roman" w:eastAsia="宋体"/>
                <w:b w:val="0"/>
                <w:i/>
                <w:sz w:val="21"/>
              </w:rPr>
              <w:t>T</w:t>
            </w:r>
            <w:r>
              <w:rPr>
                <w:rFonts w:ascii="Times New Roman" w:hAnsi="Times New Roman" w:eastAsia="宋体"/>
                <w:b w:val="0"/>
                <w:i/>
                <w:sz w:val="18"/>
                <w:vertAlign w:val="subscript"/>
              </w:rPr>
              <w:t>ijk</w:t>
            </w:r>
          </w:p>
        </w:tc>
        <w:tc>
          <w:tcPr>
            <w:tcW w:type="dxa" w:w="4394"/>
          </w:tcPr>
          <w:p>
            <w:pPr>
              <w:spacing w:line="240" w:lineRule="auto" w:after="40"/>
              <w:jc w:val="center"/>
            </w:pPr>
            <w:r/>
            <w:r>
              <w:rPr>
                <w:rFonts w:ascii="Times New Roman" w:hAnsi="Times New Roman" w:eastAsia="宋体"/>
                <w:b w:val="0"/>
                <w:sz w:val="21"/>
              </w:rPr>
              <w:t xml:space="preserve">工序 </w:t>
            </w:r>
            <w:r>
              <w:rPr>
                <w:rFonts w:ascii="Times New Roman" w:hAnsi="Times New Roman" w:eastAsia="宋体"/>
                <w:b w:val="0"/>
                <w:i/>
                <w:sz w:val="21"/>
              </w:rPr>
              <w:t>O</w:t>
            </w:r>
            <w:r>
              <w:rPr>
                <w:rFonts w:ascii="Times New Roman" w:hAnsi="Times New Roman" w:eastAsia="宋体"/>
                <w:b w:val="0"/>
                <w:i/>
                <w:sz w:val="18"/>
                <w:vertAlign w:val="subscript"/>
              </w:rPr>
              <w:t>ij</w:t>
            </w:r>
            <w:r>
              <w:rPr>
                <w:rFonts w:ascii="Times New Roman" w:hAnsi="Times New Roman" w:eastAsia="宋体"/>
                <w:b w:val="0"/>
                <w:sz w:val="21"/>
              </w:rPr>
              <w:t xml:space="preserve"> 在机床 k 上标称速度的加工时间，min</w:t>
            </w:r>
          </w:p>
        </w:tc>
      </w:tr>
      <w:tr>
        <w:trPr>
          <w:cantSplit/>
        </w:trPr>
        <w:tc>
          <w:tcPr>
            <w:tcW w:type="dxa" w:w="4394"/>
          </w:tcPr>
          <w:p>
            <w:pPr>
              <w:spacing w:line="240" w:lineRule="auto" w:after="40"/>
              <w:jc w:val="center"/>
            </w:pPr>
            <w:r/>
            <w:r>
              <w:rPr>
                <w:rFonts w:ascii="Times New Roman" w:hAnsi="Times New Roman" w:eastAsia="宋体"/>
                <w:b w:val="0"/>
                <w:i/>
                <w:sz w:val="21"/>
              </w:rPr>
              <w:t>P</w:t>
            </w:r>
            <w:r>
              <w:rPr>
                <w:rFonts w:ascii="Times New Roman" w:hAnsi="Times New Roman" w:eastAsia="宋体"/>
                <w:b w:val="0"/>
                <w:i/>
                <w:sz w:val="18"/>
                <w:vertAlign w:val="subscript"/>
              </w:rPr>
              <w:t>ijk</w:t>
            </w:r>
          </w:p>
        </w:tc>
        <w:tc>
          <w:tcPr>
            <w:tcW w:type="dxa" w:w="4394"/>
          </w:tcPr>
          <w:p>
            <w:pPr>
              <w:spacing w:line="240" w:lineRule="auto" w:after="40"/>
              <w:jc w:val="center"/>
            </w:pPr>
            <w:r/>
            <w:r>
              <w:rPr>
                <w:rFonts w:ascii="Times New Roman" w:hAnsi="Times New Roman" w:eastAsia="宋体"/>
                <w:b w:val="0"/>
                <w:sz w:val="21"/>
              </w:rPr>
              <w:t xml:space="preserve">工序 </w:t>
            </w:r>
            <w:r>
              <w:rPr>
                <w:rFonts w:ascii="Times New Roman" w:hAnsi="Times New Roman" w:eastAsia="宋体"/>
                <w:b w:val="0"/>
                <w:i/>
                <w:sz w:val="21"/>
              </w:rPr>
              <w:t>O</w:t>
            </w:r>
            <w:r>
              <w:rPr>
                <w:rFonts w:ascii="Times New Roman" w:hAnsi="Times New Roman" w:eastAsia="宋体"/>
                <w:b w:val="0"/>
                <w:i/>
                <w:sz w:val="18"/>
                <w:vertAlign w:val="subscript"/>
              </w:rPr>
              <w:t>ij</w:t>
            </w:r>
            <w:r>
              <w:rPr>
                <w:rFonts w:ascii="Times New Roman" w:hAnsi="Times New Roman" w:eastAsia="宋体"/>
                <w:b w:val="0"/>
                <w:sz w:val="21"/>
              </w:rPr>
              <w:t xml:space="preserve"> 在机床 k 上的额定加工功率，kW</w:t>
            </w:r>
          </w:p>
        </w:tc>
      </w:tr>
      <w:tr>
        <w:trPr>
          <w:cantSplit/>
        </w:trPr>
        <w:tc>
          <w:tcPr>
            <w:tcW w:type="dxa" w:w="4394"/>
          </w:tcPr>
          <w:p>
            <w:pPr>
              <w:spacing w:line="240" w:lineRule="auto" w:after="40"/>
              <w:jc w:val="center"/>
            </w:pPr>
            <w:r/>
            <w:r>
              <w:rPr>
                <w:rFonts w:ascii="Times New Roman" w:hAnsi="Times New Roman" w:eastAsia="宋体"/>
                <w:b w:val="0"/>
                <w:i/>
                <w:sz w:val="21"/>
              </w:rPr>
              <w:t>β</w:t>
            </w:r>
          </w:p>
        </w:tc>
        <w:tc>
          <w:tcPr>
            <w:tcW w:type="dxa" w:w="4394"/>
          </w:tcPr>
          <w:p>
            <w:pPr>
              <w:spacing w:line="240" w:lineRule="auto" w:after="40"/>
              <w:jc w:val="center"/>
            </w:pPr>
            <w:r/>
            <w:r>
              <w:rPr>
                <w:rFonts w:ascii="Times New Roman" w:hAnsi="Times New Roman" w:eastAsia="宋体"/>
                <w:b w:val="0"/>
                <w:sz w:val="21"/>
              </w:rPr>
              <w:t>功率速度律指数，取 2</w:t>
            </w:r>
          </w:p>
        </w:tc>
      </w:tr>
      <w:tr>
        <w:trPr>
          <w:cantSplit/>
        </w:trPr>
        <w:tc>
          <w:tcPr>
            <w:tcW w:type="dxa" w:w="4394"/>
          </w:tcPr>
          <w:p>
            <w:pPr>
              <w:spacing w:line="240" w:lineRule="auto" w:after="40"/>
              <w:jc w:val="center"/>
            </w:pPr>
            <w:r/>
            <w:r>
              <w:rPr>
                <w:rFonts w:ascii="Times New Roman" w:hAnsi="Times New Roman" w:eastAsia="宋体"/>
                <w:b w:val="0"/>
                <w:i/>
                <w:sz w:val="21"/>
              </w:rPr>
              <w:t>π</w:t>
            </w:r>
            <w:r>
              <w:rPr>
                <w:rFonts w:ascii="Times New Roman" w:hAnsi="Times New Roman" w:eastAsia="宋体"/>
                <w:b w:val="0"/>
                <w:sz w:val="21"/>
              </w:rPr>
              <w:t>(t)</w:t>
            </w:r>
          </w:p>
        </w:tc>
        <w:tc>
          <w:tcPr>
            <w:tcW w:type="dxa" w:w="4394"/>
          </w:tcPr>
          <w:p>
            <w:pPr>
              <w:spacing w:line="240" w:lineRule="auto" w:after="40"/>
              <w:jc w:val="center"/>
            </w:pPr>
            <w:r/>
            <w:r>
              <w:rPr>
                <w:rFonts w:ascii="Times New Roman" w:hAnsi="Times New Roman" w:eastAsia="宋体"/>
                <w:b w:val="0"/>
                <w:sz w:val="21"/>
              </w:rPr>
              <w:t xml:space="preserve">时刻 </w:t>
            </w:r>
            <w:r>
              <w:rPr>
                <w:rFonts w:ascii="Times New Roman" w:hAnsi="Times New Roman" w:eastAsia="宋体"/>
                <w:b w:val="0"/>
                <w:i/>
                <w:sz w:val="21"/>
              </w:rPr>
              <w:t>t</w:t>
            </w:r>
            <w:r>
              <w:rPr>
                <w:rFonts w:ascii="Times New Roman" w:hAnsi="Times New Roman" w:eastAsia="宋体"/>
                <w:b w:val="0"/>
                <w:sz w:val="21"/>
              </w:rPr>
              <w:t xml:space="preserve"> 的分时电价，元/kWh</w:t>
            </w:r>
          </w:p>
        </w:tc>
      </w:tr>
      <w:tr>
        <w:trPr>
          <w:cantSplit/>
        </w:trPr>
        <w:tc>
          <w:tcPr>
            <w:tcW w:type="dxa" w:w="4394"/>
          </w:tcPr>
          <w:p>
            <w:pPr>
              <w:spacing w:line="240" w:lineRule="auto" w:after="40"/>
              <w:jc w:val="center"/>
            </w:pPr>
            <w:r/>
            <w:r>
              <w:rPr>
                <w:rFonts w:ascii="Times New Roman" w:hAnsi="Times New Roman" w:eastAsia="宋体"/>
                <w:b w:val="0"/>
                <w:i/>
                <w:sz w:val="21"/>
              </w:rPr>
              <w:t>w</w:t>
            </w:r>
            <w:r>
              <w:rPr>
                <w:rFonts w:ascii="Times New Roman" w:hAnsi="Times New Roman" w:eastAsia="宋体"/>
                <w:b w:val="0"/>
                <w:i/>
                <w:sz w:val="18"/>
                <w:vertAlign w:val="subscript"/>
              </w:rPr>
              <w:t>k</w:t>
            </w:r>
          </w:p>
        </w:tc>
        <w:tc>
          <w:tcPr>
            <w:tcW w:type="dxa" w:w="4394"/>
          </w:tcPr>
          <w:p>
            <w:pPr>
              <w:spacing w:line="240" w:lineRule="auto" w:after="40"/>
              <w:jc w:val="center"/>
            </w:pPr>
            <w:r/>
            <w:r>
              <w:rPr>
                <w:rFonts w:ascii="Times New Roman" w:hAnsi="Times New Roman" w:eastAsia="宋体"/>
                <w:b w:val="0"/>
                <w:sz w:val="21"/>
              </w:rPr>
              <w:t>机床 k 的工资率，元/min</w:t>
            </w:r>
          </w:p>
        </w:tc>
      </w:tr>
      <w:tr>
        <w:trPr>
          <w:cantSplit/>
        </w:trPr>
        <w:tc>
          <w:tcPr>
            <w:tcW w:type="dxa" w:w="4394"/>
          </w:tcPr>
          <w:p>
            <w:pPr>
              <w:spacing w:line="240" w:lineRule="auto" w:after="40"/>
              <w:jc w:val="center"/>
            </w:pPr>
            <w:r/>
            <w:r>
              <w:rPr>
                <w:rFonts w:ascii="Times New Roman" w:hAnsi="Times New Roman" w:eastAsia="宋体"/>
                <w:b w:val="0"/>
                <w:i/>
                <w:sz w:val="21"/>
              </w:rPr>
              <w:t>p</w:t>
            </w:r>
            <w:r>
              <w:rPr>
                <w:rFonts w:ascii="Times New Roman" w:hAnsi="Times New Roman" w:eastAsia="宋体"/>
                <w:b w:val="0"/>
                <w:i/>
                <w:sz w:val="18"/>
                <w:vertAlign w:val="subscript"/>
              </w:rPr>
              <w:t>idle</w:t>
            </w:r>
            <w:r>
              <w:rPr>
                <w:rFonts w:ascii="Times New Roman" w:hAnsi="Times New Roman" w:eastAsia="宋体"/>
                <w:b w:val="0"/>
                <w:sz w:val="21"/>
              </w:rPr>
              <w:t xml:space="preserve">_k, </w:t>
            </w:r>
            <w:r>
              <w:rPr>
                <w:rFonts w:ascii="Times New Roman" w:hAnsi="Times New Roman" w:eastAsia="宋体"/>
                <w:b w:val="0"/>
                <w:i/>
                <w:sz w:val="21"/>
              </w:rPr>
              <w:t>e</w:t>
            </w:r>
            <w:r>
              <w:rPr>
                <w:rFonts w:ascii="Times New Roman" w:hAnsi="Times New Roman" w:eastAsia="宋体"/>
                <w:b w:val="0"/>
                <w:i/>
                <w:sz w:val="18"/>
                <w:vertAlign w:val="subscript"/>
              </w:rPr>
              <w:t>ss</w:t>
            </w:r>
            <w:r>
              <w:rPr>
                <w:rFonts w:ascii="Times New Roman" w:hAnsi="Times New Roman" w:eastAsia="宋体"/>
                <w:b w:val="0"/>
                <w:sz w:val="21"/>
              </w:rPr>
              <w:t>_k</w:t>
            </w:r>
          </w:p>
        </w:tc>
        <w:tc>
          <w:tcPr>
            <w:tcW w:type="dxa" w:w="4394"/>
          </w:tcPr>
          <w:p>
            <w:pPr>
              <w:spacing w:line="240" w:lineRule="auto" w:after="40"/>
              <w:jc w:val="center"/>
            </w:pPr>
            <w:r/>
            <w:r>
              <w:rPr>
                <w:rFonts w:ascii="Times New Roman" w:hAnsi="Times New Roman" w:eastAsia="宋体"/>
                <w:b w:val="0"/>
                <w:sz w:val="21"/>
              </w:rPr>
              <w:t>机床 k 的待机功率与单次启停能耗，kW 与 kWh</w:t>
            </w:r>
          </w:p>
        </w:tc>
      </w:tr>
      <w:tr>
        <w:trPr>
          <w:cantSplit/>
        </w:trPr>
        <w:tc>
          <w:tcPr>
            <w:tcW w:type="dxa" w:w="4394"/>
          </w:tcPr>
          <w:p>
            <w:pPr>
              <w:spacing w:line="240" w:lineRule="auto" w:after="40"/>
              <w:jc w:val="center"/>
            </w:pPr>
            <w:r/>
            <w:r>
              <w:rPr>
                <w:rFonts w:ascii="Times New Roman" w:hAnsi="Times New Roman" w:eastAsia="宋体"/>
                <w:b w:val="0"/>
                <w:i/>
                <w:sz w:val="21"/>
              </w:rPr>
              <w:t>δ</w:t>
            </w:r>
          </w:p>
        </w:tc>
        <w:tc>
          <w:tcPr>
            <w:tcW w:type="dxa" w:w="4394"/>
          </w:tcPr>
          <w:p>
            <w:pPr>
              <w:spacing w:line="240" w:lineRule="auto" w:after="40"/>
              <w:jc w:val="center"/>
            </w:pPr>
            <w:r/>
            <w:r>
              <w:rPr>
                <w:rFonts w:ascii="Times New Roman" w:hAnsi="Times New Roman" w:eastAsia="宋体"/>
                <w:b w:val="0"/>
                <w:sz w:val="21"/>
              </w:rPr>
              <w:t>电网排放因子，kgCO2/kWh</w:t>
            </w:r>
          </w:p>
        </w:tc>
      </w:tr>
      <w:tr>
        <w:trPr>
          <w:cantSplit/>
        </w:trPr>
        <w:tc>
          <w:tcPr>
            <w:tcW w:type="dxa" w:w="4394"/>
          </w:tcPr>
          <w:p>
            <w:pPr>
              <w:spacing w:line="240" w:lineRule="auto" w:after="40"/>
              <w:jc w:val="center"/>
            </w:pPr>
            <w:r/>
            <w:r>
              <w:rPr>
                <w:rFonts w:ascii="Times New Roman" w:hAnsi="Times New Roman" w:eastAsia="宋体"/>
                <w:b w:val="0"/>
                <w:i/>
                <w:sz w:val="21"/>
              </w:rPr>
              <w:t>p</w:t>
            </w:r>
            <w:r>
              <w:rPr>
                <w:rFonts w:ascii="Times New Roman" w:hAnsi="Times New Roman" w:eastAsia="宋体"/>
                <w:b w:val="0"/>
                <w:i/>
                <w:sz w:val="18"/>
                <w:vertAlign w:val="subscript"/>
              </w:rPr>
              <w:t>c</w:t>
            </w:r>
          </w:p>
        </w:tc>
        <w:tc>
          <w:tcPr>
            <w:tcW w:type="dxa" w:w="4394"/>
          </w:tcPr>
          <w:p>
            <w:pPr>
              <w:spacing w:line="240" w:lineRule="auto" w:after="40"/>
              <w:jc w:val="center"/>
            </w:pPr>
            <w:r/>
            <w:r>
              <w:rPr>
                <w:rFonts w:ascii="Times New Roman" w:hAnsi="Times New Roman" w:eastAsia="宋体"/>
                <w:b w:val="0"/>
                <w:sz w:val="21"/>
              </w:rPr>
              <w:t>碳结算价，元/kgCO2</w:t>
            </w:r>
          </w:p>
        </w:tc>
      </w:tr>
      <w:tr>
        <w:trPr>
          <w:cantSplit/>
        </w:trPr>
        <w:tc>
          <w:tcPr>
            <w:tcW w:type="dxa" w:w="4394"/>
          </w:tcPr>
          <w:p>
            <w:pPr>
              <w:spacing w:line="240" w:lineRule="auto" w:after="40"/>
              <w:jc w:val="center"/>
            </w:pPr>
            <w:r/>
            <w:r>
              <w:rPr>
                <w:rFonts w:ascii="Times New Roman" w:hAnsi="Times New Roman" w:eastAsia="宋体"/>
                <w:b w:val="0"/>
                <w:i/>
                <w:sz w:val="21"/>
              </w:rPr>
              <w:t>E</w:t>
            </w:r>
            <w:r>
              <w:rPr>
                <w:rFonts w:ascii="Times New Roman" w:hAnsi="Times New Roman" w:eastAsia="宋体"/>
                <w:b w:val="0"/>
                <w:i/>
                <w:sz w:val="18"/>
                <w:vertAlign w:val="subscript"/>
              </w:rPr>
              <w:t>cap</w:t>
            </w:r>
          </w:p>
        </w:tc>
        <w:tc>
          <w:tcPr>
            <w:tcW w:type="dxa" w:w="4394"/>
          </w:tcPr>
          <w:p>
            <w:pPr>
              <w:spacing w:line="240" w:lineRule="auto" w:after="40"/>
              <w:jc w:val="center"/>
            </w:pPr>
            <w:r/>
            <w:r>
              <w:rPr>
                <w:rFonts w:ascii="Times New Roman" w:hAnsi="Times New Roman" w:eastAsia="宋体"/>
                <w:b w:val="0"/>
                <w:sz w:val="21"/>
              </w:rPr>
              <w:t>工厂碳配额，kgCO2</w:t>
            </w:r>
          </w:p>
        </w:tc>
      </w:tr>
      <w:tr>
        <w:trPr>
          <w:cantSplit/>
        </w:trPr>
        <w:tc>
          <w:tcPr>
            <w:tcW w:type="dxa" w:w="4394"/>
          </w:tcPr>
          <w:p>
            <w:pPr>
              <w:spacing w:line="240" w:lineRule="auto" w:after="40"/>
              <w:jc w:val="center"/>
            </w:pPr>
            <w:r/>
            <w:r>
              <w:rPr>
                <w:rFonts w:ascii="Times New Roman" w:hAnsi="Times New Roman" w:eastAsia="宋体"/>
                <w:b w:val="0"/>
                <w:i/>
                <w:sz w:val="21"/>
              </w:rPr>
              <w:t>c</w:t>
            </w:r>
            <w:r>
              <w:rPr>
                <w:rFonts w:ascii="Times New Roman" w:hAnsi="Times New Roman" w:eastAsia="宋体"/>
                <w:b w:val="0"/>
                <w:i/>
                <w:sz w:val="18"/>
                <w:vertAlign w:val="subscript"/>
              </w:rPr>
              <w:t>i</w:t>
            </w:r>
          </w:p>
        </w:tc>
        <w:tc>
          <w:tcPr>
            <w:tcW w:type="dxa" w:w="4394"/>
          </w:tcPr>
          <w:p>
            <w:pPr>
              <w:spacing w:line="240" w:lineRule="auto" w:after="40"/>
              <w:jc w:val="center"/>
            </w:pPr>
            <w:r/>
            <w:r>
              <w:rPr>
                <w:rFonts w:ascii="Times New Roman" w:hAnsi="Times New Roman" w:eastAsia="宋体"/>
                <w:b w:val="0"/>
                <w:sz w:val="21"/>
              </w:rPr>
              <w:t>工件 i 的材料成本，元</w:t>
            </w:r>
          </w:p>
        </w:tc>
      </w:tr>
      <w:tr>
        <w:trPr>
          <w:cantSplit/>
        </w:trPr>
        <w:tc>
          <w:tcPr>
            <w:tcW w:type="dxa" w:w="4394"/>
          </w:tcPr>
          <w:p>
            <w:pPr>
              <w:spacing w:line="240" w:lineRule="auto" w:after="40"/>
              <w:jc w:val="center"/>
            </w:pPr>
            <w:r/>
            <w:r>
              <w:rPr>
                <w:rFonts w:ascii="Times New Roman" w:hAnsi="Times New Roman" w:eastAsia="宋体"/>
                <w:b w:val="0"/>
                <w:i/>
                <w:sz w:val="21"/>
              </w:rPr>
              <w:t>x</w:t>
            </w:r>
            <w:r>
              <w:rPr>
                <w:rFonts w:ascii="Times New Roman" w:hAnsi="Times New Roman" w:eastAsia="宋体"/>
                <w:b w:val="0"/>
                <w:i/>
                <w:sz w:val="18"/>
                <w:vertAlign w:val="subscript"/>
              </w:rPr>
              <w:t>ijk</w:t>
            </w:r>
          </w:p>
        </w:tc>
        <w:tc>
          <w:tcPr>
            <w:tcW w:type="dxa" w:w="4394"/>
          </w:tcPr>
          <w:p>
            <w:pPr>
              <w:spacing w:line="240" w:lineRule="auto" w:after="40"/>
              <w:jc w:val="center"/>
            </w:pPr>
            <w:r/>
            <w:r>
              <w:rPr>
                <w:rFonts w:ascii="Times New Roman" w:hAnsi="Times New Roman" w:eastAsia="宋体"/>
                <w:b w:val="0"/>
                <w:sz w:val="21"/>
              </w:rPr>
              <w:t xml:space="preserve">0-1 变量，工序 </w:t>
            </w:r>
            <w:r>
              <w:rPr>
                <w:rFonts w:ascii="Times New Roman" w:hAnsi="Times New Roman" w:eastAsia="宋体"/>
                <w:b w:val="0"/>
                <w:i/>
                <w:sz w:val="21"/>
              </w:rPr>
              <w:t>O</w:t>
            </w:r>
            <w:r>
              <w:rPr>
                <w:rFonts w:ascii="Times New Roman" w:hAnsi="Times New Roman" w:eastAsia="宋体"/>
                <w:b w:val="0"/>
                <w:i/>
                <w:sz w:val="18"/>
                <w:vertAlign w:val="subscript"/>
              </w:rPr>
              <w:t>ij</w:t>
            </w:r>
            <w:r>
              <w:rPr>
                <w:rFonts w:ascii="Times New Roman" w:hAnsi="Times New Roman" w:eastAsia="宋体"/>
                <w:b w:val="0"/>
                <w:sz w:val="21"/>
              </w:rPr>
              <w:t xml:space="preserve"> 在机床 k 加工时为 1</w:t>
            </w:r>
          </w:p>
        </w:tc>
      </w:tr>
      <w:tr>
        <w:trPr>
          <w:cantSplit/>
        </w:trPr>
        <w:tc>
          <w:tcPr>
            <w:tcW w:type="dxa" w:w="4394"/>
          </w:tcPr>
          <w:p>
            <w:pPr>
              <w:spacing w:line="240" w:lineRule="auto" w:after="40"/>
              <w:jc w:val="center"/>
            </w:pPr>
            <w:r/>
            <w:r>
              <w:rPr>
                <w:rFonts w:ascii="Times New Roman" w:hAnsi="Times New Roman" w:eastAsia="宋体"/>
                <w:b w:val="0"/>
                <w:i/>
                <w:sz w:val="21"/>
              </w:rPr>
              <w:t>y</w:t>
            </w:r>
            <w:r>
              <w:rPr>
                <w:rFonts w:ascii="Times New Roman" w:hAnsi="Times New Roman" w:eastAsia="宋体"/>
                <w:b w:val="0"/>
                <w:i/>
                <w:sz w:val="18"/>
                <w:vertAlign w:val="subscript"/>
              </w:rPr>
              <w:t>ijhl</w:t>
            </w:r>
          </w:p>
        </w:tc>
        <w:tc>
          <w:tcPr>
            <w:tcW w:type="dxa" w:w="4394"/>
          </w:tcPr>
          <w:p>
            <w:pPr>
              <w:spacing w:line="240" w:lineRule="auto" w:after="40"/>
              <w:jc w:val="center"/>
            </w:pPr>
            <w:r/>
            <w:r>
              <w:rPr>
                <w:rFonts w:ascii="Times New Roman" w:hAnsi="Times New Roman" w:eastAsia="宋体"/>
                <w:b w:val="0"/>
                <w:sz w:val="21"/>
              </w:rPr>
              <w:t>同机两道工序的顺序 0-1 变量</w:t>
            </w:r>
          </w:p>
        </w:tc>
      </w:tr>
      <w:tr>
        <w:trPr>
          <w:cantSplit/>
        </w:trPr>
        <w:tc>
          <w:tcPr>
            <w:tcW w:type="dxa" w:w="4394"/>
          </w:tcPr>
          <w:p>
            <w:pPr>
              <w:spacing w:line="240" w:lineRule="auto" w:after="40"/>
              <w:jc w:val="center"/>
            </w:pPr>
            <w:r/>
            <w:r>
              <w:rPr>
                <w:rFonts w:ascii="Times New Roman" w:hAnsi="Times New Roman" w:eastAsia="宋体"/>
                <w:b w:val="0"/>
                <w:i/>
                <w:sz w:val="21"/>
              </w:rPr>
              <w:t>s</w:t>
            </w:r>
            <w:r>
              <w:rPr>
                <w:rFonts w:ascii="Times New Roman" w:hAnsi="Times New Roman" w:eastAsia="宋体"/>
                <w:b w:val="0"/>
                <w:i/>
                <w:sz w:val="18"/>
                <w:vertAlign w:val="subscript"/>
              </w:rPr>
              <w:t>ij</w:t>
            </w:r>
          </w:p>
        </w:tc>
        <w:tc>
          <w:tcPr>
            <w:tcW w:type="dxa" w:w="4394"/>
          </w:tcPr>
          <w:p>
            <w:pPr>
              <w:spacing w:line="240" w:lineRule="auto" w:after="40"/>
              <w:jc w:val="center"/>
            </w:pPr>
            <w:r/>
            <w:r>
              <w:rPr>
                <w:rFonts w:ascii="Times New Roman" w:hAnsi="Times New Roman" w:eastAsia="宋体"/>
                <w:b w:val="0"/>
                <w:sz w:val="21"/>
              </w:rPr>
              <w:t xml:space="preserve">工序 </w:t>
            </w:r>
            <w:r>
              <w:rPr>
                <w:rFonts w:ascii="Times New Roman" w:hAnsi="Times New Roman" w:eastAsia="宋体"/>
                <w:b w:val="0"/>
                <w:i/>
                <w:sz w:val="21"/>
              </w:rPr>
              <w:t>O</w:t>
            </w:r>
            <w:r>
              <w:rPr>
                <w:rFonts w:ascii="Times New Roman" w:hAnsi="Times New Roman" w:eastAsia="宋体"/>
                <w:b w:val="0"/>
                <w:i/>
                <w:sz w:val="18"/>
                <w:vertAlign w:val="subscript"/>
              </w:rPr>
              <w:t>ij</w:t>
            </w:r>
            <w:r>
              <w:rPr>
                <w:rFonts w:ascii="Times New Roman" w:hAnsi="Times New Roman" w:eastAsia="宋体"/>
                <w:b w:val="0"/>
                <w:sz w:val="21"/>
              </w:rPr>
              <w:t xml:space="preserve"> 的速度档</w:t>
            </w:r>
          </w:p>
        </w:tc>
      </w:tr>
      <w:tr>
        <w:trPr>
          <w:cantSplit/>
        </w:trPr>
        <w:tc>
          <w:tcPr>
            <w:tcW w:type="dxa" w:w="4394"/>
          </w:tcPr>
          <w:p>
            <w:pPr>
              <w:spacing w:line="240" w:lineRule="auto" w:after="40"/>
              <w:jc w:val="center"/>
            </w:pPr>
            <w:r/>
            <w:r>
              <w:rPr>
                <w:rFonts w:ascii="Times New Roman" w:hAnsi="Times New Roman" w:eastAsia="宋体"/>
                <w:b w:val="0"/>
                <w:i/>
                <w:sz w:val="21"/>
              </w:rPr>
              <w:t>C</w:t>
            </w:r>
            <w:r>
              <w:rPr>
                <w:rFonts w:ascii="Times New Roman" w:hAnsi="Times New Roman" w:eastAsia="宋体"/>
                <w:b w:val="0"/>
                <w:i/>
                <w:sz w:val="18"/>
                <w:vertAlign w:val="subscript"/>
              </w:rPr>
              <w:t>i</w:t>
            </w:r>
          </w:p>
        </w:tc>
        <w:tc>
          <w:tcPr>
            <w:tcW w:type="dxa" w:w="4394"/>
          </w:tcPr>
          <w:p>
            <w:pPr>
              <w:spacing w:line="240" w:lineRule="auto" w:after="40"/>
              <w:jc w:val="center"/>
            </w:pPr>
            <w:r/>
            <w:r>
              <w:rPr>
                <w:rFonts w:ascii="Times New Roman" w:hAnsi="Times New Roman" w:eastAsia="宋体"/>
                <w:b w:val="0"/>
                <w:sz w:val="21"/>
              </w:rPr>
              <w:t>工件 i 的完工时间，min</w:t>
            </w:r>
          </w:p>
        </w:tc>
      </w:tr>
      <w:tr>
        <w:trPr>
          <w:cantSplit/>
        </w:trPr>
        <w:tc>
          <w:tcPr>
            <w:tcW w:type="dxa" w:w="4394"/>
          </w:tcPr>
          <w:p>
            <w:pPr>
              <w:spacing w:line="240" w:lineRule="auto" w:after="40"/>
              <w:jc w:val="center"/>
            </w:pPr>
            <w:r/>
            <w:r>
              <w:rPr>
                <w:rFonts w:ascii="Times New Roman" w:hAnsi="Times New Roman" w:eastAsia="宋体"/>
                <w:b w:val="0"/>
                <w:i/>
                <w:sz w:val="21"/>
              </w:rPr>
              <w:t>F</w:t>
            </w:r>
            <w:r>
              <w:rPr>
                <w:rFonts w:ascii="Times New Roman" w:hAnsi="Times New Roman" w:eastAsia="宋体"/>
                <w:b w:val="0"/>
                <w:i/>
                <w:sz w:val="18"/>
                <w:vertAlign w:val="subscript"/>
              </w:rPr>
              <w:t>t</w:t>
            </w:r>
            <w:r>
              <w:rPr>
                <w:rFonts w:ascii="Times New Roman" w:hAnsi="Times New Roman" w:eastAsia="宋体"/>
                <w:b w:val="0"/>
                <w:sz w:val="21"/>
              </w:rPr>
              <w:t xml:space="preserve">, </w:t>
            </w:r>
            <w:r>
              <w:rPr>
                <w:rFonts w:ascii="Times New Roman" w:hAnsi="Times New Roman" w:eastAsia="宋体"/>
                <w:b w:val="0"/>
                <w:i/>
                <w:sz w:val="21"/>
              </w:rPr>
              <w:t>F</w:t>
            </w:r>
            <w:r>
              <w:rPr>
                <w:rFonts w:ascii="Times New Roman" w:hAnsi="Times New Roman" w:eastAsia="宋体"/>
                <w:b w:val="0"/>
                <w:i/>
                <w:sz w:val="18"/>
                <w:vertAlign w:val="subscript"/>
              </w:rPr>
              <w:t>c</w:t>
            </w:r>
            <w:r>
              <w:rPr>
                <w:rFonts w:ascii="Times New Roman" w:hAnsi="Times New Roman" w:eastAsia="宋体"/>
                <w:b w:val="0"/>
                <w:sz w:val="21"/>
              </w:rPr>
              <w:t xml:space="preserve">, </w:t>
            </w:r>
            <w:r>
              <w:rPr>
                <w:rFonts w:ascii="Times New Roman" w:hAnsi="Times New Roman" w:eastAsia="宋体"/>
                <w:b w:val="0"/>
                <w:i/>
                <w:sz w:val="21"/>
              </w:rPr>
              <w:t>F</w:t>
            </w:r>
            <w:r>
              <w:rPr>
                <w:rFonts w:ascii="Times New Roman" w:hAnsi="Times New Roman" w:eastAsia="宋体"/>
                <w:b w:val="0"/>
                <w:i/>
                <w:sz w:val="18"/>
                <w:vertAlign w:val="subscript"/>
              </w:rPr>
              <w:t>o</w:t>
            </w:r>
          </w:p>
        </w:tc>
        <w:tc>
          <w:tcPr>
            <w:tcW w:type="dxa" w:w="4394"/>
          </w:tcPr>
          <w:p>
            <w:pPr>
              <w:spacing w:line="240" w:lineRule="auto" w:after="40"/>
              <w:jc w:val="center"/>
            </w:pPr>
            <w:r/>
            <w:r>
              <w:rPr>
                <w:rFonts w:ascii="Times New Roman" w:hAnsi="Times New Roman" w:eastAsia="宋体"/>
                <w:b w:val="0"/>
                <w:sz w:val="21"/>
              </w:rPr>
              <w:t>目标，完工时间、总成本与碳排</w:t>
            </w:r>
          </w:p>
        </w:tc>
      </w:tr>
    </w:tbl>
    <w:p>
      <w:pPr>
        <w:spacing w:before="120" w:after="60"/>
        <w:ind w:firstLine="0"/>
        <w:jc w:val="left"/>
        <w:keepNext w:val="1"/>
        <w:keepLines w:val="1"/>
      </w:pPr>
      <w:r>
        <w:rPr>
          <w:rFonts w:ascii="Times New Roman" w:hAnsi="Times New Roman" w:eastAsia="黑体"/>
          <w:b w:val="0"/>
          <w:sz w:val="28"/>
        </w:rPr>
        <w:t>2.2　决策变量与可行空间</w:t>
      </w:r>
    </w:p>
    <w:p>
      <w:pPr>
        <w:spacing w:line="360" w:lineRule="auto" w:after="0"/>
        <w:ind w:firstLine="480"/>
        <w:jc w:val="both"/>
      </w:pPr>
      <w:r>
        <w:rPr>
          <w:rFonts w:ascii="Times New Roman" w:hAnsi="Times New Roman" w:eastAsia="宋体"/>
          <w:b w:val="0"/>
          <w:sz w:val="24"/>
        </w:rPr>
        <w:t xml:space="preserve">决策变量为机床指派</w:t>
      </w:r>
      <m:oMath>
        <m:sSub>
          <m:e>
            <m:r>
              <m:t>x</m:t>
            </m:r>
          </m:e>
          <m:sub>
            <m:r>
              <m:t>ijk</m:t>
            </m:r>
          </m:sub>
        </m:sSub>
      </m:oMath>
      <w:r>
        <w:rPr>
          <w:rFonts w:ascii="Times New Roman" w:hAnsi="Times New Roman" w:eastAsia="宋体"/>
          <w:b w:val="0"/>
          <w:sz w:val="24"/>
        </w:rPr>
        <w:t xml:space="preserve">、同机顺序</w:t>
      </w:r>
      <m:oMath>
        <m:sSub>
          <m:e>
            <m:r>
              <m:t>y</m:t>
            </m:r>
          </m:e>
          <m:sub>
            <m:r>
              <m:t>ijhl</m:t>
            </m:r>
          </m:sub>
        </m:sSub>
      </m:oMath>
      <w:r>
        <w:rPr>
          <w:rFonts w:ascii="Times New Roman" w:hAnsi="Times New Roman" w:eastAsia="宋体"/>
          <w:b w:val="0"/>
          <w:sz w:val="24"/>
        </w:rPr>
        <w:t xml:space="preserve">与速度档</w:t>
      </w:r>
      <m:oMath>
        <m:sSub>
          <m:e>
            <m:r>
              <m:t>s</m:t>
            </m:r>
          </m:e>
          <m:sub>
            <m:r>
              <m:t>ij</m:t>
            </m:r>
          </m:sub>
        </m:sSub>
      </m:oMath>
      <w:r>
        <w:rPr>
          <w:rFonts w:ascii="Times New Roman" w:hAnsi="Times New Roman" w:eastAsia="宋体"/>
          <w:b w:val="0"/>
          <w:sz w:val="24"/>
        </w:rPr>
        <w:t xml:space="preserve">，须满足每道工序唯一机床、工件工序先后、同机不重叠及速度可行域。解码器按工序序列依次处理工序，开工时刻取其前道工序完工与所选机床队尾可用时刻的较大者，完工时刻为开工加</w:t>
      </w:r>
      <m:oMath>
        <m:sSub>
          <m:e>
            <m:r>
              <m:t>T</m:t>
            </m:r>
          </m:e>
          <m:sub>
            <m:r>
              <m:t>ijk</m:t>
            </m:r>
          </m:sub>
        </m:sSub>
      </m:oMath>
      <w:r>
        <w:rPr>
          <w:rFonts w:ascii="Times New Roman" w:hAnsi="Times New Roman" w:eastAsia="宋体"/>
          <w:b w:val="0"/>
          <w:sz w:val="24"/>
        </w:rPr>
        <w:t xml:space="preserve">/</w:t>
      </w:r>
      <m:oMath>
        <m:sSub>
          <m:e>
            <m:r>
              <m:t>s</m:t>
            </m:r>
          </m:e>
          <m:sub>
            <m:r>
              <m:t>ij</m:t>
            </m:r>
          </m:sub>
        </m:sSub>
      </m:oMath>
      <w:r>
        <w:rPr>
          <w:rFonts w:ascii="Times New Roman" w:hAnsi="Times New Roman" w:eastAsia="宋体"/>
          <w:b w:val="0"/>
          <w:sz w:val="24"/>
        </w:rPr>
        <w:t xml:space="preserve">，并据此更新机床可用时刻。该构造不向队列内部插入工序，也不增加主动等待变量，因而定义了完整分时调度可行域的一个子空间。本文的负荷时序变化均在该子空间内解释。离散速度集为{0.8, 1.0, 1.2}，用于近似有限档位控制，并假设这些档位满足所测工序的工艺要求。</w:t>
      </w:r>
    </w:p>
    <w:p>
      <w:pPr>
        <w:ind w:firstLine="0"/>
        <w:jc w:val="center"/>
        <w:keepNext w:val="1"/>
        <w:keepLines w:val="1"/>
      </w:pPr>
      <w:r>
        <w:drawing>
          <wp:inline xmlns:a="http://schemas.openxmlformats.org/drawingml/2006/main" xmlns:pic="http://schemas.openxmlformats.org/drawingml/2006/picture">
            <wp:extent cx="5220000" cy="3367470"/>
            <wp:docPr id="2" name="Picture 2" descr="图2 第三轮修订后图形，数据与说明见正文图注"/>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220000" cy="3367470"/>
                    </a:xfrm>
                    <a:prstGeom prst="rect"/>
                  </pic:spPr>
                </pic:pic>
              </a:graphicData>
            </a:graphic>
          </wp:inline>
        </w:drawing>
      </w:r>
    </w:p>
    <w:p>
      <w:pPr>
        <w:spacing w:line="240" w:lineRule="auto" w:before="120" w:after="120"/>
        <w:ind w:firstLine="0"/>
        <w:jc w:val="center"/>
        <w:keepNext w:val="0"/>
        <w:keepLines w:val="1"/>
      </w:pPr>
      <w:r>
        <w:rPr>
          <w:rFonts w:ascii="Times New Roman" w:hAnsi="Times New Roman" w:eastAsia="宋体"/>
          <w:b w:val="0"/>
          <w:sz w:val="21"/>
        </w:rPr>
        <w:t xml:space="preserve">图2　求解与评价流程。BASE为平价固定速度基线，CTRL为平价可变速度对照，C1为分时与碳结算联合感知模型；解码均采用队尾追加最早开工规则</w:t>
      </w:r>
    </w:p>
    <w:p>
      <w:pPr>
        <w:spacing w:before="120" w:after="60"/>
        <w:ind w:firstLine="0"/>
        <w:jc w:val="left"/>
        <w:keepNext w:val="1"/>
        <w:keepLines w:val="1"/>
      </w:pPr>
      <w:r>
        <w:rPr>
          <w:rFonts w:ascii="Times New Roman" w:hAnsi="Times New Roman" w:eastAsia="黑体"/>
          <w:b w:val="0"/>
          <w:sz w:val="28"/>
        </w:rPr>
        <w:t>2.3　三目标与市场机制</w:t>
      </w:r>
    </w:p>
    <w:p>
      <w:pPr>
        <w:spacing w:line="360" w:lineRule="auto" w:after="0"/>
        <w:ind w:firstLine="480"/>
        <w:jc w:val="both"/>
      </w:pPr>
      <w:r>
        <w:rPr>
          <w:rFonts w:ascii="Times New Roman" w:hAnsi="Times New Roman" w:eastAsia="宋体"/>
          <w:b w:val="0"/>
          <w:sz w:val="24"/>
        </w:rPr>
        <w:t xml:space="preserve">完工时间 </w:t>
      </w:r>
      <w:r>
        <w:rPr>
          <w:rFonts w:ascii="Times New Roman" w:hAnsi="Times New Roman" w:eastAsia="宋体"/>
          <w:b w:val="0"/>
          <w:i/>
          <w:sz w:val="24"/>
        </w:rPr>
        <w:t>F</w:t>
      </w:r>
      <w:r>
        <w:rPr>
          <w:rFonts w:ascii="Times New Roman" w:hAnsi="Times New Roman" w:eastAsia="宋体"/>
          <w:b w:val="0"/>
          <w:i/>
          <w:sz w:val="24"/>
          <w:vertAlign w:val="subscript"/>
        </w:rPr>
        <w:t>t</w:t>
      </w:r>
      <w:r>
        <w:rPr>
          <w:rFonts w:ascii="Times New Roman" w:hAnsi="Times New Roman" w:eastAsia="宋体"/>
          <w:b w:val="0"/>
          <w:sz w:val="24"/>
        </w:rPr>
        <w:t xml:space="preserve"> 为最大工件完工时间。成本目标 </w:t>
      </w:r>
      <w:r>
        <w:rPr>
          <w:rFonts w:ascii="Times New Roman" w:hAnsi="Times New Roman" w:eastAsia="宋体"/>
          <w:b w:val="0"/>
          <w:i/>
          <w:sz w:val="24"/>
        </w:rPr>
        <w:t>F</w:t>
      </w:r>
      <w:r>
        <w:rPr>
          <w:rFonts w:ascii="Times New Roman" w:hAnsi="Times New Roman" w:eastAsia="宋体"/>
          <w:b w:val="0"/>
          <w:i/>
          <w:sz w:val="24"/>
          <w:vertAlign w:val="subscript"/>
        </w:rPr>
        <w:t>c</w:t>
      </w:r>
      <w:r>
        <w:rPr>
          <w:rFonts w:ascii="Times New Roman" w:hAnsi="Times New Roman" w:eastAsia="宋体"/>
          <w:b w:val="0"/>
          <w:sz w:val="24"/>
        </w:rPr>
        <w:t xml:space="preserve"> 由材料成本、劳务成本、统一账本电费与碳结算项构成，见式(5)。速度选择通过功率速度律同时缩放加工时间与功率，见式(6)。碳结算为线性对称式，见式(7)。</w:t>
      </w:r>
    </w:p>
    <w:p>
      <w:pPr>
        <w:spacing w:before="120" w:after="120"/>
        <w:ind w:firstLine="0"/>
        <w:jc w:val="center"/>
        <w:tabs>
          <w:tab w:val="center" w:pos="4393"/>
          <w:tab w:val="right" w:pos="8787"/>
        </w:tabs>
      </w:pPr>
      <w:r>
        <w:rPr>
          <w:rFonts w:ascii="Times New Roman" w:hAnsi="Times New Roman" w:eastAsia="宋体"/>
          <w:b w:val="0"/>
          <w:sz w:val="24"/>
        </w:rPr>
        <w:tab/>
      </w:r>
      <m:oMath>
        <m:sSub>
          <m:e>
            <m:r>
              <m:rPr>
                <m:sty m:val="i"/>
              </m:rPr>
              <w:rPr>
                <w:rFonts w:ascii="Cambria Math" w:hAnsi="Cambria Math"/>
              </w:rPr>
              <m:t>F</m:t>
            </m:r>
          </m:e>
          <m:sub>
            <m:r>
              <m:rPr>
                <m:sty m:val="i"/>
              </m:rPr>
              <w:rPr>
                <w:rFonts w:ascii="Cambria Math" w:hAnsi="Cambria Math"/>
              </w:rPr>
              <m:t>t</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p"/>
              </m:rPr>
              <w:rPr>
                <w:rFonts w:ascii="Cambria Math" w:hAnsi="Cambria Math"/>
              </w:rPr>
              <m:t>max</m:t>
            </m:r>
          </m:e>
          <m:sub>
            <m:r>
              <m:rPr>
                <m:sty m:val="i"/>
              </m:rPr>
              <w:rPr>
                <w:rFonts w:ascii="Cambria Math" w:hAnsi="Cambria Math"/>
              </w:rPr>
              <m:t>i</m:t>
            </m:r>
          </m:sub>
        </m:sSub>
        <m:r>
          <m:rPr>
            <m:sty m:val="p"/>
          </m:rPr>
          <w:rPr>
            <w:rFonts w:ascii="Cambria Math" w:hAnsi="Cambria Math"/>
          </w:rPr>
          <m:t xml:space="preserve"> </m:t>
        </m:r>
        <m:sSub>
          <m:e>
            <m:r>
              <m:rPr>
                <m:sty m:val="i"/>
              </m:rPr>
              <w:rPr>
                <w:rFonts w:ascii="Cambria Math" w:hAnsi="Cambria Math"/>
              </w:rPr>
              <m:t>C</m:t>
            </m:r>
          </m:e>
          <m:sub>
            <m:r>
              <m:rPr>
                <m:sty m:val="i"/>
              </m:rPr>
              <w:rPr>
                <w:rFonts w:ascii="Cambria Math" w:hAnsi="Cambria Math"/>
              </w:rPr>
              <m:t>i</m:t>
            </m:r>
          </m:sub>
        </m:sSub>
      </m:oMath>
      <w:r>
        <w:rPr>
          <w:rFonts w:ascii="Times New Roman" w:hAnsi="Times New Roman" w:eastAsia="宋体"/>
          <w:b w:val="0"/>
          <w:sz w:val="24"/>
        </w:rPr>
        <w:tab/>
        <w:t>(4)</w:t>
      </w:r>
    </w:p>
    <w:p>
      <w:pPr>
        <w:spacing w:before="120" w:after="120"/>
        <w:ind w:firstLine="0"/>
        <w:jc w:val="center"/>
        <w:tabs>
          <w:tab w:val="center" w:pos="4393"/>
          <w:tab w:val="right" w:pos="8787"/>
        </w:tabs>
      </w:pPr>
      <w:r>
        <w:rPr>
          <w:rFonts w:ascii="Times New Roman" w:hAnsi="Times New Roman" w:eastAsia="宋体"/>
          <w:b w:val="0"/>
          <w:sz w:val="24"/>
        </w:rPr>
        <w:tab/>
      </w:r>
      <m:oMath>
        <m:sSub>
          <m:e>
            <m:r>
              <m:rPr>
                <m:sty m:val="i"/>
              </m:rPr>
              <w:rPr>
                <w:rFonts w:ascii="Cambria Math" w:hAnsi="Cambria Math"/>
              </w:rPr>
              <m:t>F</m:t>
            </m:r>
          </m:e>
          <m:sub>
            <m:r>
              <m:rPr>
                <m:sty m:val="i"/>
              </m:rPr>
              <w:rPr>
                <w:rFonts w:ascii="Cambria Math" w:hAnsi="Cambria Math"/>
              </w:rPr>
              <m:t>c</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p"/>
              </m:rPr>
              <w:rPr>
                <w:rFonts w:ascii="Cambria Math" w:hAnsi="Cambria Math"/>
              </w:rPr>
              <m:t>Σ</m:t>
            </m:r>
          </m:e>
          <m:sub>
            <m:r>
              <m:rPr>
                <m:sty m:val="i"/>
              </m:rPr>
              <w:rPr>
                <w:rFonts w:ascii="Cambria Math" w:hAnsi="Cambria Math"/>
              </w:rPr>
              <m:t>i</m:t>
            </m:r>
          </m:sub>
        </m:sSub>
        <m:r>
          <m:rPr>
            <m:sty m:val="p"/>
          </m:rPr>
          <w:rPr>
            <w:rFonts w:ascii="Cambria Math" w:hAnsi="Cambria Math"/>
          </w:rPr>
          <m:t xml:space="preserve"> </m:t>
        </m:r>
        <m:sSub>
          <m:e>
            <m:r>
              <m:rPr>
                <m:sty m:val="i"/>
              </m:rPr>
              <w:rPr>
                <w:rFonts w:ascii="Cambria Math" w:hAnsi="Cambria Math"/>
              </w:rPr>
              <m:t>c</m:t>
            </m:r>
          </m:e>
          <m:sub>
            <m:r>
              <m:rPr>
                <m:sty m:val="i"/>
              </m:rPr>
              <w:rPr>
                <w:rFonts w:ascii="Cambria Math" w:hAnsi="Cambria Math"/>
              </w:rPr>
              <m:t>i</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p"/>
              </m:rPr>
              <w:rPr>
                <w:rFonts w:ascii="Cambria Math" w:hAnsi="Cambria Math"/>
              </w:rPr>
              <m:t>Σ</m:t>
            </m:r>
          </m:e>
          <m:sub>
            <m:r>
              <m:rPr>
                <m:sty m:val="i"/>
              </m:rPr>
              <w:rPr>
                <w:rFonts w:ascii="Cambria Math" w:hAnsi="Cambria Math"/>
              </w:rPr>
              <m:t>ops</m:t>
            </m:r>
          </m:sub>
        </m:sSub>
        <m:r>
          <m:rPr>
            <m:sty m:val="p"/>
          </m:rPr>
          <w:rPr>
            <w:rFonts w:ascii="Cambria Math" w:hAnsi="Cambria Math"/>
          </w:rPr>
          <m:t xml:space="preserve"> </m:t>
        </m:r>
        <m:sSub>
          <m:e>
            <m:r>
              <m:rPr>
                <m:sty m:val="i"/>
              </m:rPr>
              <w:rPr>
                <w:rFonts w:ascii="Cambria Math" w:hAnsi="Cambria Math"/>
              </w:rPr>
              <m:t>w</m:t>
            </m:r>
          </m:e>
          <m:sub>
            <m:r>
              <m:rPr>
                <m:sty m:val="i"/>
              </m:rPr>
              <w:rPr>
                <w:rFonts w:ascii="Cambria Math" w:hAnsi="Cambria Math"/>
              </w:rPr>
              <m:t>k</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T</m:t>
            </m:r>
          </m:e>
          <m:sub>
            <m:r>
              <m:rPr>
                <m:sty m:val="i"/>
              </m:rPr>
              <w:rPr>
                <w:rFonts w:ascii="Cambria Math" w:hAnsi="Cambria Math"/>
              </w:rPr>
              <m:t>ij</m:t>
            </m:r>
          </m:sub>
        </m:sSub>
        <m:r>
          <m:rPr>
            <m:sty m:val="p"/>
          </m:rPr>
          <w:rPr>
            <w:rFonts w:ascii="Cambria Math" w:hAnsi="Cambria Math"/>
          </w:rPr>
          <m:t xml:space="preserve"> </m:t>
        </m:r>
        <m:r>
          <m:rPr>
            <m:sty m:val="p"/>
          </m:rPr>
          <w:rPr>
            <w:rFonts w:ascii="Cambria Math" w:hAnsi="Cambria Math"/>
          </w:rPr>
          <m:t>(s)</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C</m:t>
            </m:r>
          </m:e>
          <m:sub>
            <m:r>
              <m:rPr>
                <m:sty m:val="i"/>
              </m:rPr>
              <w:rPr>
                <w:rFonts w:ascii="Cambria Math" w:hAnsi="Cambria Math"/>
              </w:rPr>
              <m:t>elec</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p</m:t>
            </m:r>
          </m:e>
          <m:sub>
            <m:r>
              <m:rPr>
                <m:sty m:val="i"/>
              </m:rPr>
              <w:rPr>
                <w:rFonts w:ascii="Cambria Math" w:hAnsi="Cambria Math"/>
              </w:rPr>
              <m:t>c</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F</m:t>
            </m:r>
          </m:e>
          <m:sub>
            <m:r>
              <m:rPr>
                <m:sty m:val="i"/>
              </m:rPr>
              <w:rPr>
                <w:rFonts w:ascii="Cambria Math" w:hAnsi="Cambria Math"/>
              </w:rPr>
              <m:t>o</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E</m:t>
            </m:r>
          </m:e>
          <m:sub>
            <m:r>
              <m:rPr>
                <m:sty m:val="i"/>
              </m:rPr>
              <w:rPr>
                <w:rFonts w:ascii="Cambria Math" w:hAnsi="Cambria Math"/>
              </w:rPr>
              <m:t>cap</m:t>
            </m:r>
          </m:sub>
        </m:sSub>
        <m:r>
          <m:rPr>
            <m:sty m:val="p"/>
          </m:rPr>
          <w:rPr>
            <w:rFonts w:ascii="Cambria Math" w:hAnsi="Cambria Math"/>
          </w:rPr>
          <m:t xml:space="preserve"> </m:t>
        </m:r>
        <m:r>
          <m:rPr>
            <m:sty m:val="p"/>
          </m:rPr>
          <w:rPr>
            <w:rFonts w:ascii="Cambria Math" w:hAnsi="Cambria Math"/>
          </w:rPr>
          <m:t>)</m:t>
        </m:r>
      </m:oMath>
      <w:r>
        <w:rPr>
          <w:rFonts w:ascii="Times New Roman" w:hAnsi="Times New Roman" w:eastAsia="宋体"/>
          <w:b w:val="0"/>
          <w:sz w:val="24"/>
        </w:rPr>
        <w:tab/>
        <w:t>(5)</w:t>
      </w:r>
    </w:p>
    <w:p>
      <w:pPr>
        <w:spacing w:before="120" w:after="120"/>
        <w:ind w:firstLine="0"/>
        <w:jc w:val="center"/>
        <w:tabs>
          <w:tab w:val="center" w:pos="4393"/>
          <w:tab w:val="right" w:pos="8787"/>
        </w:tabs>
      </w:pPr>
      <w:r>
        <w:rPr>
          <w:rFonts w:ascii="Times New Roman" w:hAnsi="Times New Roman" w:eastAsia="宋体"/>
          <w:b w:val="0"/>
          <w:sz w:val="24"/>
        </w:rPr>
        <w:tab/>
      </w:r>
      <m:oMath>
        <m:sSub>
          <m:e>
            <m:r>
              <m:rPr>
                <m:sty m:val="i"/>
              </m:rPr>
              <w:rPr>
                <w:rFonts w:ascii="Cambria Math" w:hAnsi="Cambria Math"/>
              </w:rPr>
              <m:t>T</m:t>
            </m:r>
          </m:e>
          <m:sub>
            <m:r>
              <m:rPr>
                <m:sty m:val="i"/>
              </m:rPr>
              <w:rPr>
                <w:rFonts w:ascii="Cambria Math" w:hAnsi="Cambria Math"/>
              </w:rPr>
              <m:t>ij</m:t>
            </m:r>
          </m:sub>
        </m:sSub>
        <m:r>
          <m:rPr>
            <m:sty m:val="p"/>
          </m:rPr>
          <w:rPr>
            <w:rFonts w:ascii="Cambria Math" w:hAnsi="Cambria Math"/>
          </w:rPr>
          <m:t xml:space="preserve"> </m:t>
        </m:r>
        <m:r>
          <m:rPr>
            <m:sty m:val="p"/>
          </m:rPr>
          <w:rPr>
            <w:rFonts w:ascii="Cambria Math" w:hAnsi="Cambria Math"/>
          </w:rPr>
          <m:t>(s)</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T</m:t>
            </m:r>
          </m:e>
          <m:sub>
            <m:r>
              <m:rPr>
                <m:sty m:val="i"/>
              </m:rPr>
              <w:rPr>
                <w:rFonts w:ascii="Cambria Math" w:hAnsi="Cambria Math"/>
              </w:rPr>
              <m:t>ijk</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r>
          <m:rPr>
            <m:sty m:val="i"/>
          </m:rPr>
          <w:rPr>
            <w:rFonts w:ascii="Cambria Math" w:hAnsi="Cambria Math"/>
          </w:rPr>
          <m:t>s</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P</m:t>
            </m:r>
          </m:e>
          <m:sub>
            <m:r>
              <m:rPr>
                <m:sty m:val="i"/>
              </m:rPr>
              <w:rPr>
                <w:rFonts w:ascii="Cambria Math" w:hAnsi="Cambria Math"/>
              </w:rPr>
              <m:t>ij</m:t>
            </m:r>
          </m:sub>
        </m:sSub>
        <m:r>
          <m:rPr>
            <m:sty m:val="p"/>
          </m:rPr>
          <w:rPr>
            <w:rFonts w:ascii="Cambria Math" w:hAnsi="Cambria Math"/>
          </w:rPr>
          <m:t xml:space="preserve"> </m:t>
        </m:r>
        <m:r>
          <m:rPr>
            <m:sty m:val="p"/>
          </m:rPr>
          <w:rPr>
            <w:rFonts w:ascii="Cambria Math" w:hAnsi="Cambria Math"/>
          </w:rPr>
          <m:t>(s)</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P</m:t>
            </m:r>
          </m:e>
          <m:sub>
            <m:r>
              <m:rPr>
                <m:sty m:val="i"/>
              </m:rPr>
              <w:rPr>
                <w:rFonts w:ascii="Cambria Math" w:hAnsi="Cambria Math"/>
              </w:rPr>
              <m:t>ijk</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p>
          <m:e>
            <m:r>
              <m:rPr>
                <m:sty m:val="i"/>
              </m:rPr>
              <w:rPr>
                <w:rFonts w:ascii="Cambria Math" w:hAnsi="Cambria Math"/>
              </w:rPr>
              <m:t>s</m:t>
            </m:r>
          </m:e>
          <m:sup>
            <m:r>
              <m:rPr>
                <m:sty m:val="i"/>
              </m:rPr>
              <w:rPr>
                <w:rFonts w:ascii="Cambria Math" w:hAnsi="Cambria Math"/>
              </w:rPr>
              <m:t>β</m:t>
            </m:r>
          </m:sup>
        </m:sSup>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r>
          <m:rPr>
            <m:sty m:val="p"/>
          </m:rPr>
          <w:rPr>
            <w:rFonts w:ascii="Cambria Math" w:hAnsi="Cambria Math"/>
          </w:rPr>
          <m:t>β</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r>
          <m:rPr>
            <m:sty m:val="p"/>
          </m:rPr>
          <w:rPr>
            <w:rFonts w:ascii="Cambria Math" w:hAnsi="Cambria Math"/>
          </w:rPr>
          <m:t>2</m:t>
        </m:r>
      </m:oMath>
      <w:r>
        <w:rPr>
          <w:rFonts w:ascii="Times New Roman" w:hAnsi="Times New Roman" w:eastAsia="宋体"/>
          <w:b w:val="0"/>
          <w:sz w:val="24"/>
        </w:rPr>
        <w:tab/>
        <w:t>(6)</w:t>
      </w:r>
    </w:p>
    <w:p>
      <w:pPr>
        <w:spacing w:before="120" w:after="120"/>
        <w:ind w:firstLine="0"/>
        <w:jc w:val="center"/>
        <w:tabs>
          <w:tab w:val="center" w:pos="4393"/>
          <w:tab w:val="right" w:pos="8787"/>
        </w:tabs>
      </w:pPr>
      <w:r>
        <w:rPr>
          <w:rFonts w:ascii="Times New Roman" w:hAnsi="Times New Roman" w:eastAsia="宋体"/>
          <w:b w:val="0"/>
          <w:sz w:val="24"/>
        </w:rPr>
        <w:tab/>
      </w:r>
      <m:oMath>
        <m:r>
          <m:rPr>
            <m:sty m:val="p"/>
          </m:rPr>
          <w:rPr>
            <w:rFonts w:ascii="Cambria Math" w:hAnsi="Cambria Math"/>
          </w:rPr>
          <m:t>settlement</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p</m:t>
            </m:r>
          </m:e>
          <m:sub>
            <m:r>
              <m:rPr>
                <m:sty m:val="i"/>
              </m:rPr>
              <w:rPr>
                <w:rFonts w:ascii="Cambria Math" w:hAnsi="Cambria Math"/>
              </w:rPr>
              <m:t>c</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F</m:t>
            </m:r>
          </m:e>
          <m:sub>
            <m:r>
              <m:rPr>
                <m:sty m:val="i"/>
              </m:rPr>
              <w:rPr>
                <w:rFonts w:ascii="Cambria Math" w:hAnsi="Cambria Math"/>
              </w:rPr>
              <m:t>o</m:t>
            </m:r>
          </m:sub>
        </m:sSub>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sSub>
          <m:e>
            <m:r>
              <m:rPr>
                <m:sty m:val="i"/>
              </m:rPr>
              <w:rPr>
                <w:rFonts w:ascii="Cambria Math" w:hAnsi="Cambria Math"/>
              </w:rPr>
              <m:t>E</m:t>
            </m:r>
          </m:e>
          <m:sub>
            <m:r>
              <m:rPr>
                <m:sty m:val="i"/>
              </m:rPr>
              <w:rPr>
                <w:rFonts w:ascii="Cambria Math" w:hAnsi="Cambria Math"/>
              </w:rPr>
              <m:t>cap</m:t>
            </m:r>
          </m:sub>
        </m:sSub>
        <m:r>
          <m:rPr>
            <m:sty m:val="p"/>
          </m:rPr>
          <w:rPr>
            <w:rFonts w:ascii="Cambria Math" w:hAnsi="Cambria Math"/>
          </w:rPr>
          <m:t xml:space="preserve"> </m:t>
        </m:r>
        <m:r>
          <m:rPr>
            <m:sty m:val="p"/>
          </m:rPr>
          <w:rPr>
            <w:rFonts w:ascii="Cambria Math" w:hAnsi="Cambria Math"/>
          </w:rPr>
          <m:t>)</m:t>
        </m:r>
      </m:oMath>
      <w:r>
        <w:rPr>
          <w:rFonts w:ascii="Times New Roman" w:hAnsi="Times New Roman" w:eastAsia="宋体"/>
          <w:b w:val="0"/>
          <w:sz w:val="24"/>
        </w:rPr>
        <w:tab/>
        <w:t>(7)</w:t>
      </w:r>
    </w:p>
    <w:p>
      <w:pPr>
        <w:spacing w:line="360" w:lineRule="auto" w:after="0"/>
        <w:ind w:firstLine="480"/>
        <w:jc w:val="both"/>
      </w:pPr>
      <w:r>
        <w:rPr>
          <w:rFonts w:ascii="Times New Roman" w:hAnsi="Times New Roman" w:eastAsia="宋体"/>
          <w:b w:val="0"/>
          <w:sz w:val="24"/>
        </w:rPr>
        <w:t xml:space="preserve">线性对称结算有一个可直接证明的性质，固定碳价下配额 </w:t>
      </w:r>
      <w:r>
        <w:rPr>
          <w:rFonts w:ascii="Times New Roman" w:hAnsi="Times New Roman" w:eastAsia="宋体"/>
          <w:b w:val="0"/>
          <w:i/>
          <w:sz w:val="24"/>
        </w:rPr>
        <w:t>E</w:t>
      </w:r>
      <w:r>
        <w:rPr>
          <w:rFonts w:ascii="Times New Roman" w:hAnsi="Times New Roman" w:eastAsia="宋体"/>
          <w:b w:val="0"/>
          <w:i/>
          <w:sz w:val="24"/>
          <w:vertAlign w:val="subscript"/>
        </w:rPr>
        <w:t>cap</w:t>
      </w:r>
      <w:r>
        <w:rPr>
          <w:rFonts w:ascii="Times New Roman" w:hAnsi="Times New Roman" w:eastAsia="宋体"/>
          <w:b w:val="0"/>
          <w:sz w:val="24"/>
        </w:rPr>
        <w:t xml:space="preserve"> 只向所有班表的成本加同一常数，因而不改变任何两个班表的成本差、三目标支配关系与 Pareto 解集，配额倍率扫描因此是会计校核而非激励实验，碳价 </w:t>
      </w:r>
      <w:r>
        <w:rPr>
          <w:rFonts w:ascii="Times New Roman" w:hAnsi="Times New Roman" w:eastAsia="宋体"/>
          <w:b w:val="0"/>
          <w:i/>
          <w:sz w:val="24"/>
        </w:rPr>
        <w:t>p</w:t>
      </w:r>
      <w:r>
        <w:rPr>
          <w:rFonts w:ascii="Times New Roman" w:hAnsi="Times New Roman" w:eastAsia="宋体"/>
          <w:b w:val="0"/>
          <w:i/>
          <w:sz w:val="24"/>
          <w:vertAlign w:val="subscript"/>
        </w:rPr>
        <w:t>c</w:t>
      </w:r>
      <w:r>
        <w:rPr>
          <w:rFonts w:ascii="Times New Roman" w:hAnsi="Times New Roman" w:eastAsia="宋体"/>
          <w:b w:val="0"/>
          <w:sz w:val="24"/>
        </w:rPr>
        <w:t xml:space="preserve"> 才是改变调度行为的边际激励，3.4 节据此组织实验。</w:t>
      </w:r>
    </w:p>
    <w:p>
      <w:pPr>
        <w:spacing w:before="120" w:after="60"/>
        <w:ind w:firstLine="0"/>
        <w:jc w:val="left"/>
        <w:keepNext w:val="1"/>
        <w:keepLines w:val="1"/>
      </w:pPr>
      <w:r>
        <w:rPr>
          <w:rFonts w:ascii="Times New Roman" w:hAnsi="Times New Roman" w:eastAsia="黑体"/>
          <w:b w:val="0"/>
          <w:sz w:val="28"/>
        </w:rPr>
        <w:t>2.4　求解方法</w:t>
      </w:r>
    </w:p>
    <w:p>
      <w:pPr>
        <w:spacing w:line="360" w:lineRule="auto" w:after="0"/>
        <w:ind w:firstLine="480"/>
        <w:jc w:val="both"/>
      </w:pPr>
      <w:r>
        <w:rPr>
          <w:rFonts w:ascii="Times New Roman" w:hAnsi="Times New Roman" w:eastAsia="宋体"/>
          <w:b w:val="0"/>
          <w:sz w:val="24"/>
        </w:rPr>
        <w:t xml:space="preserve">本文采用NSGA-II[11]作为共同求解器，初始化中快速机床、局部机床与随机机床选择的比例为0.6、0.3、0.1。三层染色体分别编码工序序列、机床候选索引与速度档，速度层使用均匀交叉和双基因变异。选择、交叉变异率与种群存活规则在比较组之间保持相同，配置及种子见补充材料。图神经网络与强化学习也已用于柔性作业车间调度[14]；本文采用固定的进化求解流程，以便在同预算下比较规划规则，而不将求解器性能突破作为研究主张。</w:t>
      </w:r>
    </w:p>
    <w:p>
      <w:pPr>
        <w:spacing w:line="360" w:lineRule="auto" w:after="0"/>
        <w:ind w:firstLine="480"/>
        <w:jc w:val="both"/>
      </w:pPr>
      <w:r>
        <w:rPr>
          <w:rFonts w:ascii="Times New Roman" w:hAnsi="Times New Roman" w:eastAsia="宋体"/>
          <w:b w:val="0"/>
          <w:sz w:val="24"/>
        </w:rPr>
        <w:t xml:space="preserve">主比较与机制消融采用每组6运行、每运行80代；独立碳价扫描与原点实验采用4运行、80代；联合非加工能耗参数实验采用3运行、80代；上述种群规模均为150。共池重评价复用独立碳价扫描的四运行前沿，并加入相同运行编号的BASE候选，不新增优化搜索。基线算法复现汇总采用20运行、100代，与市场机制实验分开报告。同预算比较限定在相应实验族内。</w:t>
      </w:r>
    </w:p>
    <w:p>
      <w:pPr>
        <w:spacing w:before="240" w:after="120"/>
        <w:ind w:firstLine="0"/>
        <w:jc w:val="left"/>
        <w:keepNext w:val="1"/>
        <w:keepLines w:val="1"/>
      </w:pPr>
      <w:r>
        <w:rPr>
          <w:rFonts w:ascii="Times New Roman" w:hAnsi="Times New Roman" w:eastAsia="黑体"/>
          <w:b w:val="0"/>
          <w:sz w:val="32"/>
        </w:rPr>
        <w:t>3　计算实验</w:t>
      </w:r>
    </w:p>
    <w:p>
      <w:pPr>
        <w:spacing w:before="120" w:after="60"/>
        <w:ind w:firstLine="0"/>
        <w:jc w:val="left"/>
        <w:keepNext w:val="1"/>
        <w:keepLines w:val="1"/>
      </w:pPr>
      <w:r>
        <w:rPr>
          <w:rFonts w:ascii="Times New Roman" w:hAnsi="Times New Roman" w:eastAsia="黑体"/>
          <w:b w:val="0"/>
          <w:sz w:val="28"/>
        </w:rPr>
        <w:t>3.1　算例、参数与评价协议</w:t>
      </w:r>
    </w:p>
    <w:p>
      <w:pPr>
        <w:spacing w:line="360" w:lineRule="auto" w:after="0"/>
        <w:ind w:firstLine="480"/>
        <w:jc w:val="both"/>
      </w:pPr>
      <w:r>
        <w:rPr>
          <w:rFonts w:ascii="Times New Roman" w:hAnsi="Times New Roman" w:eastAsia="宋体"/>
          <w:b w:val="0"/>
          <w:sz w:val="24"/>
        </w:rPr>
        <w:t xml:space="preserve">算例与参数。齿轮轴车间包含10工件和15机床，加工时间、工序机床对功率及材料成本取自文献[1]表3；基准电价0.8118元/kWh与排放因子0.5703 kgCO₂/kWh沿用其复现设置。Brandimarte Mk01至Mk10[12]不含能耗数据，采用固定的合成功率剖面。待机功率为额定功率的20%，加载瞬态能耗设为一个待机分钟的电量，工资率为0.5元/min；速度功率指数β取2。上述能耗、工资和速度参数均作为情景假设记录，齿轮轴案例使用论文报告的工业来源参数，整体研究为模拟优化。</w:t>
      </w:r>
    </w:p>
    <w:p>
      <w:pPr>
        <w:spacing w:line="360" w:lineRule="auto" w:after="0"/>
        <w:ind w:firstLine="480"/>
        <w:jc w:val="both"/>
      </w:pPr>
      <w:r>
        <w:rPr>
          <w:rFonts w:ascii="Times New Roman" w:hAnsi="Times New Roman" w:eastAsia="宋体"/>
          <w:b w:val="0"/>
          <w:sz w:val="24"/>
        </w:rPr>
        <w:t xml:space="preserve">分时曲线设为谷段00:00至07:00及21:00至24:00，峰段08:00至11:00及13:00至19:00，其余为平段，峰平谷倍率为1.6、1.0、0.4。该曲线和0.08元/kgCO₂碳价均作为示例情景，不声称等同某年目录电价或全国市场均价。碳结算用于内部碳定价模拟，不将机械加工案例认定为实际ETS履约主体，也不将外购电排放结算解释为其真实履约账单。</w:t>
      </w:r>
    </w:p>
    <w:p>
      <w:pPr>
        <w:spacing w:line="360" w:lineRule="auto" w:after="0"/>
        <w:ind w:firstLine="480"/>
        <w:jc w:val="both"/>
      </w:pPr>
      <w:r>
        <w:rPr>
          <w:rFonts w:ascii="Times New Roman" w:hAnsi="Times New Roman" w:eastAsia="宋体"/>
          <w:b w:val="0"/>
          <w:sz w:val="24"/>
        </w:rPr>
        <w:t xml:space="preserve">评价协议。主比较含平价固定速度基线BASE、平价可变速度对照CTRL，以及分时与碳结算联合感知模型C1。三组候选均在相同分时电价、排放因子、配额与碳价下重评价，并重新筛选非支配点。表3代表点为各模型六运行重评价并集前沿中的最低现实成本点；另对每个运行分别取最低成本点，以相同种子编号配对计算运行级差值。并列最低成本按档案中的源顺序确定，所有统计先用未取整值计算，最后统一显示精度。BASE的速度保持标称，CTRL相对BASE评价速度可用性，C1相对CTRL评价分时与碳结算的联合感知增量。</w:t>
      </w:r>
    </w:p>
    <w:p>
      <w:pPr>
        <w:spacing w:line="360" w:lineRule="auto" w:after="0"/>
        <w:ind w:firstLine="480"/>
        <w:jc w:val="both"/>
      </w:pPr>
      <w:r>
        <w:rPr>
          <w:rFonts w:ascii="Times New Roman" w:hAnsi="Times New Roman" w:eastAsia="宋体"/>
          <w:b w:val="0"/>
          <w:sz w:val="24"/>
        </w:rPr>
        <w:t xml:space="preserve">文中“均值±标准差”采用分母n的运行间描述性标准差，主比较n=6，共池实验n=4；误差棒同此口径。配对t的95%区间另采用分母n−1的样本标准差与n=6，按运行独立、配对差近似正态的假设描述不确定性。覆盖率C-metric报告共同现实下的运行并集前沿双向值，主口径按个体多重集计数，补充材料同时提供唯一目标点口径。退化自检检查关闭市场机制后与平价统一账本逐项一致。</w:t>
      </w:r>
    </w:p>
    <w:p>
      <w:pPr>
        <w:spacing w:before="120" w:after="60"/>
        <w:ind w:firstLine="0"/>
        <w:jc w:val="left"/>
        <w:keepNext w:val="1"/>
        <w:keepLines w:val="1"/>
      </w:pPr>
      <w:r>
        <w:rPr>
          <w:rFonts w:ascii="Times New Roman" w:hAnsi="Times New Roman" w:eastAsia="黑体"/>
          <w:b w:val="0"/>
          <w:sz w:val="28"/>
        </w:rPr>
        <w:t>3.2　统一账本下的联合决策价值</w:t>
      </w:r>
    </w:p>
    <w:p>
      <w:pPr>
        <w:spacing w:line="360" w:lineRule="auto" w:after="0"/>
        <w:ind w:firstLine="480"/>
        <w:jc w:val="both"/>
      </w:pPr>
      <w:r>
        <w:rPr>
          <w:rFonts w:ascii="Times New Roman" w:hAnsi="Times New Roman" w:eastAsia="宋体"/>
          <w:b w:val="0"/>
          <w:sz w:val="24"/>
        </w:rPr>
        <w:t xml:space="preserve">表3给出三模型代表点，图3给出重评价并集前沿。齿轮轴C1相对BASE的运行级成本差为−77.7±13.6元、完工差为−32.3±15.3 min、碳差为+33.3±14.4 kgCO₂，六个运行的成本差与碳差符号均一致。C1对BASE的前沿覆盖率为1.000，反向为0.000；Mk04对应为0.816与0.000。部分覆盖值受重复个体权重影响，去重后Mk04对应为0.744与0.000，齿轮轴仍为1.000与0.000。</w:t>
      </w:r>
    </w:p>
    <w:p>
      <w:pPr>
        <w:spacing w:line="360" w:lineRule="auto" w:after="0"/>
        <w:ind w:firstLine="480"/>
        <w:jc w:val="both"/>
      </w:pPr>
      <w:r>
        <w:rPr>
          <w:rFonts w:ascii="Times New Roman" w:hAnsi="Times New Roman" w:eastAsia="宋体"/>
          <w:b w:val="0"/>
          <w:sz w:val="24"/>
        </w:rPr>
        <w:t xml:space="preserve">沿BASE、CTRL、C1的比较链，齿轮轴CTRL减BASE平均缩短完工4.2±13.3 min、降低成本63.8±6.7元；C1减CTRL平均再缩短完工28.1±5.6 min，成本差为−13.9±14.3元，配对t 95%区间为−30.4至2.6元。因此，联合感知的降本增量在本次小样本中尚不能确认为稳定收益。Mk04两段完工均值差分别为−33.9和−3.5 min，贡献排序与齿轮轴相反。该比较链度量的是各规划规则与重优化后班表的差异，不等同于固定路由和排序后的纯速度效应。</w:t>
      </w:r>
    </w:p>
    <w:p>
      <w:pPr>
        <w:spacing w:line="360" w:lineRule="auto" w:after="0"/>
        <w:ind w:firstLine="480"/>
        <w:jc w:val="both"/>
      </w:pPr>
      <w:r>
        <w:rPr>
          <w:rFonts w:ascii="Times New Roman" w:hAnsi="Times New Roman" w:eastAsia="宋体"/>
          <w:b w:val="0"/>
          <w:sz w:val="24"/>
        </w:rPr>
        <w:t xml:space="preserve">代表点成本分解显示，齿轮轴C1的劳务项为827.8元，BASE为949.5元，而电费由139.2升至165.2元。Mk04也表现为成本和完工下降、碳排增加。本文劳务项按每道工序实际加工时长累加，并非按全车间完工时间整体计薪。可变速度通过缩短加工时长降低该成本项，同时可能提高加工能耗；路由与排序变化也影响最终账本。故应同时报告经济收益与碳代价，并结合3.4节的固定候选池分析价格响应。</w:t>
      </w:r>
    </w:p>
    <w:p>
      <w:pPr>
        <w:spacing w:line="240" w:lineRule="auto" w:before="120" w:after="120"/>
        <w:ind w:firstLine="0"/>
        <w:jc w:val="center"/>
        <w:keepNext w:val="1"/>
        <w:keepLines w:val="1"/>
      </w:pPr>
      <w:r>
        <w:rPr>
          <w:rFonts w:ascii="Times New Roman" w:hAnsi="Times New Roman" w:eastAsia="宋体"/>
          <w:b w:val="0"/>
          <w:sz w:val="21"/>
        </w:rPr>
        <w:t xml:space="preserve">表3　共同现实下的跨运行代表点。BASE、CTRL和C1定义见3.1节，逐运行配对统计另列于表后</w:t>
      </w:r>
    </w:p>
    <w:tbl>
      <w:tblPr>
        <w:tblW w:type="auto" w:w="0"/>
        <w:jc w:val="center"/>
        <w:tblLook w:firstColumn="1" w:firstRow="1" w:lastColumn="0" w:lastRow="0" w:noHBand="0" w:noVBand="1" w:val="04A0"/>
        <w:tblBorders>
          <w:top w:val="single" w:sz="12" w:space="0" w:color="000000"/>
          <w:bottom w:val="single" w:sz="12" w:space="0" w:color="000000"/>
          <w:insideH w:val="none"/>
          <w:left w:val="none"/>
          <w:right w:val="none"/>
          <w:insideV w:val="none"/>
        </w:tblBorders>
      </w:tblPr>
      <w:tblGrid>
        <w:gridCol w:w="1465"/>
        <w:gridCol w:w="1465"/>
        <w:gridCol w:w="1465"/>
        <w:gridCol w:w="1465"/>
        <w:gridCol w:w="1465"/>
        <w:gridCol w:w="1465"/>
      </w:tblGrid>
      <w:tr>
        <w:trPr>
          <w:cantSplit/>
          <w:tblHeader/>
        </w:trPr>
        <w:tc>
          <w:tcPr>
            <w:tcW w:type="dxa" w:w="1465"/>
            <w:tcBorders>
              <w:bottom w:val="single" w:sz="6" w:color="000000"/>
            </w:tcBorders>
          </w:tcPr>
          <w:p>
            <w:pPr>
              <w:spacing w:line="240" w:lineRule="auto" w:after="40"/>
              <w:jc w:val="center"/>
              <w:keepNext w:val="1"/>
            </w:pPr>
            <w:r/>
            <w:r>
              <w:rPr>
                <w:rFonts w:ascii="Times New Roman" w:hAnsi="Times New Roman" w:eastAsia="宋体"/>
                <w:b/>
                <w:sz w:val="21"/>
              </w:rPr>
              <w:t>算例与模型</w:t>
            </w:r>
          </w:p>
        </w:tc>
        <w:tc>
          <w:tcPr>
            <w:tcW w:type="dxa" w:w="1465"/>
            <w:tcBorders>
              <w:bottom w:val="single" w:sz="6" w:color="000000"/>
            </w:tcBorders>
          </w:tcPr>
          <w:p>
            <w:pPr>
              <w:spacing w:line="240" w:lineRule="auto" w:after="40"/>
              <w:jc w:val="center"/>
              <w:keepNext w:val="1"/>
            </w:pPr>
            <w:r/>
            <w:r>
              <w:rPr>
                <w:rFonts w:ascii="Times New Roman" w:hAnsi="Times New Roman" w:eastAsia="宋体"/>
                <w:b/>
                <w:sz w:val="21"/>
              </w:rPr>
              <w:t>完工 min</w:t>
            </w:r>
          </w:p>
        </w:tc>
        <w:tc>
          <w:tcPr>
            <w:tcW w:type="dxa" w:w="1465"/>
            <w:tcBorders>
              <w:bottom w:val="single" w:sz="6" w:color="000000"/>
            </w:tcBorders>
          </w:tcPr>
          <w:p>
            <w:pPr>
              <w:spacing w:line="240" w:lineRule="auto" w:after="40"/>
              <w:jc w:val="center"/>
              <w:keepNext w:val="1"/>
            </w:pPr>
            <w:r/>
            <w:r>
              <w:rPr>
                <w:rFonts w:ascii="Times New Roman" w:hAnsi="Times New Roman" w:eastAsia="宋体"/>
                <w:b/>
                <w:sz w:val="21"/>
              </w:rPr>
              <w:t>总成本 元</w:t>
            </w:r>
          </w:p>
        </w:tc>
        <w:tc>
          <w:tcPr>
            <w:tcW w:type="dxa" w:w="1465"/>
            <w:tcBorders>
              <w:bottom w:val="single" w:sz="6" w:color="000000"/>
            </w:tcBorders>
          </w:tcPr>
          <w:p>
            <w:pPr>
              <w:spacing w:line="240" w:lineRule="auto" w:after="40"/>
              <w:jc w:val="center"/>
              <w:keepNext w:val="1"/>
            </w:pPr>
            <w:r/>
            <w:r>
              <w:rPr>
                <w:rFonts w:ascii="Times New Roman" w:hAnsi="Times New Roman" w:eastAsia="宋体"/>
                <w:b/>
                <w:sz w:val="21"/>
              </w:rPr>
              <w:t>碳排 kgCO2</w:t>
            </w:r>
          </w:p>
        </w:tc>
        <w:tc>
          <w:tcPr>
            <w:tcW w:type="dxa" w:w="1465"/>
            <w:tcBorders>
              <w:bottom w:val="single" w:sz="6" w:color="000000"/>
            </w:tcBorders>
          </w:tcPr>
          <w:p>
            <w:pPr>
              <w:spacing w:line="240" w:lineRule="auto" w:after="40"/>
              <w:jc w:val="center"/>
              <w:keepNext w:val="1"/>
            </w:pPr>
            <w:r/>
            <w:r>
              <w:rPr>
                <w:rFonts w:ascii="Times New Roman" w:hAnsi="Times New Roman" w:eastAsia="宋体"/>
                <w:b/>
                <w:sz w:val="21"/>
              </w:rPr>
              <w:t>电费 元</w:t>
            </w:r>
          </w:p>
        </w:tc>
        <w:tc>
          <w:tcPr>
            <w:tcW w:type="dxa" w:w="1465"/>
            <w:tcBorders>
              <w:bottom w:val="single" w:sz="6" w:color="000000"/>
            </w:tcBorders>
          </w:tcPr>
          <w:p>
            <w:pPr>
              <w:spacing w:line="240" w:lineRule="auto" w:after="40"/>
              <w:jc w:val="center"/>
              <w:keepNext w:val="1"/>
            </w:pPr>
            <w:r/>
            <w:r>
              <w:rPr>
                <w:rFonts w:ascii="Times New Roman" w:hAnsi="Times New Roman" w:eastAsia="宋体"/>
                <w:b/>
                <w:sz w:val="21"/>
              </w:rPr>
              <w:t>劳务 元</w:t>
            </w:r>
          </w:p>
        </w:tc>
      </w:tr>
      <w:tr>
        <w:trPr>
          <w:cantSplit/>
        </w:trPr>
        <w:tc>
          <w:tcPr>
            <w:tcW w:type="dxa" w:w="1465"/>
          </w:tcPr>
          <w:p>
            <w:pPr>
              <w:spacing w:line="240" w:lineRule="auto" w:after="40"/>
              <w:jc w:val="center"/>
              <w:keepNext w:val="1"/>
            </w:pPr>
            <w:r>
              <w:rPr>
                <w:rFonts w:ascii="Times New Roman" w:hAnsi="Times New Roman" w:eastAsia="宋体"/>
                <w:b w:val="0"/>
                <w:sz w:val="21"/>
              </w:rPr>
              <w:t xml:space="preserve">齿轮轴 BASE</w:t>
            </w:r>
          </w:p>
        </w:tc>
        <w:tc>
          <w:tcPr>
            <w:tcW w:type="dxa" w:w="1465"/>
          </w:tcPr>
          <w:p>
            <w:pPr>
              <w:spacing w:line="240" w:lineRule="auto" w:after="40"/>
              <w:jc w:val="center"/>
              <w:keepNext w:val="1"/>
            </w:pPr>
            <w:r/>
            <w:r>
              <w:rPr>
                <w:rFonts w:ascii="Times New Roman" w:hAnsi="Times New Roman" w:eastAsia="宋体"/>
                <w:b w:val="0"/>
                <w:sz w:val="21"/>
              </w:rPr>
              <w:t>437.1</w:t>
            </w:r>
          </w:p>
        </w:tc>
        <w:tc>
          <w:tcPr>
            <w:tcW w:type="dxa" w:w="1465"/>
          </w:tcPr>
          <w:p>
            <w:pPr>
              <w:spacing w:line="240" w:lineRule="auto" w:after="40"/>
              <w:jc w:val="center"/>
              <w:keepNext w:val="1"/>
            </w:pPr>
            <w:r/>
            <w:r>
              <w:rPr>
                <w:rFonts w:ascii="Times New Roman" w:hAnsi="Times New Roman" w:eastAsia="宋体"/>
                <w:b w:val="0"/>
                <w:sz w:val="21"/>
              </w:rPr>
              <w:t>8488.6</w:t>
            </w:r>
          </w:p>
        </w:tc>
        <w:tc>
          <w:tcPr>
            <w:tcW w:type="dxa" w:w="1465"/>
          </w:tcPr>
          <w:p>
            <w:pPr>
              <w:spacing w:line="240" w:lineRule="auto" w:after="40"/>
              <w:jc w:val="center"/>
              <w:keepNext w:val="1"/>
            </w:pPr>
            <w:r/>
            <w:r>
              <w:rPr>
                <w:rFonts w:ascii="Times New Roman" w:hAnsi="Times New Roman" w:eastAsia="宋体"/>
                <w:b w:val="0"/>
                <w:sz w:val="21"/>
              </w:rPr>
              <w:t>241.3</w:t>
            </w:r>
          </w:p>
        </w:tc>
        <w:tc>
          <w:tcPr>
            <w:tcW w:type="dxa" w:w="1465"/>
          </w:tcPr>
          <w:p>
            <w:pPr>
              <w:spacing w:line="240" w:lineRule="auto" w:after="40"/>
              <w:jc w:val="center"/>
              <w:keepNext w:val="1"/>
            </w:pPr>
            <w:r/>
            <w:r>
              <w:rPr>
                <w:rFonts w:ascii="Times New Roman" w:hAnsi="Times New Roman" w:eastAsia="宋体"/>
                <w:b w:val="0"/>
                <w:sz w:val="21"/>
              </w:rPr>
              <w:t>139.2</w:t>
            </w:r>
          </w:p>
        </w:tc>
        <w:tc>
          <w:tcPr>
            <w:tcW w:type="dxa" w:w="1465"/>
          </w:tcPr>
          <w:p>
            <w:pPr>
              <w:spacing w:line="240" w:lineRule="auto" w:after="40"/>
              <w:jc w:val="center"/>
              <w:keepNext w:val="1"/>
            </w:pPr>
            <w:r/>
            <w:r>
              <w:rPr>
                <w:rFonts w:ascii="Times New Roman" w:hAnsi="Times New Roman" w:eastAsia="宋体"/>
                <w:b w:val="0"/>
                <w:sz w:val="21"/>
              </w:rPr>
              <w:t>949.5</w:t>
            </w:r>
          </w:p>
        </w:tc>
      </w:tr>
      <w:tr>
        <w:trPr>
          <w:cantSplit/>
        </w:trPr>
        <w:tc>
          <w:tcPr>
            <w:tcW w:type="dxa" w:w="1465"/>
          </w:tcPr>
          <w:p>
            <w:pPr>
              <w:spacing w:line="240" w:lineRule="auto" w:after="40"/>
              <w:jc w:val="center"/>
              <w:keepNext w:val="1"/>
            </w:pPr>
            <w:r>
              <w:rPr>
                <w:rFonts w:ascii="Times New Roman" w:hAnsi="Times New Roman" w:eastAsia="宋体"/>
                <w:b w:val="0"/>
                <w:sz w:val="21"/>
              </w:rPr>
              <w:t xml:space="preserve">齿轮轴 CTRL</w:t>
            </w:r>
          </w:p>
        </w:tc>
        <w:tc>
          <w:tcPr>
            <w:tcW w:type="dxa" w:w="1465"/>
          </w:tcPr>
          <w:p>
            <w:pPr>
              <w:spacing w:line="240" w:lineRule="auto" w:after="40"/>
              <w:jc w:val="center"/>
              <w:keepNext w:val="1"/>
            </w:pPr>
            <w:r/>
            <w:r>
              <w:rPr>
                <w:rFonts w:ascii="Times New Roman" w:hAnsi="Times New Roman" w:eastAsia="宋体"/>
                <w:b w:val="0"/>
                <w:sz w:val="21"/>
              </w:rPr>
              <w:t>430.0</w:t>
            </w:r>
          </w:p>
        </w:tc>
        <w:tc>
          <w:tcPr>
            <w:tcW w:type="dxa" w:w="1465"/>
          </w:tcPr>
          <w:p>
            <w:pPr>
              <w:spacing w:line="240" w:lineRule="auto" w:after="40"/>
              <w:jc w:val="center"/>
              <w:keepNext w:val="1"/>
            </w:pPr>
            <w:r/>
            <w:r>
              <w:rPr>
                <w:rFonts w:ascii="Times New Roman" w:hAnsi="Times New Roman" w:eastAsia="宋体"/>
                <w:b w:val="0"/>
                <w:sz w:val="21"/>
              </w:rPr>
              <w:t>8416.5</w:t>
            </w:r>
          </w:p>
        </w:tc>
        <w:tc>
          <w:tcPr>
            <w:tcW w:type="dxa" w:w="1465"/>
          </w:tcPr>
          <w:p>
            <w:pPr>
              <w:spacing w:line="240" w:lineRule="auto" w:after="40"/>
              <w:jc w:val="center"/>
              <w:keepNext w:val="1"/>
            </w:pPr>
            <w:r/>
            <w:r>
              <w:rPr>
                <w:rFonts w:ascii="Times New Roman" w:hAnsi="Times New Roman" w:eastAsia="宋体"/>
                <w:b w:val="0"/>
                <w:sz w:val="21"/>
              </w:rPr>
              <w:t>255.2</w:t>
            </w:r>
          </w:p>
        </w:tc>
        <w:tc>
          <w:tcPr>
            <w:tcW w:type="dxa" w:w="1465"/>
          </w:tcPr>
          <w:p>
            <w:pPr>
              <w:spacing w:line="240" w:lineRule="auto" w:after="40"/>
              <w:jc w:val="center"/>
              <w:keepNext w:val="1"/>
            </w:pPr>
            <w:r/>
            <w:r>
              <w:rPr>
                <w:rFonts w:ascii="Times New Roman" w:hAnsi="Times New Roman" w:eastAsia="宋体"/>
                <w:b w:val="0"/>
                <w:sz w:val="21"/>
              </w:rPr>
              <w:t>147.0</w:t>
            </w:r>
          </w:p>
        </w:tc>
        <w:tc>
          <w:tcPr>
            <w:tcW w:type="dxa" w:w="1465"/>
          </w:tcPr>
          <w:p>
            <w:pPr>
              <w:spacing w:line="240" w:lineRule="auto" w:after="40"/>
              <w:jc w:val="center"/>
              <w:keepNext w:val="1"/>
            </w:pPr>
            <w:r/>
            <w:r>
              <w:rPr>
                <w:rFonts w:ascii="Times New Roman" w:hAnsi="Times New Roman" w:eastAsia="宋体"/>
                <w:b w:val="0"/>
                <w:sz w:val="21"/>
              </w:rPr>
              <w:t>868.5</w:t>
            </w:r>
          </w:p>
        </w:tc>
      </w:tr>
      <w:tr>
        <w:trPr>
          <w:cantSplit/>
        </w:trPr>
        <w:tc>
          <w:tcPr>
            <w:tcW w:type="dxa" w:w="1465"/>
          </w:tcPr>
          <w:p>
            <w:pPr>
              <w:spacing w:line="240" w:lineRule="auto" w:after="40"/>
              <w:jc w:val="center"/>
              <w:keepNext w:val="1"/>
            </w:pPr>
            <w:r>
              <w:rPr>
                <w:rFonts w:ascii="Times New Roman" w:hAnsi="Times New Roman" w:eastAsia="宋体"/>
                <w:b w:val="0"/>
                <w:sz w:val="21"/>
              </w:rPr>
              <w:t xml:space="preserve">齿轮轴 C1</w:t>
            </w:r>
          </w:p>
        </w:tc>
        <w:tc>
          <w:tcPr>
            <w:tcW w:type="dxa" w:w="1465"/>
          </w:tcPr>
          <w:p>
            <w:pPr>
              <w:spacing w:line="240" w:lineRule="auto" w:after="40"/>
              <w:jc w:val="center"/>
              <w:keepNext w:val="1"/>
            </w:pPr>
            <w:r/>
            <w:r>
              <w:rPr>
                <w:rFonts w:ascii="Times New Roman" w:hAnsi="Times New Roman" w:eastAsia="宋体"/>
                <w:b w:val="0"/>
                <w:sz w:val="21"/>
              </w:rPr>
              <w:t>406.2</w:t>
            </w:r>
          </w:p>
        </w:tc>
        <w:tc>
          <w:tcPr>
            <w:tcW w:type="dxa" w:w="1465"/>
          </w:tcPr>
          <w:p>
            <w:pPr>
              <w:spacing w:line="240" w:lineRule="auto" w:after="40"/>
              <w:jc w:val="center"/>
              <w:keepNext w:val="1"/>
            </w:pPr>
            <w:r/>
            <w:r>
              <w:rPr>
                <w:rFonts w:ascii="Times New Roman" w:hAnsi="Times New Roman" w:eastAsia="宋体"/>
                <w:b w:val="0"/>
                <w:sz w:val="21"/>
              </w:rPr>
              <w:t>8396.9</w:t>
            </w:r>
          </w:p>
        </w:tc>
        <w:tc>
          <w:tcPr>
            <w:tcW w:type="dxa" w:w="1465"/>
          </w:tcPr>
          <w:p>
            <w:pPr>
              <w:spacing w:line="240" w:lineRule="auto" w:after="40"/>
              <w:jc w:val="center"/>
              <w:keepNext w:val="1"/>
            </w:pPr>
            <w:r/>
            <w:r>
              <w:rPr>
                <w:rFonts w:ascii="Times New Roman" w:hAnsi="Times New Roman" w:eastAsia="宋体"/>
                <w:b w:val="0"/>
                <w:sz w:val="21"/>
              </w:rPr>
              <w:t>290.2</w:t>
            </w:r>
          </w:p>
        </w:tc>
        <w:tc>
          <w:tcPr>
            <w:tcW w:type="dxa" w:w="1465"/>
          </w:tcPr>
          <w:p>
            <w:pPr>
              <w:spacing w:line="240" w:lineRule="auto" w:after="40"/>
              <w:jc w:val="center"/>
              <w:keepNext w:val="1"/>
            </w:pPr>
            <w:r/>
            <w:r>
              <w:rPr>
                <w:rFonts w:ascii="Times New Roman" w:hAnsi="Times New Roman" w:eastAsia="宋体"/>
                <w:b w:val="0"/>
                <w:sz w:val="21"/>
              </w:rPr>
              <w:t>165.2</w:t>
            </w:r>
          </w:p>
        </w:tc>
        <w:tc>
          <w:tcPr>
            <w:tcW w:type="dxa" w:w="1465"/>
          </w:tcPr>
          <w:p>
            <w:pPr>
              <w:spacing w:line="240" w:lineRule="auto" w:after="40"/>
              <w:jc w:val="center"/>
              <w:keepNext w:val="1"/>
            </w:pPr>
            <w:r/>
            <w:r>
              <w:rPr>
                <w:rFonts w:ascii="Times New Roman" w:hAnsi="Times New Roman" w:eastAsia="宋体"/>
                <w:b w:val="0"/>
                <w:sz w:val="21"/>
              </w:rPr>
              <w:t>827.8</w:t>
            </w:r>
          </w:p>
        </w:tc>
      </w:tr>
      <w:tr>
        <w:trPr>
          <w:cantSplit/>
        </w:trPr>
        <w:tc>
          <w:tcPr>
            <w:tcW w:type="dxa" w:w="1465"/>
          </w:tcPr>
          <w:p>
            <w:pPr>
              <w:spacing w:line="240" w:lineRule="auto" w:after="40"/>
              <w:jc w:val="center"/>
              <w:keepNext w:val="1"/>
            </w:pPr>
            <w:r>
              <w:rPr>
                <w:rFonts w:ascii="Times New Roman" w:hAnsi="Times New Roman" w:eastAsia="宋体"/>
                <w:b w:val="0"/>
                <w:sz w:val="21"/>
              </w:rPr>
              <w:t xml:space="preserve">Mk04 BASE</w:t>
            </w:r>
          </w:p>
        </w:tc>
        <w:tc>
          <w:tcPr>
            <w:tcW w:type="dxa" w:w="1465"/>
          </w:tcPr>
          <w:p>
            <w:pPr>
              <w:spacing w:line="240" w:lineRule="auto" w:after="40"/>
              <w:jc w:val="center"/>
              <w:keepNext w:val="1"/>
            </w:pPr>
            <w:r/>
            <w:r>
              <w:rPr>
                <w:rFonts w:ascii="Times New Roman" w:hAnsi="Times New Roman" w:eastAsia="宋体"/>
                <w:b w:val="0"/>
                <w:sz w:val="21"/>
              </w:rPr>
              <w:t>154.0</w:t>
            </w:r>
          </w:p>
        </w:tc>
        <w:tc>
          <w:tcPr>
            <w:tcW w:type="dxa" w:w="1465"/>
          </w:tcPr>
          <w:p>
            <w:pPr>
              <w:spacing w:line="240" w:lineRule="auto" w:after="40"/>
              <w:jc w:val="center"/>
              <w:keepNext w:val="1"/>
            </w:pPr>
            <w:r/>
            <w:r>
              <w:rPr>
                <w:rFonts w:ascii="Times New Roman" w:hAnsi="Times New Roman" w:eastAsia="宋体"/>
                <w:b w:val="0"/>
                <w:sz w:val="21"/>
              </w:rPr>
              <w:t>166.4</w:t>
            </w:r>
          </w:p>
        </w:tc>
        <w:tc>
          <w:tcPr>
            <w:tcW w:type="dxa" w:w="1465"/>
          </w:tcPr>
          <w:p>
            <w:pPr>
              <w:spacing w:line="240" w:lineRule="auto" w:after="40"/>
              <w:jc w:val="center"/>
              <w:keepNext w:val="1"/>
            </w:pPr>
            <w:r/>
            <w:r>
              <w:rPr>
                <w:rFonts w:ascii="Times New Roman" w:hAnsi="Times New Roman" w:eastAsia="宋体"/>
                <w:b w:val="0"/>
                <w:sz w:val="21"/>
              </w:rPr>
              <w:t>7.7</w:t>
            </w:r>
          </w:p>
        </w:tc>
        <w:tc>
          <w:tcPr>
            <w:tcW w:type="dxa" w:w="1465"/>
          </w:tcPr>
          <w:p>
            <w:pPr>
              <w:spacing w:line="240" w:lineRule="auto" w:after="40"/>
              <w:jc w:val="center"/>
              <w:keepNext w:val="1"/>
            </w:pPr>
            <w:r/>
            <w:r>
              <w:rPr>
                <w:rFonts w:ascii="Times New Roman" w:hAnsi="Times New Roman" w:eastAsia="宋体"/>
                <w:b w:val="0"/>
                <w:sz w:val="21"/>
              </w:rPr>
              <w:t>4.4</w:t>
            </w:r>
          </w:p>
        </w:tc>
        <w:tc>
          <w:tcPr>
            <w:tcW w:type="dxa" w:w="1465"/>
          </w:tcPr>
          <w:p>
            <w:pPr>
              <w:spacing w:line="240" w:lineRule="auto" w:after="40"/>
              <w:jc w:val="center"/>
              <w:keepNext w:val="1"/>
            </w:pPr>
            <w:r/>
            <w:r>
              <w:rPr>
                <w:rFonts w:ascii="Times New Roman" w:hAnsi="Times New Roman" w:eastAsia="宋体"/>
                <w:b w:val="0"/>
                <w:sz w:val="21"/>
              </w:rPr>
              <w:t>162.0</w:t>
            </w:r>
          </w:p>
        </w:tc>
      </w:tr>
      <w:tr>
        <w:trPr>
          <w:cantSplit/>
        </w:trPr>
        <w:tc>
          <w:tcPr>
            <w:tcW w:type="dxa" w:w="1465"/>
          </w:tcPr>
          <w:p>
            <w:pPr>
              <w:spacing w:line="240" w:lineRule="auto" w:after="40"/>
              <w:jc w:val="center"/>
              <w:keepNext w:val="1"/>
            </w:pPr>
            <w:r>
              <w:rPr>
                <w:rFonts w:ascii="Times New Roman" w:hAnsi="Times New Roman" w:eastAsia="宋体"/>
                <w:b w:val="0"/>
                <w:sz w:val="21"/>
              </w:rPr>
              <w:t xml:space="preserve">Mk04 CTRL</w:t>
            </w:r>
          </w:p>
        </w:tc>
        <w:tc>
          <w:tcPr>
            <w:tcW w:type="dxa" w:w="1465"/>
          </w:tcPr>
          <w:p>
            <w:pPr>
              <w:spacing w:line="240" w:lineRule="auto" w:after="40"/>
              <w:jc w:val="center"/>
              <w:keepNext w:val="1"/>
            </w:pPr>
            <w:r/>
            <w:r>
              <w:rPr>
                <w:rFonts w:ascii="Times New Roman" w:hAnsi="Times New Roman" w:eastAsia="宋体"/>
                <w:b w:val="0"/>
                <w:sz w:val="21"/>
              </w:rPr>
              <w:t>108.1</w:t>
            </w:r>
          </w:p>
        </w:tc>
        <w:tc>
          <w:tcPr>
            <w:tcW w:type="dxa" w:w="1465"/>
          </w:tcPr>
          <w:p>
            <w:pPr>
              <w:spacing w:line="240" w:lineRule="auto" w:after="40"/>
              <w:jc w:val="center"/>
              <w:keepNext w:val="1"/>
            </w:pPr>
            <w:r/>
            <w:r>
              <w:rPr>
                <w:rFonts w:ascii="Times New Roman" w:hAnsi="Times New Roman" w:eastAsia="宋体"/>
                <w:b w:val="0"/>
                <w:sz w:val="21"/>
              </w:rPr>
              <w:t>147.4</w:t>
            </w:r>
          </w:p>
        </w:tc>
        <w:tc>
          <w:tcPr>
            <w:tcW w:type="dxa" w:w="1465"/>
          </w:tcPr>
          <w:p>
            <w:pPr>
              <w:spacing w:line="240" w:lineRule="auto" w:after="40"/>
              <w:jc w:val="center"/>
              <w:keepNext w:val="1"/>
            </w:pPr>
            <w:r/>
            <w:r>
              <w:rPr>
                <w:rFonts w:ascii="Times New Roman" w:hAnsi="Times New Roman" w:eastAsia="宋体"/>
                <w:b w:val="0"/>
                <w:sz w:val="21"/>
              </w:rPr>
              <w:t>8.4</w:t>
            </w:r>
          </w:p>
        </w:tc>
        <w:tc>
          <w:tcPr>
            <w:tcW w:type="dxa" w:w="1465"/>
          </w:tcPr>
          <w:p>
            <w:pPr>
              <w:spacing w:line="240" w:lineRule="auto" w:after="40"/>
              <w:jc w:val="center"/>
              <w:keepNext w:val="1"/>
            </w:pPr>
            <w:r/>
            <w:r>
              <w:rPr>
                <w:rFonts w:ascii="Times New Roman" w:hAnsi="Times New Roman" w:eastAsia="宋体"/>
                <w:b w:val="0"/>
                <w:sz w:val="21"/>
              </w:rPr>
              <w:t>4.8</w:t>
            </w:r>
          </w:p>
        </w:tc>
        <w:tc>
          <w:tcPr>
            <w:tcW w:type="dxa" w:w="1465"/>
          </w:tcPr>
          <w:p>
            <w:pPr>
              <w:spacing w:line="240" w:lineRule="auto" w:after="40"/>
              <w:jc w:val="center"/>
              <w:keepNext w:val="1"/>
            </w:pPr>
            <w:r/>
            <w:r>
              <w:rPr>
                <w:rFonts w:ascii="Times New Roman" w:hAnsi="Times New Roman" w:eastAsia="宋体"/>
                <w:b w:val="0"/>
                <w:sz w:val="21"/>
              </w:rPr>
              <w:t>142.6</w:t>
            </w:r>
          </w:p>
        </w:tc>
      </w:tr>
      <w:tr>
        <w:trPr>
          <w:cantSplit/>
        </w:trPr>
        <w:tc>
          <w:tcPr>
            <w:tcW w:type="dxa" w:w="1465"/>
          </w:tcPr>
          <w:p>
            <w:pPr>
              <w:spacing w:line="240" w:lineRule="auto" w:after="40"/>
              <w:jc w:val="center"/>
              <w:keepNext w:val="1"/>
            </w:pPr>
            <w:r>
              <w:rPr>
                <w:rFonts w:ascii="Times New Roman" w:hAnsi="Times New Roman" w:eastAsia="宋体"/>
                <w:b w:val="0"/>
                <w:sz w:val="21"/>
              </w:rPr>
              <w:t xml:space="preserve">Mk04 C1</w:t>
            </w:r>
          </w:p>
        </w:tc>
        <w:tc>
          <w:tcPr>
            <w:tcW w:type="dxa" w:w="1465"/>
          </w:tcPr>
          <w:p>
            <w:pPr>
              <w:spacing w:line="240" w:lineRule="auto" w:after="40"/>
              <w:jc w:val="center"/>
              <w:keepNext w:val="1"/>
            </w:pPr>
            <w:r/>
            <w:r>
              <w:rPr>
                <w:rFonts w:ascii="Times New Roman" w:hAnsi="Times New Roman" w:eastAsia="宋体"/>
                <w:b w:val="0"/>
                <w:sz w:val="21"/>
              </w:rPr>
              <w:t>105.8</w:t>
            </w:r>
          </w:p>
        </w:tc>
        <w:tc>
          <w:tcPr>
            <w:tcW w:type="dxa" w:w="1465"/>
          </w:tcPr>
          <w:p>
            <w:pPr>
              <w:spacing w:line="240" w:lineRule="auto" w:after="40"/>
              <w:jc w:val="center"/>
              <w:keepNext w:val="1"/>
            </w:pPr>
            <w:r/>
            <w:r>
              <w:rPr>
                <w:rFonts w:ascii="Times New Roman" w:hAnsi="Times New Roman" w:eastAsia="宋体"/>
                <w:b w:val="0"/>
                <w:sz w:val="21"/>
              </w:rPr>
              <w:t>145.1</w:t>
            </w:r>
          </w:p>
        </w:tc>
        <w:tc>
          <w:tcPr>
            <w:tcW w:type="dxa" w:w="1465"/>
          </w:tcPr>
          <w:p>
            <w:pPr>
              <w:spacing w:line="240" w:lineRule="auto" w:after="40"/>
              <w:jc w:val="center"/>
              <w:keepNext w:val="1"/>
            </w:pPr>
            <w:r/>
            <w:r>
              <w:rPr>
                <w:rFonts w:ascii="Times New Roman" w:hAnsi="Times New Roman" w:eastAsia="宋体"/>
                <w:b w:val="0"/>
                <w:sz w:val="21"/>
              </w:rPr>
              <w:t>8.7</w:t>
            </w:r>
          </w:p>
        </w:tc>
        <w:tc>
          <w:tcPr>
            <w:tcW w:type="dxa" w:w="1465"/>
          </w:tcPr>
          <w:p>
            <w:pPr>
              <w:spacing w:line="240" w:lineRule="auto" w:after="40"/>
              <w:jc w:val="center"/>
              <w:keepNext w:val="1"/>
            </w:pPr>
            <w:r/>
            <w:r>
              <w:rPr>
                <w:rFonts w:ascii="Times New Roman" w:hAnsi="Times New Roman" w:eastAsia="宋体"/>
                <w:b w:val="0"/>
                <w:sz w:val="21"/>
              </w:rPr>
              <w:t>5.0</w:t>
            </w:r>
          </w:p>
        </w:tc>
        <w:tc>
          <w:tcPr>
            <w:tcW w:type="dxa" w:w="1465"/>
          </w:tcPr>
          <w:p>
            <w:pPr>
              <w:spacing w:line="240" w:lineRule="auto" w:after="40"/>
              <w:jc w:val="center"/>
              <w:keepNext w:val="1"/>
            </w:pPr>
            <w:r/>
            <w:r>
              <w:rPr>
                <w:rFonts w:ascii="Times New Roman" w:hAnsi="Times New Roman" w:eastAsia="宋体"/>
                <w:b w:val="0"/>
                <w:sz w:val="21"/>
              </w:rPr>
              <w:t>140.0</w:t>
            </w:r>
          </w:p>
        </w:tc>
      </w:tr>
    </w:tbl>
    <w:p>
      <w:pPr>
        <w:spacing w:line="240" w:lineRule="auto" w:after="0"/>
        <w:ind w:firstLine="480"/>
        <w:jc w:val="both"/>
        <w:keepLines w:val="1"/>
        <w:keepNext w:val="0"/>
      </w:pPr>
      <w:r>
        <w:rPr>
          <w:rFonts w:ascii="Times New Roman" w:hAnsi="Times New Roman" w:eastAsia="宋体"/>
          <w:b w:val="0"/>
          <w:sz w:val="21"/>
        </w:rPr>
        <w:t xml:space="preserve">注：代表点从六运行重评价并集前沿取最低现实成本，不能与运行级均值混用。C1减BASE的六运行配对差为：齿轮轴成本−77.7±13.6元、完工−32.3±15.3 min、碳排+33.3±14.4 kgCO₂；Mk04成本−19.8±1.5元、完工−37.5±6.8 min、碳排+0.90±0.23 kgCO₂。±为分母n的描述性标准差。齿轮轴CTRL对BASE覆盖率为0.665，C1对CTRL及其反向分别为0.273和0.353。</w:t>
      </w:r>
    </w:p>
    <w:p>
      <w:pPr>
        <w:ind w:firstLine="0"/>
        <w:jc w:val="center"/>
        <w:keepNext w:val="1"/>
        <w:keepLines w:val="1"/>
      </w:pPr>
      <w:r>
        <w:drawing>
          <wp:inline xmlns:a="http://schemas.openxmlformats.org/drawingml/2006/main" xmlns:pic="http://schemas.openxmlformats.org/drawingml/2006/picture">
            <wp:extent cx="5220000" cy="1879466"/>
            <wp:docPr id="3" name="Picture 3" descr="图3 第三轮修订后图形，数据与说明见正文图注"/>
            <wp:cNvGraphicFramePr>
              <a:graphicFrameLocks noChangeAspect="1"/>
            </wp:cNvGraphicFramePr>
            <a:graphic>
              <a:graphicData uri="http://schemas.openxmlformats.org/drawingml/2006/picture">
                <pic:pic>
                  <pic:nvPicPr>
                    <pic:cNvPr id="0" name="rev2_pareto_gear.png"/>
                    <pic:cNvPicPr/>
                  </pic:nvPicPr>
                  <pic:blipFill>
                    <a:blip r:embed="rId11"/>
                    <a:stretch>
                      <a:fillRect/>
                    </a:stretch>
                  </pic:blipFill>
                  <pic:spPr>
                    <a:xfrm>
                      <a:off x="0" y="0"/>
                      <a:ext cx="5220000" cy="1879466"/>
                    </a:xfrm>
                    <a:prstGeom prst="rect"/>
                  </pic:spPr>
                </pic:pic>
              </a:graphicData>
            </a:graphic>
          </wp:inline>
        </w:drawing>
      </w:r>
    </w:p>
    <w:p>
      <w:pPr>
        <w:spacing w:line="240" w:lineRule="auto" w:before="120" w:after="120"/>
        <w:ind w:firstLine="0"/>
        <w:jc w:val="center"/>
        <w:keepNext w:val="0"/>
        <w:keepLines w:val="1"/>
      </w:pPr>
      <w:r>
        <w:rPr>
          <w:rFonts w:ascii="Times New Roman" w:hAnsi="Times New Roman" w:eastAsia="宋体"/>
          <w:b w:val="0"/>
          <w:sz w:val="21"/>
        </w:rPr>
        <w:t xml:space="preserve">图3　齿轮轴三模型重评价并集前沿的三组投影。BASE、CTRL和C1定义见3.1节；坐标单位为min、元与kgCO₂</w:t>
      </w:r>
    </w:p>
    <w:p>
      <w:pPr>
        <w:spacing w:before="120" w:after="60"/>
        <w:ind w:firstLine="0"/>
        <w:jc w:val="left"/>
        <w:keepNext w:val="1"/>
        <w:keepLines w:val="1"/>
      </w:pPr>
      <w:r>
        <w:rPr>
          <w:rFonts w:ascii="Times New Roman" w:hAnsi="Times New Roman" w:eastAsia="黑体"/>
          <w:b w:val="0"/>
          <w:sz w:val="28"/>
        </w:rPr>
        <w:t>3.3　机制分解</w:t>
      </w:r>
    </w:p>
    <w:p>
      <w:pPr>
        <w:spacing w:line="360" w:lineRule="auto" w:after="0"/>
        <w:ind w:firstLine="480"/>
        <w:jc w:val="both"/>
      </w:pPr>
      <w:r>
        <w:rPr>
          <w:rFonts w:ascii="Times New Roman" w:hAnsi="Times New Roman" w:eastAsia="宋体"/>
          <w:b w:val="0"/>
          <w:sz w:val="24"/>
        </w:rPr>
        <w:t xml:space="preserve">表4和图4比较各消融变体的跨运行代表点。齿轮轴移除速度层后，完工由406.2变为420.4 min，碳排由290.2降至242.3 kgCO₂，加工电量由495.4降至422.3 kWh。相对无速度变体，完整模型的加工电量约增加17.3%，完工约缩短3.4%，显示该代表点存在加工强度与时间的交换。移除分时感知后，齿轮轴完工变为439.5 min，碳排为273.5 kgCO₂；Mk04完工则由105.8降至101.8 min，说明完工响应方向随算例而变。</w:t>
      </w:r>
    </w:p>
    <w:p>
      <w:pPr>
        <w:spacing w:line="360" w:lineRule="auto" w:after="0"/>
        <w:ind w:firstLine="480"/>
        <w:jc w:val="both"/>
      </w:pPr>
      <w:r>
        <w:rPr>
          <w:rFonts w:ascii="Times New Roman" w:hAnsi="Times New Roman" w:eastAsia="宋体"/>
          <w:b w:val="0"/>
          <w:sz w:val="24"/>
        </w:rPr>
        <w:t xml:space="preserve">移除碳结算后，齿轮轴选定点碳排为265.2 kgCO₂，与完整模型的差异同时受到有限预算搜索和选点影响，不能直接作为碳结算因果效应。表4的单个代表点与3.2节的运行级比较链分别报告，不作统一机制排序。碳价响应采用3.4节的共同候选集重计价加以分析。</w:t>
      </w:r>
    </w:p>
    <w:p>
      <w:pPr>
        <w:spacing w:line="240" w:lineRule="auto" w:before="120" w:after="120"/>
        <w:ind w:firstLine="0"/>
        <w:jc w:val="center"/>
        <w:keepNext w:val="1"/>
        <w:keepLines w:val="1"/>
      </w:pPr>
      <w:r>
        <w:rPr>
          <w:rFonts w:ascii="Times New Roman" w:hAnsi="Times New Roman" w:eastAsia="宋体"/>
          <w:b w:val="0"/>
          <w:sz w:val="21"/>
        </w:rPr>
        <w:t>表4　组件消融，齿轮轴案例，选定点的完工/总成本/碳排与加工/待机/启停电量分解</w:t>
      </w:r>
    </w:p>
    <w:tbl>
      <w:tblPr>
        <w:tblW w:type="auto" w:w="0"/>
        <w:jc w:val="center"/>
        <w:tblLook w:firstColumn="1" w:firstRow="1" w:lastColumn="0" w:lastRow="0" w:noHBand="0" w:noVBand="1" w:val="04A0"/>
        <w:tblBorders>
          <w:top w:val="single" w:sz="12" w:space="0" w:color="000000"/>
          <w:bottom w:val="single" w:sz="12" w:space="0" w:color="000000"/>
          <w:insideH w:val="none"/>
          <w:left w:val="none"/>
          <w:right w:val="none"/>
          <w:insideV w:val="none"/>
        </w:tblBorders>
      </w:tblPr>
      <w:tblGrid>
        <w:gridCol w:w="1255"/>
        <w:gridCol w:w="1255"/>
        <w:gridCol w:w="1255"/>
        <w:gridCol w:w="1255"/>
        <w:gridCol w:w="1255"/>
        <w:gridCol w:w="1255"/>
        <w:gridCol w:w="1255"/>
      </w:tblGrid>
      <w:tr>
        <w:trPr>
          <w:cantSplit/>
          <w:tblHeader/>
        </w:trPr>
        <w:tc>
          <w:tcPr>
            <w:tcW w:type="dxa" w:w="1255"/>
            <w:tcBorders>
              <w:bottom w:val="single" w:sz="6" w:color="000000"/>
            </w:tcBorders>
          </w:tcPr>
          <w:p>
            <w:pPr>
              <w:spacing w:line="240" w:lineRule="auto" w:after="40"/>
              <w:jc w:val="center"/>
              <w:keepNext w:val="1"/>
            </w:pPr>
            <w:r/>
            <w:r>
              <w:rPr>
                <w:rFonts w:ascii="Times New Roman" w:hAnsi="Times New Roman" w:eastAsia="宋体"/>
                <w:b/>
                <w:sz w:val="21"/>
              </w:rPr>
              <w:t>变体</w:t>
            </w:r>
          </w:p>
        </w:tc>
        <w:tc>
          <w:tcPr>
            <w:tcW w:type="dxa" w:w="1255"/>
            <w:tcBorders>
              <w:bottom w:val="single" w:sz="6" w:color="000000"/>
            </w:tcBorders>
          </w:tcPr>
          <w:p>
            <w:pPr>
              <w:spacing w:line="240" w:lineRule="auto" w:after="40"/>
              <w:jc w:val="center"/>
              <w:keepNext w:val="1"/>
            </w:pPr>
            <w:r/>
            <w:r>
              <w:rPr>
                <w:rFonts w:ascii="Times New Roman" w:hAnsi="Times New Roman" w:eastAsia="宋体"/>
                <w:b/>
                <w:sz w:val="21"/>
              </w:rPr>
              <w:t>完工 min</w:t>
            </w:r>
          </w:p>
        </w:tc>
        <w:tc>
          <w:tcPr>
            <w:tcW w:type="dxa" w:w="1255"/>
            <w:tcBorders>
              <w:bottom w:val="single" w:sz="6" w:color="000000"/>
            </w:tcBorders>
          </w:tcPr>
          <w:p>
            <w:pPr>
              <w:spacing w:line="240" w:lineRule="auto" w:after="40"/>
              <w:jc w:val="center"/>
              <w:keepNext w:val="1"/>
            </w:pPr>
            <w:r/>
            <w:r>
              <w:rPr>
                <w:rFonts w:ascii="Times New Roman" w:hAnsi="Times New Roman" w:eastAsia="宋体"/>
                <w:b/>
                <w:sz w:val="21"/>
              </w:rPr>
              <w:t>总成本 元</w:t>
            </w:r>
          </w:p>
        </w:tc>
        <w:tc>
          <w:tcPr>
            <w:tcW w:type="dxa" w:w="1255"/>
            <w:tcBorders>
              <w:bottom w:val="single" w:sz="6" w:color="000000"/>
            </w:tcBorders>
          </w:tcPr>
          <w:p>
            <w:pPr>
              <w:spacing w:line="240" w:lineRule="auto" w:after="40"/>
              <w:jc w:val="center"/>
              <w:keepNext w:val="1"/>
            </w:pPr>
            <w:r/>
            <w:r>
              <w:rPr>
                <w:rFonts w:ascii="Times New Roman" w:hAnsi="Times New Roman" w:eastAsia="宋体"/>
                <w:b/>
                <w:sz w:val="21"/>
              </w:rPr>
              <w:t>碳排 kgCO2</w:t>
            </w:r>
          </w:p>
        </w:tc>
        <w:tc>
          <w:tcPr>
            <w:tcW w:type="dxa" w:w="1255"/>
            <w:tcBorders>
              <w:bottom w:val="single" w:sz="6" w:color="000000"/>
            </w:tcBorders>
          </w:tcPr>
          <w:p>
            <w:pPr>
              <w:spacing w:line="240" w:lineRule="auto" w:after="40"/>
              <w:jc w:val="center"/>
              <w:keepNext w:val="1"/>
            </w:pPr>
            <w:r/>
            <w:r>
              <w:rPr>
                <w:rFonts w:ascii="Times New Roman" w:hAnsi="Times New Roman" w:eastAsia="宋体"/>
                <w:b/>
                <w:sz w:val="21"/>
              </w:rPr>
              <w:t>加工 kWh</w:t>
            </w:r>
          </w:p>
        </w:tc>
        <w:tc>
          <w:tcPr>
            <w:tcW w:type="dxa" w:w="1255"/>
            <w:tcBorders>
              <w:bottom w:val="single" w:sz="6" w:color="000000"/>
            </w:tcBorders>
          </w:tcPr>
          <w:p>
            <w:pPr>
              <w:spacing w:line="240" w:lineRule="auto" w:after="40"/>
              <w:jc w:val="center"/>
              <w:keepNext w:val="1"/>
            </w:pPr>
            <w:r/>
            <w:r>
              <w:rPr>
                <w:rFonts w:ascii="Times New Roman" w:hAnsi="Times New Roman" w:eastAsia="宋体"/>
                <w:b/>
                <w:sz w:val="21"/>
              </w:rPr>
              <w:t>待机 kWh</w:t>
            </w:r>
          </w:p>
        </w:tc>
        <w:tc>
          <w:tcPr>
            <w:tcW w:type="dxa" w:w="1255"/>
            <w:tcBorders>
              <w:bottom w:val="single" w:sz="6" w:color="000000"/>
            </w:tcBorders>
          </w:tcPr>
          <w:p>
            <w:pPr>
              <w:spacing w:line="240" w:lineRule="auto" w:after="40"/>
              <w:jc w:val="center"/>
              <w:keepNext w:val="1"/>
            </w:pPr>
            <w:r/>
            <w:r>
              <w:rPr>
                <w:rFonts w:ascii="Times New Roman" w:hAnsi="Times New Roman" w:eastAsia="宋体"/>
                <w:b/>
                <w:sz w:val="21"/>
              </w:rPr>
              <w:t>启停 kWh</w:t>
            </w:r>
          </w:p>
        </w:tc>
      </w:tr>
      <w:tr>
        <w:trPr>
          <w:cantSplit/>
        </w:trPr>
        <w:tc>
          <w:tcPr>
            <w:tcW w:type="dxa" w:w="1255"/>
          </w:tcPr>
          <w:p>
            <w:pPr>
              <w:spacing w:line="240" w:lineRule="auto" w:after="40"/>
              <w:jc w:val="center"/>
              <w:keepNext w:val="1"/>
            </w:pPr>
            <w:r/>
            <w:r>
              <w:rPr>
                <w:rFonts w:ascii="Times New Roman" w:hAnsi="Times New Roman" w:eastAsia="宋体"/>
                <w:b w:val="0"/>
                <w:sz w:val="21"/>
              </w:rPr>
              <w:t>完整模型</w:t>
            </w:r>
          </w:p>
        </w:tc>
        <w:tc>
          <w:tcPr>
            <w:tcW w:type="dxa" w:w="1255"/>
          </w:tcPr>
          <w:p>
            <w:pPr>
              <w:spacing w:line="240" w:lineRule="auto" w:after="40"/>
              <w:jc w:val="center"/>
              <w:keepNext w:val="1"/>
            </w:pPr>
            <w:r/>
            <w:r>
              <w:rPr>
                <w:rFonts w:ascii="Times New Roman" w:hAnsi="Times New Roman" w:eastAsia="宋体"/>
                <w:b w:val="0"/>
                <w:sz w:val="21"/>
              </w:rPr>
              <w:t>406.2</w:t>
            </w:r>
          </w:p>
        </w:tc>
        <w:tc>
          <w:tcPr>
            <w:tcW w:type="dxa" w:w="1255"/>
          </w:tcPr>
          <w:p>
            <w:pPr>
              <w:spacing w:line="240" w:lineRule="auto" w:after="40"/>
              <w:jc w:val="center"/>
              <w:keepNext w:val="1"/>
            </w:pPr>
            <w:r/>
            <w:r>
              <w:rPr>
                <w:rFonts w:ascii="Times New Roman" w:hAnsi="Times New Roman" w:eastAsia="宋体"/>
                <w:b w:val="0"/>
                <w:sz w:val="21"/>
              </w:rPr>
              <w:t>8396.9</w:t>
            </w:r>
          </w:p>
        </w:tc>
        <w:tc>
          <w:tcPr>
            <w:tcW w:type="dxa" w:w="1255"/>
          </w:tcPr>
          <w:p>
            <w:pPr>
              <w:spacing w:line="240" w:lineRule="auto" w:after="40"/>
              <w:jc w:val="center"/>
              <w:keepNext w:val="1"/>
            </w:pPr>
            <w:r/>
            <w:r>
              <w:rPr>
                <w:rFonts w:ascii="Times New Roman" w:hAnsi="Times New Roman" w:eastAsia="宋体"/>
                <w:b w:val="0"/>
                <w:sz w:val="21"/>
              </w:rPr>
              <w:t>290.2</w:t>
            </w:r>
          </w:p>
        </w:tc>
        <w:tc>
          <w:tcPr>
            <w:tcW w:type="dxa" w:w="1255"/>
          </w:tcPr>
          <w:p>
            <w:pPr>
              <w:spacing w:line="240" w:lineRule="auto" w:after="40"/>
              <w:jc w:val="center"/>
              <w:keepNext w:val="1"/>
            </w:pPr>
            <w:r/>
            <w:r>
              <w:rPr>
                <w:rFonts w:ascii="Times New Roman" w:hAnsi="Times New Roman" w:eastAsia="宋体"/>
                <w:b w:val="0"/>
                <w:sz w:val="21"/>
              </w:rPr>
              <w:t>495.4</w:t>
            </w:r>
          </w:p>
        </w:tc>
        <w:tc>
          <w:tcPr>
            <w:tcW w:type="dxa" w:w="1255"/>
          </w:tcPr>
          <w:p>
            <w:pPr>
              <w:spacing w:line="240" w:lineRule="auto" w:after="40"/>
              <w:jc w:val="center"/>
              <w:keepNext w:val="1"/>
            </w:pPr>
            <w:r/>
            <w:r>
              <w:rPr>
                <w:rFonts w:ascii="Times New Roman" w:hAnsi="Times New Roman" w:eastAsia="宋体"/>
                <w:b w:val="0"/>
                <w:sz w:val="21"/>
              </w:rPr>
              <w:t>11.8</w:t>
            </w:r>
          </w:p>
        </w:tc>
        <w:tc>
          <w:tcPr>
            <w:tcW w:type="dxa" w:w="1255"/>
          </w:tcPr>
          <w:p>
            <w:pPr>
              <w:spacing w:line="240" w:lineRule="auto" w:after="40"/>
              <w:jc w:val="center"/>
              <w:keepNext w:val="1"/>
            </w:pPr>
            <w:r/>
            <w:r>
              <w:rPr>
                <w:rFonts w:ascii="Times New Roman" w:hAnsi="Times New Roman" w:eastAsia="宋体"/>
                <w:b w:val="0"/>
                <w:sz w:val="21"/>
              </w:rPr>
              <w:t>1.6</w:t>
            </w:r>
          </w:p>
        </w:tc>
      </w:tr>
      <w:tr>
        <w:trPr>
          <w:cantSplit/>
        </w:trPr>
        <w:tc>
          <w:tcPr>
            <w:tcW w:type="dxa" w:w="1255"/>
          </w:tcPr>
          <w:p>
            <w:pPr>
              <w:spacing w:line="240" w:lineRule="auto" w:after="40"/>
              <w:jc w:val="center"/>
              <w:keepNext w:val="1"/>
            </w:pPr>
            <w:r/>
            <w:r>
              <w:rPr>
                <w:rFonts w:ascii="Times New Roman" w:hAnsi="Times New Roman" w:eastAsia="宋体"/>
                <w:b w:val="0"/>
                <w:sz w:val="21"/>
              </w:rPr>
              <w:t>去分时感知</w:t>
            </w:r>
          </w:p>
        </w:tc>
        <w:tc>
          <w:tcPr>
            <w:tcW w:type="dxa" w:w="1255"/>
          </w:tcPr>
          <w:p>
            <w:pPr>
              <w:spacing w:line="240" w:lineRule="auto" w:after="40"/>
              <w:jc w:val="center"/>
              <w:keepNext w:val="1"/>
            </w:pPr>
            <w:r/>
            <w:r>
              <w:rPr>
                <w:rFonts w:ascii="Times New Roman" w:hAnsi="Times New Roman" w:eastAsia="宋体"/>
                <w:b w:val="0"/>
                <w:sz w:val="21"/>
              </w:rPr>
              <w:t>439.5</w:t>
            </w:r>
          </w:p>
        </w:tc>
        <w:tc>
          <w:tcPr>
            <w:tcW w:type="dxa" w:w="1255"/>
          </w:tcPr>
          <w:p>
            <w:pPr>
              <w:spacing w:line="240" w:lineRule="auto" w:after="40"/>
              <w:jc w:val="center"/>
              <w:keepNext w:val="1"/>
            </w:pPr>
            <w:r/>
            <w:r>
              <w:rPr>
                <w:rFonts w:ascii="Times New Roman" w:hAnsi="Times New Roman" w:eastAsia="宋体"/>
                <w:b w:val="0"/>
                <w:sz w:val="21"/>
              </w:rPr>
              <w:t>8410.2</w:t>
            </w:r>
          </w:p>
        </w:tc>
        <w:tc>
          <w:tcPr>
            <w:tcW w:type="dxa" w:w="1255"/>
          </w:tcPr>
          <w:p>
            <w:pPr>
              <w:spacing w:line="240" w:lineRule="auto" w:after="40"/>
              <w:jc w:val="center"/>
              <w:keepNext w:val="1"/>
            </w:pPr>
            <w:r/>
            <w:r>
              <w:rPr>
                <w:rFonts w:ascii="Times New Roman" w:hAnsi="Times New Roman" w:eastAsia="宋体"/>
                <w:b w:val="0"/>
                <w:sz w:val="21"/>
              </w:rPr>
              <w:t>273.5</w:t>
            </w:r>
          </w:p>
        </w:tc>
        <w:tc>
          <w:tcPr>
            <w:tcW w:type="dxa" w:w="1255"/>
          </w:tcPr>
          <w:p>
            <w:pPr>
              <w:spacing w:line="240" w:lineRule="auto" w:after="40"/>
              <w:jc w:val="center"/>
              <w:keepNext w:val="1"/>
            </w:pPr>
            <w:r/>
            <w:r>
              <w:rPr>
                <w:rFonts w:ascii="Times New Roman" w:hAnsi="Times New Roman" w:eastAsia="宋体"/>
                <w:b w:val="0"/>
                <w:sz w:val="21"/>
              </w:rPr>
              <w:t>466.2</w:t>
            </w:r>
          </w:p>
        </w:tc>
        <w:tc>
          <w:tcPr>
            <w:tcW w:type="dxa" w:w="1255"/>
          </w:tcPr>
          <w:p>
            <w:pPr>
              <w:spacing w:line="240" w:lineRule="auto" w:after="40"/>
              <w:jc w:val="center"/>
              <w:keepNext w:val="1"/>
            </w:pPr>
            <w:r/>
            <w:r>
              <w:rPr>
                <w:rFonts w:ascii="Times New Roman" w:hAnsi="Times New Roman" w:eastAsia="宋体"/>
                <w:b w:val="0"/>
                <w:sz w:val="21"/>
              </w:rPr>
              <w:t>12.1</w:t>
            </w:r>
          </w:p>
        </w:tc>
        <w:tc>
          <w:tcPr>
            <w:tcW w:type="dxa" w:w="1255"/>
          </w:tcPr>
          <w:p>
            <w:pPr>
              <w:spacing w:line="240" w:lineRule="auto" w:after="40"/>
              <w:jc w:val="center"/>
              <w:keepNext w:val="1"/>
            </w:pPr>
            <w:r/>
            <w:r>
              <w:rPr>
                <w:rFonts w:ascii="Times New Roman" w:hAnsi="Times New Roman" w:eastAsia="宋体"/>
                <w:b w:val="0"/>
                <w:sz w:val="21"/>
              </w:rPr>
              <w:t>1.3</w:t>
            </w:r>
          </w:p>
        </w:tc>
      </w:tr>
      <w:tr>
        <w:trPr>
          <w:cantSplit/>
        </w:trPr>
        <w:tc>
          <w:tcPr>
            <w:tcW w:type="dxa" w:w="1255"/>
          </w:tcPr>
          <w:p>
            <w:pPr>
              <w:spacing w:line="240" w:lineRule="auto" w:after="40"/>
              <w:jc w:val="center"/>
              <w:keepNext w:val="1"/>
            </w:pPr>
            <w:r/>
            <w:r>
              <w:rPr>
                <w:rFonts w:ascii="Times New Roman" w:hAnsi="Times New Roman" w:eastAsia="宋体"/>
                <w:b w:val="0"/>
                <w:sz w:val="21"/>
              </w:rPr>
              <w:t>去速度层</w:t>
            </w:r>
          </w:p>
        </w:tc>
        <w:tc>
          <w:tcPr>
            <w:tcW w:type="dxa" w:w="1255"/>
          </w:tcPr>
          <w:p>
            <w:pPr>
              <w:spacing w:line="240" w:lineRule="auto" w:after="40"/>
              <w:jc w:val="center"/>
              <w:keepNext w:val="1"/>
            </w:pPr>
            <w:r/>
            <w:r>
              <w:rPr>
                <w:rFonts w:ascii="Times New Roman" w:hAnsi="Times New Roman" w:eastAsia="宋体"/>
                <w:b w:val="0"/>
                <w:sz w:val="21"/>
              </w:rPr>
              <w:t>420.4</w:t>
            </w:r>
          </w:p>
        </w:tc>
        <w:tc>
          <w:tcPr>
            <w:tcW w:type="dxa" w:w="1255"/>
          </w:tcPr>
          <w:p>
            <w:pPr>
              <w:spacing w:line="240" w:lineRule="auto" w:after="40"/>
              <w:jc w:val="center"/>
              <w:keepNext w:val="1"/>
            </w:pPr>
            <w:r/>
            <w:r>
              <w:rPr>
                <w:rFonts w:ascii="Times New Roman" w:hAnsi="Times New Roman" w:eastAsia="宋体"/>
                <w:b w:val="0"/>
                <w:sz w:val="21"/>
              </w:rPr>
              <w:t>8488.8</w:t>
            </w:r>
          </w:p>
        </w:tc>
        <w:tc>
          <w:tcPr>
            <w:tcW w:type="dxa" w:w="1255"/>
          </w:tcPr>
          <w:p>
            <w:pPr>
              <w:spacing w:line="240" w:lineRule="auto" w:after="40"/>
              <w:jc w:val="center"/>
              <w:keepNext w:val="1"/>
            </w:pPr>
            <w:r/>
            <w:r>
              <w:rPr>
                <w:rFonts w:ascii="Times New Roman" w:hAnsi="Times New Roman" w:eastAsia="宋体"/>
                <w:b w:val="0"/>
                <w:sz w:val="21"/>
              </w:rPr>
              <w:t>242.3</w:t>
            </w:r>
          </w:p>
        </w:tc>
        <w:tc>
          <w:tcPr>
            <w:tcW w:type="dxa" w:w="1255"/>
          </w:tcPr>
          <w:p>
            <w:pPr>
              <w:spacing w:line="240" w:lineRule="auto" w:after="40"/>
              <w:jc w:val="center"/>
              <w:keepNext w:val="1"/>
            </w:pPr>
            <w:r/>
            <w:r>
              <w:rPr>
                <w:rFonts w:ascii="Times New Roman" w:hAnsi="Times New Roman" w:eastAsia="宋体"/>
                <w:b w:val="0"/>
                <w:sz w:val="21"/>
              </w:rPr>
              <w:t>422.3</w:t>
            </w:r>
          </w:p>
        </w:tc>
        <w:tc>
          <w:tcPr>
            <w:tcW w:type="dxa" w:w="1255"/>
          </w:tcPr>
          <w:p>
            <w:pPr>
              <w:spacing w:line="240" w:lineRule="auto" w:after="40"/>
              <w:jc w:val="center"/>
              <w:keepNext w:val="1"/>
            </w:pPr>
            <w:r/>
            <w:r>
              <w:rPr>
                <w:rFonts w:ascii="Times New Roman" w:hAnsi="Times New Roman" w:eastAsia="宋体"/>
                <w:b w:val="0"/>
                <w:sz w:val="21"/>
              </w:rPr>
              <w:t>1.8</w:t>
            </w:r>
          </w:p>
        </w:tc>
        <w:tc>
          <w:tcPr>
            <w:tcW w:type="dxa" w:w="1255"/>
          </w:tcPr>
          <w:p>
            <w:pPr>
              <w:spacing w:line="240" w:lineRule="auto" w:after="40"/>
              <w:jc w:val="center"/>
              <w:keepNext w:val="1"/>
            </w:pPr>
            <w:r/>
            <w:r>
              <w:rPr>
                <w:rFonts w:ascii="Times New Roman" w:hAnsi="Times New Roman" w:eastAsia="宋体"/>
                <w:b w:val="0"/>
                <w:sz w:val="21"/>
              </w:rPr>
              <w:t>0.9</w:t>
            </w:r>
          </w:p>
        </w:tc>
      </w:tr>
      <w:tr>
        <w:trPr>
          <w:cantSplit/>
        </w:trPr>
        <w:tc>
          <w:tcPr>
            <w:tcW w:type="dxa" w:w="1255"/>
          </w:tcPr>
          <w:p>
            <w:pPr>
              <w:spacing w:line="240" w:lineRule="auto" w:after="40"/>
              <w:jc w:val="center"/>
              <w:keepNext w:val="0"/>
            </w:pPr>
            <w:r/>
            <w:r>
              <w:rPr>
                <w:rFonts w:ascii="Times New Roman" w:hAnsi="Times New Roman" w:eastAsia="宋体"/>
                <w:b w:val="0"/>
                <w:sz w:val="21"/>
              </w:rPr>
              <w:t>去碳结算</w:t>
            </w:r>
          </w:p>
        </w:tc>
        <w:tc>
          <w:tcPr>
            <w:tcW w:type="dxa" w:w="1255"/>
          </w:tcPr>
          <w:p>
            <w:pPr>
              <w:spacing w:line="240" w:lineRule="auto" w:after="40"/>
              <w:jc w:val="center"/>
              <w:keepNext w:val="0"/>
            </w:pPr>
            <w:r/>
            <w:r>
              <w:rPr>
                <w:rFonts w:ascii="Times New Roman" w:hAnsi="Times New Roman" w:eastAsia="宋体"/>
                <w:b w:val="0"/>
                <w:sz w:val="21"/>
              </w:rPr>
              <w:t>405.0</w:t>
            </w:r>
          </w:p>
        </w:tc>
        <w:tc>
          <w:tcPr>
            <w:tcW w:type="dxa" w:w="1255"/>
          </w:tcPr>
          <w:p>
            <w:pPr>
              <w:spacing w:line="240" w:lineRule="auto" w:after="40"/>
              <w:jc w:val="center"/>
              <w:keepNext w:val="0"/>
            </w:pPr>
            <w:r/>
            <w:r>
              <w:rPr>
                <w:rFonts w:ascii="Times New Roman" w:hAnsi="Times New Roman" w:eastAsia="宋体"/>
                <w:b w:val="0"/>
                <w:sz w:val="21"/>
              </w:rPr>
              <w:t>8404.2</w:t>
            </w:r>
          </w:p>
        </w:tc>
        <w:tc>
          <w:tcPr>
            <w:tcW w:type="dxa" w:w="1255"/>
          </w:tcPr>
          <w:p>
            <w:pPr>
              <w:spacing w:line="240" w:lineRule="auto" w:after="40"/>
              <w:jc w:val="center"/>
              <w:keepNext w:val="0"/>
            </w:pPr>
            <w:r/>
            <w:r>
              <w:rPr>
                <w:rFonts w:ascii="Times New Roman" w:hAnsi="Times New Roman" w:eastAsia="宋体"/>
                <w:b w:val="0"/>
                <w:sz w:val="21"/>
              </w:rPr>
              <w:t>265.2</w:t>
            </w:r>
          </w:p>
        </w:tc>
        <w:tc>
          <w:tcPr>
            <w:tcW w:type="dxa" w:w="1255"/>
          </w:tcPr>
          <w:p>
            <w:pPr>
              <w:spacing w:line="240" w:lineRule="auto" w:after="40"/>
              <w:jc w:val="center"/>
              <w:keepNext w:val="0"/>
            </w:pPr>
            <w:r/>
            <w:r>
              <w:rPr>
                <w:rFonts w:ascii="Times New Roman" w:hAnsi="Times New Roman" w:eastAsia="宋体"/>
                <w:b w:val="0"/>
                <w:sz w:val="21"/>
              </w:rPr>
              <w:t>461.3</w:t>
            </w:r>
          </w:p>
        </w:tc>
        <w:tc>
          <w:tcPr>
            <w:tcW w:type="dxa" w:w="1255"/>
          </w:tcPr>
          <w:p>
            <w:pPr>
              <w:spacing w:line="240" w:lineRule="auto" w:after="40"/>
              <w:jc w:val="center"/>
              <w:keepNext w:val="0"/>
            </w:pPr>
            <w:r/>
            <w:r>
              <w:rPr>
                <w:rFonts w:ascii="Times New Roman" w:hAnsi="Times New Roman" w:eastAsia="宋体"/>
                <w:b w:val="0"/>
                <w:sz w:val="21"/>
              </w:rPr>
              <w:t>2.9</w:t>
            </w:r>
          </w:p>
        </w:tc>
        <w:tc>
          <w:tcPr>
            <w:tcW w:type="dxa" w:w="1255"/>
          </w:tcPr>
          <w:p>
            <w:pPr>
              <w:spacing w:line="240" w:lineRule="auto" w:after="40"/>
              <w:jc w:val="center"/>
              <w:keepNext w:val="0"/>
            </w:pPr>
            <w:r/>
            <w:r>
              <w:rPr>
                <w:rFonts w:ascii="Times New Roman" w:hAnsi="Times New Roman" w:eastAsia="宋体"/>
                <w:b w:val="0"/>
                <w:sz w:val="21"/>
              </w:rPr>
              <w:t>0.8</w:t>
            </w:r>
          </w:p>
        </w:tc>
      </w:tr>
    </w:tbl>
    <w:p>
      <w:pPr>
        <w:ind w:firstLine="0"/>
        <w:jc w:val="center"/>
        <w:keepNext w:val="1"/>
        <w:keepLines w:val="1"/>
      </w:pPr>
      <w:r>
        <w:drawing>
          <wp:inline xmlns:a="http://schemas.openxmlformats.org/drawingml/2006/main" xmlns:pic="http://schemas.openxmlformats.org/drawingml/2006/picture">
            <wp:extent cx="5220000" cy="1936613"/>
            <wp:docPr id="4" name="Picture 4" descr="图4 第三轮修订后图形，数据与说明见正文图注"/>
            <wp:cNvGraphicFramePr>
              <a:graphicFrameLocks noChangeAspect="1"/>
            </wp:cNvGraphicFramePr>
            <a:graphic>
              <a:graphicData uri="http://schemas.openxmlformats.org/drawingml/2006/picture">
                <pic:pic>
                  <pic:nvPicPr>
                    <pic:cNvPr id="0" name="rev2_mechanism_gear.png"/>
                    <pic:cNvPicPr/>
                  </pic:nvPicPr>
                  <pic:blipFill>
                    <a:blip r:embed="rId12"/>
                    <a:stretch>
                      <a:fillRect/>
                    </a:stretch>
                  </pic:blipFill>
                  <pic:spPr>
                    <a:xfrm>
                      <a:off x="0" y="0"/>
                      <a:ext cx="5220000" cy="1936613"/>
                    </a:xfrm>
                    <a:prstGeom prst="rect"/>
                  </pic:spPr>
                </pic:pic>
              </a:graphicData>
            </a:graphic>
          </wp:inline>
        </w:drawing>
      </w:r>
    </w:p>
    <w:p>
      <w:pPr>
        <w:spacing w:line="240" w:lineRule="auto" w:before="120" w:after="120"/>
        <w:ind w:firstLine="0"/>
        <w:jc w:val="center"/>
        <w:keepNext w:val="0"/>
        <w:keepLines w:val="1"/>
      </w:pPr>
      <w:r>
        <w:rPr>
          <w:rFonts w:ascii="Times New Roman" w:hAnsi="Times New Roman" w:eastAsia="宋体"/>
          <w:b w:val="0"/>
          <w:sz w:val="21"/>
        </w:rPr>
        <w:t xml:space="preserve">图4　齿轮轴组件消融的代表点。Full为完整模型，No TOU、No speed和No carbon分别移除分时感知、速度层和碳结算；图中为选定点而非均值</w:t>
      </w:r>
    </w:p>
    <w:p>
      <w:pPr>
        <w:spacing w:before="120" w:after="60"/>
        <w:ind w:firstLine="0"/>
        <w:jc w:val="left"/>
        <w:keepNext w:val="1"/>
        <w:keepLines w:val="1"/>
      </w:pPr>
      <w:r>
        <w:rPr>
          <w:rFonts w:ascii="Times New Roman" w:hAnsi="Times New Roman" w:eastAsia="黑体"/>
          <w:b w:val="0"/>
          <w:sz w:val="28"/>
        </w:rPr>
        <w:t>3.4　碳价激励与配额的会计性质</w:t>
      </w:r>
    </w:p>
    <w:p>
      <w:pPr>
        <w:spacing w:line="360" w:lineRule="auto" w:after="0"/>
        <w:ind w:firstLine="480"/>
        <w:jc w:val="both"/>
      </w:pPr>
      <w:r>
        <w:rPr>
          <w:rFonts w:ascii="Times New Roman" w:hAnsi="Times New Roman" w:eastAsia="宋体"/>
          <w:b w:val="0"/>
          <w:sz w:val="24"/>
        </w:rPr>
        <w:t xml:space="preserve">表5将碳价结果分为独立搜索与运行内共池两层。独立搜索在四个碳价下分别求解，选定点排放依次为286.9、290.2、272.2和224.7 kgCO₂，未形成单调序列。将0.08档代表班表按零碳价重计价可得约8393.1元，低于零价搜索选定点的8401.2元，表明独立扫描混入候选搜索遗漏，故该层作为探索性参照。</w:t>
      </w:r>
    </w:p>
    <w:p>
      <w:pPr>
        <w:spacing w:line="360" w:lineRule="auto" w:after="0"/>
        <w:ind w:firstLine="480"/>
        <w:jc w:val="both"/>
      </w:pPr>
      <w:r>
        <w:rPr>
          <w:rFonts w:ascii="Times New Roman" w:hAnsi="Times New Roman" w:eastAsia="宋体"/>
          <w:b w:val="0"/>
          <w:sz w:val="24"/>
        </w:rPr>
        <w:t xml:space="preserve">共池层直接复用已归档四档扫描前沿。在每个运行编号内，将四档碳价候选与同编号BASE候选合并，分别在0、0.08、0.8、2.0元/kgCO₂下选取池内现实成本最低班表，再对四运行选点求均值与标准差。配额固定为242.3329 kgCO₂。该构造使用相同候选集比较价格，不新增搜索，所有候选ID、染色体索引及逐价选点均随补充材料提供。</w:t>
      </w:r>
    </w:p>
    <w:p>
      <w:pPr>
        <w:spacing w:line="360" w:lineRule="auto" w:after="0"/>
        <w:ind w:firstLine="480"/>
        <w:jc w:val="both"/>
        <w:keepNext w:val="0"/>
        <w:keepLines w:val="1"/>
      </w:pPr>
      <w:r>
        <w:rPr>
          <w:rFonts w:ascii="Times New Roman" w:hAnsi="Times New Roman" w:eastAsia="宋体"/>
          <w:b w:val="0"/>
          <w:sz w:val="24"/>
        </w:rPr>
        <w:t xml:space="preserve">图5显示，共池四档平均排放为280.6、280.6、263.1、240.0 kgCO₂，不含结算成本为8402.1、8402.1、8409.1、8435.5元。四个运行在0与0.08档均选择同一候选；0.8档相对零价平均排放下降6.3%、不含结算成本上升0.08%，2.0档分别下降14.5%和上升0.40%。2.0档的平均排放低于主实验BASE代表点241.3 kgCO₂，该参照是跨实验的描述性比较，不作为逐运行稳定抵消的证据。</w:t>
      </w:r>
    </w:p>
    <w:p>
      <w:pPr>
        <w:spacing w:line="360" w:lineRule="auto" w:after="0"/>
        <w:ind w:firstLine="480"/>
        <w:jc w:val="both"/>
      </w:pPr>
      <w:r>
        <w:rPr>
          <w:rFonts w:ascii="Times New Roman" w:hAnsi="Times New Roman" w:eastAsia="宋体"/>
          <w:b w:val="0"/>
          <w:sz w:val="24"/>
        </w:rPr>
        <w:t xml:space="preserve">固定候选集下，最低成本选择中的排放非增由线性成本C₀(q)+pc[Fo(q)−Ecap]保证，可用作重计价和选点的自检。本次数据给出有限候选池在四档采样中的响应，不定位完整可行域或实际工厂的内部化阈值。另按2.3节性质，配额倍率每增加0.1，候选成本有符号平移约−1.94元，两两成本差与支配关系保持不变；该结果作为会计校核报告。</w:t>
      </w:r>
    </w:p>
    <w:p>
      <w:pPr>
        <w:spacing w:line="240" w:lineRule="auto" w:before="120" w:after="120"/>
        <w:ind w:firstLine="0"/>
        <w:jc w:val="center"/>
        <w:keepNext w:val="1"/>
        <w:keepLines w:val="1"/>
      </w:pPr>
      <w:r>
        <w:rPr>
          <w:rFonts w:ascii="Times New Roman" w:hAnsi="Times New Roman" w:eastAsia="宋体"/>
          <w:b w:val="0"/>
          <w:sz w:val="21"/>
        </w:rPr>
        <w:t xml:space="preserve">表5　齿轮轴碳价分析。独立搜索为跨运行代表点，共池为四个运行内选点的均值±描述性标准差</w:t>
      </w:r>
    </w:p>
    <w:tbl>
      <w:tblPr>
        <w:tblW w:type="auto" w:w="0"/>
        <w:jc w:val="center"/>
        <w:tblLook w:firstColumn="1" w:firstRow="1" w:lastColumn="0" w:lastRow="0" w:noHBand="0" w:noVBand="1" w:val="04A0"/>
        <w:tblBorders>
          <w:top w:val="single" w:sz="12" w:space="0" w:color="000000"/>
          <w:bottom w:val="single" w:sz="12" w:space="0" w:color="000000"/>
          <w:insideH w:val="none"/>
          <w:left w:val="none"/>
          <w:right w:val="none"/>
          <w:insideV w:val="none"/>
        </w:tblBorders>
      </w:tblPr>
      <w:tblGrid>
        <w:gridCol w:w="1758"/>
        <w:gridCol w:w="1758"/>
        <w:gridCol w:w="1758"/>
        <w:gridCol w:w="1758"/>
        <w:gridCol w:w="1758"/>
      </w:tblGrid>
      <w:tr>
        <w:trPr>
          <w:cantSplit/>
          <w:tblHeader/>
        </w:trPr>
        <w:tc>
          <w:tcPr>
            <w:tcW w:type="dxa" w:w="1758"/>
            <w:tcBorders>
              <w:bottom w:val="single" w:sz="6" w:color="000000"/>
            </w:tcBorders>
          </w:tcPr>
          <w:p>
            <w:pPr>
              <w:spacing w:line="240" w:lineRule="auto" w:after="40"/>
              <w:jc w:val="center"/>
            </w:pPr>
            <w:r/>
            <w:r>
              <w:rPr>
                <w:rFonts w:ascii="Times New Roman" w:hAnsi="Times New Roman" w:eastAsia="宋体"/>
                <w:b/>
                <w:sz w:val="21"/>
              </w:rPr>
              <w:t>层与碳价 元/kgCO2</w:t>
            </w:r>
          </w:p>
        </w:tc>
        <w:tc>
          <w:tcPr>
            <w:tcW w:type="dxa" w:w="1758"/>
            <w:tcBorders>
              <w:bottom w:val="single" w:sz="6" w:color="000000"/>
            </w:tcBorders>
          </w:tcPr>
          <w:p>
            <w:pPr>
              <w:spacing w:line="240" w:lineRule="auto" w:after="40"/>
              <w:jc w:val="center"/>
            </w:pPr>
            <w:r/>
            <w:r>
              <w:rPr>
                <w:rFonts w:ascii="Times New Roman" w:hAnsi="Times New Roman" w:eastAsia="宋体"/>
                <w:b/>
                <w:sz w:val="21"/>
              </w:rPr>
              <w:t>完工 min</w:t>
            </w:r>
          </w:p>
        </w:tc>
        <w:tc>
          <w:tcPr>
            <w:tcW w:type="dxa" w:w="1758"/>
            <w:tcBorders>
              <w:bottom w:val="single" w:sz="6" w:color="000000"/>
            </w:tcBorders>
          </w:tcPr>
          <w:p>
            <w:pPr>
              <w:spacing w:line="240" w:lineRule="auto" w:after="40"/>
              <w:jc w:val="center"/>
            </w:pPr>
            <w:r/>
            <w:r>
              <w:rPr>
                <w:rFonts w:ascii="Times New Roman" w:hAnsi="Times New Roman" w:eastAsia="宋体"/>
                <w:b/>
                <w:sz w:val="21"/>
              </w:rPr>
              <w:t>成本 元</w:t>
            </w:r>
          </w:p>
        </w:tc>
        <w:tc>
          <w:tcPr>
            <w:tcW w:type="dxa" w:w="1758"/>
            <w:tcBorders>
              <w:bottom w:val="single" w:sz="6" w:color="000000"/>
            </w:tcBorders>
          </w:tcPr>
          <w:p>
            <w:pPr>
              <w:spacing w:line="240" w:lineRule="auto" w:after="40"/>
              <w:jc w:val="center"/>
            </w:pPr>
            <w:r/>
            <w:r>
              <w:rPr>
                <w:rFonts w:ascii="Times New Roman" w:hAnsi="Times New Roman" w:eastAsia="宋体"/>
                <w:b/>
                <w:sz w:val="21"/>
              </w:rPr>
              <w:t>碳排 kgCO2</w:t>
            </w:r>
          </w:p>
        </w:tc>
        <w:tc>
          <w:tcPr>
            <w:tcW w:type="dxa" w:w="1758"/>
            <w:tcBorders>
              <w:bottom w:val="single" w:sz="6" w:color="000000"/>
            </w:tcBorders>
          </w:tcPr>
          <w:p>
            <w:pPr>
              <w:spacing w:line="240" w:lineRule="auto" w:after="40"/>
              <w:jc w:val="center"/>
            </w:pPr>
            <w:r/>
            <w:r>
              <w:rPr>
                <w:rFonts w:ascii="Times New Roman" w:hAnsi="Times New Roman" w:eastAsia="宋体"/>
                <w:b/>
                <w:sz w:val="21"/>
              </w:rPr>
              <w:t>口径</w:t>
            </w:r>
          </w:p>
        </w:tc>
      </w:tr>
      <w:tr>
        <w:trPr>
          <w:cantSplit/>
        </w:trPr>
        <w:tc>
          <w:tcPr>
            <w:tcW w:type="dxa" w:w="1758"/>
          </w:tcPr>
          <w:p>
            <w:pPr>
              <w:spacing w:line="240" w:lineRule="auto" w:after="40"/>
              <w:jc w:val="center"/>
            </w:pPr>
            <w:r/>
            <w:r>
              <w:rPr>
                <w:rFonts w:ascii="Times New Roman" w:hAnsi="Times New Roman" w:eastAsia="宋体"/>
                <w:b w:val="0"/>
                <w:sz w:val="21"/>
              </w:rPr>
              <w:t>独立搜索 0</w:t>
            </w:r>
          </w:p>
        </w:tc>
        <w:tc>
          <w:tcPr>
            <w:tcW w:type="dxa" w:w="1758"/>
          </w:tcPr>
          <w:p>
            <w:pPr>
              <w:spacing w:line="240" w:lineRule="auto" w:after="40"/>
              <w:jc w:val="center"/>
            </w:pPr>
            <w:r/>
            <w:r>
              <w:rPr>
                <w:rFonts w:ascii="Times New Roman" w:hAnsi="Times New Roman" w:eastAsia="宋体"/>
                <w:b w:val="0"/>
                <w:sz w:val="21"/>
              </w:rPr>
              <w:t>401.8</w:t>
            </w:r>
          </w:p>
        </w:tc>
        <w:tc>
          <w:tcPr>
            <w:tcW w:type="dxa" w:w="1758"/>
          </w:tcPr>
          <w:p>
            <w:pPr>
              <w:spacing w:line="240" w:lineRule="auto" w:after="40"/>
              <w:jc w:val="center"/>
            </w:pPr>
            <w:r/>
            <w:r>
              <w:rPr>
                <w:rFonts w:ascii="Times New Roman" w:hAnsi="Times New Roman" w:eastAsia="宋体"/>
                <w:b w:val="0"/>
                <w:sz w:val="21"/>
              </w:rPr>
              <w:t>8401.2</w:t>
            </w:r>
          </w:p>
        </w:tc>
        <w:tc>
          <w:tcPr>
            <w:tcW w:type="dxa" w:w="1758"/>
          </w:tcPr>
          <w:p>
            <w:pPr>
              <w:spacing w:line="240" w:lineRule="auto" w:after="40"/>
              <w:jc w:val="center"/>
            </w:pPr>
            <w:r/>
            <w:r>
              <w:rPr>
                <w:rFonts w:ascii="Times New Roman" w:hAnsi="Times New Roman" w:eastAsia="宋体"/>
                <w:b w:val="0"/>
                <w:sz w:val="21"/>
              </w:rPr>
              <w:t>286.9</w:t>
            </w:r>
          </w:p>
        </w:tc>
        <w:tc>
          <w:tcPr>
            <w:tcW w:type="dxa" w:w="1758"/>
          </w:tcPr>
          <w:p>
            <w:pPr>
              <w:spacing w:line="240" w:lineRule="auto" w:after="40"/>
              <w:jc w:val="center"/>
            </w:pPr>
            <w:r/>
            <w:r>
              <w:rPr>
                <w:rFonts w:ascii="Times New Roman" w:hAnsi="Times New Roman" w:eastAsia="宋体"/>
                <w:b w:val="0"/>
                <w:sz w:val="21"/>
              </w:rPr>
              <w:t>含结算，探索性</w:t>
            </w:r>
          </w:p>
        </w:tc>
      </w:tr>
      <w:tr>
        <w:trPr>
          <w:cantSplit/>
        </w:trPr>
        <w:tc>
          <w:tcPr>
            <w:tcW w:type="dxa" w:w="1758"/>
          </w:tcPr>
          <w:p>
            <w:pPr>
              <w:spacing w:line="240" w:lineRule="auto" w:after="40"/>
              <w:jc w:val="center"/>
            </w:pPr>
            <w:r/>
            <w:r>
              <w:rPr>
                <w:rFonts w:ascii="Times New Roman" w:hAnsi="Times New Roman" w:eastAsia="宋体"/>
                <w:b w:val="0"/>
                <w:sz w:val="21"/>
              </w:rPr>
              <w:t>独立搜索 0.08</w:t>
            </w:r>
          </w:p>
        </w:tc>
        <w:tc>
          <w:tcPr>
            <w:tcW w:type="dxa" w:w="1758"/>
          </w:tcPr>
          <w:p>
            <w:pPr>
              <w:spacing w:line="240" w:lineRule="auto" w:after="40"/>
              <w:jc w:val="center"/>
            </w:pPr>
            <w:r/>
            <w:r>
              <w:rPr>
                <w:rFonts w:ascii="Times New Roman" w:hAnsi="Times New Roman" w:eastAsia="宋体"/>
                <w:b w:val="0"/>
                <w:sz w:val="21"/>
              </w:rPr>
              <w:t>406.2</w:t>
            </w:r>
          </w:p>
        </w:tc>
        <w:tc>
          <w:tcPr>
            <w:tcW w:type="dxa" w:w="1758"/>
          </w:tcPr>
          <w:p>
            <w:pPr>
              <w:spacing w:line="240" w:lineRule="auto" w:after="40"/>
              <w:jc w:val="center"/>
            </w:pPr>
            <w:r/>
            <w:r>
              <w:rPr>
                <w:rFonts w:ascii="Times New Roman" w:hAnsi="Times New Roman" w:eastAsia="宋体"/>
                <w:b w:val="0"/>
                <w:sz w:val="21"/>
              </w:rPr>
              <w:t>8396.9</w:t>
            </w:r>
          </w:p>
        </w:tc>
        <w:tc>
          <w:tcPr>
            <w:tcW w:type="dxa" w:w="1758"/>
          </w:tcPr>
          <w:p>
            <w:pPr>
              <w:spacing w:line="240" w:lineRule="auto" w:after="40"/>
              <w:jc w:val="center"/>
            </w:pPr>
            <w:r/>
            <w:r>
              <w:rPr>
                <w:rFonts w:ascii="Times New Roman" w:hAnsi="Times New Roman" w:eastAsia="宋体"/>
                <w:b w:val="0"/>
                <w:sz w:val="21"/>
              </w:rPr>
              <w:t>290.2</w:t>
            </w:r>
          </w:p>
        </w:tc>
        <w:tc>
          <w:tcPr>
            <w:tcW w:type="dxa" w:w="1758"/>
          </w:tcPr>
          <w:p>
            <w:pPr>
              <w:spacing w:line="240" w:lineRule="auto" w:after="40"/>
              <w:jc w:val="center"/>
            </w:pPr>
            <w:r/>
            <w:r>
              <w:rPr>
                <w:rFonts w:ascii="Times New Roman" w:hAnsi="Times New Roman" w:eastAsia="宋体"/>
                <w:b w:val="0"/>
                <w:sz w:val="21"/>
              </w:rPr>
              <w:t>含结算，探索性</w:t>
            </w:r>
          </w:p>
        </w:tc>
      </w:tr>
      <w:tr>
        <w:trPr>
          <w:cantSplit/>
        </w:trPr>
        <w:tc>
          <w:tcPr>
            <w:tcW w:type="dxa" w:w="1758"/>
          </w:tcPr>
          <w:p>
            <w:pPr>
              <w:spacing w:line="240" w:lineRule="auto" w:after="40"/>
              <w:jc w:val="center"/>
            </w:pPr>
            <w:r/>
            <w:r>
              <w:rPr>
                <w:rFonts w:ascii="Times New Roman" w:hAnsi="Times New Roman" w:eastAsia="宋体"/>
                <w:b w:val="0"/>
                <w:sz w:val="21"/>
              </w:rPr>
              <w:t>独立搜索 0.8</w:t>
            </w:r>
          </w:p>
        </w:tc>
        <w:tc>
          <w:tcPr>
            <w:tcW w:type="dxa" w:w="1758"/>
          </w:tcPr>
          <w:p>
            <w:pPr>
              <w:spacing w:line="240" w:lineRule="auto" w:after="40"/>
              <w:jc w:val="center"/>
            </w:pPr>
            <w:r/>
            <w:r>
              <w:rPr>
                <w:rFonts w:ascii="Times New Roman" w:hAnsi="Times New Roman" w:eastAsia="宋体"/>
                <w:b w:val="0"/>
                <w:sz w:val="21"/>
              </w:rPr>
              <w:t>368.3</w:t>
            </w:r>
          </w:p>
        </w:tc>
        <w:tc>
          <w:tcPr>
            <w:tcW w:type="dxa" w:w="1758"/>
          </w:tcPr>
          <w:p>
            <w:pPr>
              <w:spacing w:line="240" w:lineRule="auto" w:after="40"/>
              <w:jc w:val="center"/>
            </w:pPr>
            <w:r/>
            <w:r>
              <w:rPr>
                <w:rFonts w:ascii="Times New Roman" w:hAnsi="Times New Roman" w:eastAsia="宋体"/>
                <w:b w:val="0"/>
                <w:sz w:val="21"/>
              </w:rPr>
              <w:t>8422.0</w:t>
            </w:r>
          </w:p>
        </w:tc>
        <w:tc>
          <w:tcPr>
            <w:tcW w:type="dxa" w:w="1758"/>
          </w:tcPr>
          <w:p>
            <w:pPr>
              <w:spacing w:line="240" w:lineRule="auto" w:after="40"/>
              <w:jc w:val="center"/>
            </w:pPr>
            <w:r/>
            <w:r>
              <w:rPr>
                <w:rFonts w:ascii="Times New Roman" w:hAnsi="Times New Roman" w:eastAsia="宋体"/>
                <w:b w:val="0"/>
                <w:sz w:val="21"/>
              </w:rPr>
              <w:t>272.2</w:t>
            </w:r>
          </w:p>
        </w:tc>
        <w:tc>
          <w:tcPr>
            <w:tcW w:type="dxa" w:w="1758"/>
          </w:tcPr>
          <w:p>
            <w:pPr>
              <w:spacing w:line="240" w:lineRule="auto" w:after="40"/>
              <w:jc w:val="center"/>
            </w:pPr>
            <w:r/>
            <w:r>
              <w:rPr>
                <w:rFonts w:ascii="Times New Roman" w:hAnsi="Times New Roman" w:eastAsia="宋体"/>
                <w:b w:val="0"/>
                <w:sz w:val="21"/>
              </w:rPr>
              <w:t>含结算，探索性</w:t>
            </w:r>
          </w:p>
        </w:tc>
      </w:tr>
      <w:tr>
        <w:trPr>
          <w:cantSplit/>
        </w:trPr>
        <w:tc>
          <w:tcPr>
            <w:tcW w:type="dxa" w:w="1758"/>
          </w:tcPr>
          <w:p>
            <w:pPr>
              <w:spacing w:line="240" w:lineRule="auto" w:after="40"/>
              <w:jc w:val="center"/>
            </w:pPr>
            <w:r/>
            <w:r>
              <w:rPr>
                <w:rFonts w:ascii="Times New Roman" w:hAnsi="Times New Roman" w:eastAsia="宋体"/>
                <w:b w:val="0"/>
                <w:sz w:val="21"/>
              </w:rPr>
              <w:t>独立搜索 2.0</w:t>
            </w:r>
          </w:p>
        </w:tc>
        <w:tc>
          <w:tcPr>
            <w:tcW w:type="dxa" w:w="1758"/>
          </w:tcPr>
          <w:p>
            <w:pPr>
              <w:spacing w:line="240" w:lineRule="auto" w:after="40"/>
              <w:jc w:val="center"/>
            </w:pPr>
            <w:r/>
            <w:r>
              <w:rPr>
                <w:rFonts w:ascii="Times New Roman" w:hAnsi="Times New Roman" w:eastAsia="宋体"/>
                <w:b w:val="0"/>
                <w:sz w:val="21"/>
              </w:rPr>
              <w:t>455.3</w:t>
            </w:r>
          </w:p>
        </w:tc>
        <w:tc>
          <w:tcPr>
            <w:tcW w:type="dxa" w:w="1758"/>
          </w:tcPr>
          <w:p>
            <w:pPr>
              <w:spacing w:line="240" w:lineRule="auto" w:after="40"/>
              <w:jc w:val="center"/>
            </w:pPr>
            <w:r/>
            <w:r>
              <w:rPr>
                <w:rFonts w:ascii="Times New Roman" w:hAnsi="Times New Roman" w:eastAsia="宋体"/>
                <w:b w:val="0"/>
                <w:sz w:val="21"/>
              </w:rPr>
              <w:t>8439.1</w:t>
            </w:r>
          </w:p>
        </w:tc>
        <w:tc>
          <w:tcPr>
            <w:tcW w:type="dxa" w:w="1758"/>
          </w:tcPr>
          <w:p>
            <w:pPr>
              <w:spacing w:line="240" w:lineRule="auto" w:after="40"/>
              <w:jc w:val="center"/>
            </w:pPr>
            <w:r/>
            <w:r>
              <w:rPr>
                <w:rFonts w:ascii="Times New Roman" w:hAnsi="Times New Roman" w:eastAsia="宋体"/>
                <w:b w:val="0"/>
                <w:sz w:val="21"/>
              </w:rPr>
              <w:t>224.7</w:t>
            </w:r>
          </w:p>
        </w:tc>
        <w:tc>
          <w:tcPr>
            <w:tcW w:type="dxa" w:w="1758"/>
          </w:tcPr>
          <w:p>
            <w:pPr>
              <w:spacing w:line="240" w:lineRule="auto" w:after="40"/>
              <w:jc w:val="center"/>
            </w:pPr>
            <w:r/>
            <w:r>
              <w:rPr>
                <w:rFonts w:ascii="Times New Roman" w:hAnsi="Times New Roman" w:eastAsia="宋体"/>
                <w:b w:val="0"/>
                <w:sz w:val="21"/>
              </w:rPr>
              <w:t>含结算，探索性</w:t>
            </w:r>
          </w:p>
        </w:tc>
      </w:tr>
      <w:tr>
        <w:trPr>
          <w:cantSplit/>
        </w:trPr>
        <w:tc>
          <w:tcPr>
            <w:tcW w:type="dxa" w:w="1758"/>
          </w:tcPr>
          <w:p>
            <w:pPr>
              <w:spacing w:line="240" w:lineRule="auto" w:after="40"/>
              <w:jc w:val="center"/>
            </w:pPr>
            <w:r>
              <w:rPr>
                <w:rFonts w:ascii="Times New Roman" w:hAnsi="Times New Roman" w:eastAsia="宋体"/>
                <w:b w:val="0"/>
                <w:sz w:val="21"/>
              </w:rPr>
              <w:t xml:space="preserve">共池 0</w:t>
            </w:r>
          </w:p>
        </w:tc>
        <w:tc>
          <w:tcPr>
            <w:tcW w:type="dxa" w:w="1758"/>
          </w:tcPr>
          <w:p>
            <w:pPr>
              <w:spacing w:line="240" w:lineRule="auto" w:after="40"/>
              <w:jc w:val="center"/>
            </w:pPr>
            <w:r>
              <w:rPr>
                <w:rFonts w:ascii="Times New Roman" w:hAnsi="Times New Roman" w:eastAsia="宋体"/>
                <w:b w:val="0"/>
                <w:sz w:val="21"/>
              </w:rPr>
              <w:t xml:space="preserve">398.0±15.0</w:t>
            </w:r>
          </w:p>
        </w:tc>
        <w:tc>
          <w:tcPr>
            <w:tcW w:type="dxa" w:w="1758"/>
          </w:tcPr>
          <w:p>
            <w:pPr>
              <w:spacing w:line="240" w:lineRule="auto" w:after="40"/>
              <w:jc w:val="center"/>
            </w:pPr>
            <w:r>
              <w:rPr>
                <w:rFonts w:ascii="Times New Roman" w:hAnsi="Times New Roman" w:eastAsia="宋体"/>
                <w:b w:val="0"/>
                <w:sz w:val="21"/>
              </w:rPr>
              <w:t xml:space="preserve">8402.1±5.5</w:t>
            </w:r>
          </w:p>
        </w:tc>
        <w:tc>
          <w:tcPr>
            <w:tcW w:type="dxa" w:w="1758"/>
          </w:tcPr>
          <w:p>
            <w:pPr>
              <w:spacing w:line="240" w:lineRule="auto" w:after="40"/>
              <w:jc w:val="center"/>
            </w:pPr>
            <w:r>
              <w:rPr>
                <w:rFonts w:ascii="Times New Roman" w:hAnsi="Times New Roman" w:eastAsia="宋体"/>
                <w:b w:val="0"/>
                <w:sz w:val="21"/>
              </w:rPr>
              <w:t xml:space="preserve">280.6±7.6</w:t>
            </w:r>
          </w:p>
        </w:tc>
        <w:tc>
          <w:tcPr>
            <w:tcW w:type="dxa" w:w="1758"/>
          </w:tcPr>
          <w:p>
            <w:pPr>
              <w:spacing w:line="240" w:lineRule="auto" w:after="40"/>
              <w:jc w:val="center"/>
            </w:pPr>
            <w:r>
              <w:rPr>
                <w:rFonts w:ascii="Times New Roman" w:hAnsi="Times New Roman" w:eastAsia="宋体"/>
                <w:b w:val="0"/>
                <w:sz w:val="21"/>
              </w:rPr>
              <w:t xml:space="preserve">不含结算</w:t>
            </w:r>
          </w:p>
        </w:tc>
      </w:tr>
      <w:tr>
        <w:trPr>
          <w:cantSplit/>
        </w:trPr>
        <w:tc>
          <w:tcPr>
            <w:tcW w:type="dxa" w:w="1758"/>
          </w:tcPr>
          <w:p>
            <w:pPr>
              <w:spacing w:line="240" w:lineRule="auto" w:after="40"/>
              <w:jc w:val="center"/>
            </w:pPr>
            <w:r>
              <w:rPr>
                <w:rFonts w:ascii="Times New Roman" w:hAnsi="Times New Roman" w:eastAsia="宋体"/>
                <w:b w:val="0"/>
                <w:sz w:val="21"/>
              </w:rPr>
              <w:t xml:space="preserve">共池 0.08</w:t>
            </w:r>
          </w:p>
        </w:tc>
        <w:tc>
          <w:tcPr>
            <w:tcW w:type="dxa" w:w="1758"/>
          </w:tcPr>
          <w:p>
            <w:pPr>
              <w:spacing w:line="240" w:lineRule="auto" w:after="40"/>
              <w:jc w:val="center"/>
            </w:pPr>
            <w:r>
              <w:rPr>
                <w:rFonts w:ascii="Times New Roman" w:hAnsi="Times New Roman" w:eastAsia="宋体"/>
                <w:b w:val="0"/>
                <w:sz w:val="21"/>
              </w:rPr>
              <w:t xml:space="preserve">398.0±15.0</w:t>
            </w:r>
          </w:p>
        </w:tc>
        <w:tc>
          <w:tcPr>
            <w:tcW w:type="dxa" w:w="1758"/>
          </w:tcPr>
          <w:p>
            <w:pPr>
              <w:spacing w:line="240" w:lineRule="auto" w:after="40"/>
              <w:jc w:val="center"/>
            </w:pPr>
            <w:r>
              <w:rPr>
                <w:rFonts w:ascii="Times New Roman" w:hAnsi="Times New Roman" w:eastAsia="宋体"/>
                <w:b w:val="0"/>
                <w:sz w:val="21"/>
              </w:rPr>
              <w:t xml:space="preserve">8402.1±5.5</w:t>
            </w:r>
          </w:p>
        </w:tc>
        <w:tc>
          <w:tcPr>
            <w:tcW w:type="dxa" w:w="1758"/>
          </w:tcPr>
          <w:p>
            <w:pPr>
              <w:spacing w:line="240" w:lineRule="auto" w:after="40"/>
              <w:jc w:val="center"/>
            </w:pPr>
            <w:r>
              <w:rPr>
                <w:rFonts w:ascii="Times New Roman" w:hAnsi="Times New Roman" w:eastAsia="宋体"/>
                <w:b w:val="0"/>
                <w:sz w:val="21"/>
              </w:rPr>
              <w:t xml:space="preserve">280.6±7.6</w:t>
            </w:r>
          </w:p>
        </w:tc>
        <w:tc>
          <w:tcPr>
            <w:tcW w:type="dxa" w:w="1758"/>
          </w:tcPr>
          <w:p>
            <w:pPr>
              <w:spacing w:line="240" w:lineRule="auto" w:after="40"/>
              <w:jc w:val="center"/>
            </w:pPr>
            <w:r>
              <w:rPr>
                <w:rFonts w:ascii="Times New Roman" w:hAnsi="Times New Roman" w:eastAsia="宋体"/>
                <w:b w:val="0"/>
                <w:sz w:val="21"/>
              </w:rPr>
              <w:t xml:space="preserve">不含结算</w:t>
            </w:r>
          </w:p>
        </w:tc>
      </w:tr>
      <w:tr>
        <w:trPr>
          <w:cantSplit/>
        </w:trPr>
        <w:tc>
          <w:tcPr>
            <w:tcW w:type="dxa" w:w="1758"/>
          </w:tcPr>
          <w:p>
            <w:pPr>
              <w:spacing w:line="240" w:lineRule="auto" w:after="40"/>
              <w:jc w:val="center"/>
            </w:pPr>
            <w:r>
              <w:rPr>
                <w:rFonts w:ascii="Times New Roman" w:hAnsi="Times New Roman" w:eastAsia="宋体"/>
                <w:b w:val="0"/>
                <w:sz w:val="21"/>
              </w:rPr>
              <w:t xml:space="preserve">共池 0.8</w:t>
            </w:r>
          </w:p>
        </w:tc>
        <w:tc>
          <w:tcPr>
            <w:tcW w:type="dxa" w:w="1758"/>
          </w:tcPr>
          <w:p>
            <w:pPr>
              <w:spacing w:line="240" w:lineRule="auto" w:after="40"/>
              <w:jc w:val="center"/>
            </w:pPr>
            <w:r>
              <w:rPr>
                <w:rFonts w:ascii="Times New Roman" w:hAnsi="Times New Roman" w:eastAsia="宋体"/>
                <w:b w:val="0"/>
                <w:sz w:val="21"/>
              </w:rPr>
              <w:t xml:space="preserve">408.3±20.7</w:t>
            </w:r>
          </w:p>
        </w:tc>
        <w:tc>
          <w:tcPr>
            <w:tcW w:type="dxa" w:w="1758"/>
          </w:tcPr>
          <w:p>
            <w:pPr>
              <w:spacing w:line="240" w:lineRule="auto" w:after="40"/>
              <w:jc w:val="center"/>
            </w:pPr>
            <w:r>
              <w:rPr>
                <w:rFonts w:ascii="Times New Roman" w:hAnsi="Times New Roman" w:eastAsia="宋体"/>
                <w:b w:val="0"/>
                <w:sz w:val="21"/>
              </w:rPr>
              <w:t xml:space="preserve">8409.1±7.3</w:t>
            </w:r>
          </w:p>
        </w:tc>
        <w:tc>
          <w:tcPr>
            <w:tcW w:type="dxa" w:w="1758"/>
          </w:tcPr>
          <w:p>
            <w:pPr>
              <w:spacing w:line="240" w:lineRule="auto" w:after="40"/>
              <w:jc w:val="center"/>
            </w:pPr>
            <w:r>
              <w:rPr>
                <w:rFonts w:ascii="Times New Roman" w:hAnsi="Times New Roman" w:eastAsia="宋体"/>
                <w:b w:val="0"/>
                <w:sz w:val="21"/>
              </w:rPr>
              <w:t xml:space="preserve">263.1±10.7</w:t>
            </w:r>
          </w:p>
        </w:tc>
        <w:tc>
          <w:tcPr>
            <w:tcW w:type="dxa" w:w="1758"/>
          </w:tcPr>
          <w:p>
            <w:pPr>
              <w:spacing w:line="240" w:lineRule="auto" w:after="40"/>
              <w:jc w:val="center"/>
            </w:pPr>
            <w:r>
              <w:rPr>
                <w:rFonts w:ascii="Times New Roman" w:hAnsi="Times New Roman" w:eastAsia="宋体"/>
                <w:b w:val="0"/>
                <w:sz w:val="21"/>
              </w:rPr>
              <w:t xml:space="preserve">不含结算</w:t>
            </w:r>
          </w:p>
        </w:tc>
      </w:tr>
      <w:tr>
        <w:trPr>
          <w:cantSplit/>
        </w:trPr>
        <w:tc>
          <w:tcPr>
            <w:tcW w:type="dxa" w:w="1758"/>
          </w:tcPr>
          <w:p>
            <w:pPr>
              <w:spacing w:line="240" w:lineRule="auto" w:after="40"/>
              <w:jc w:val="center"/>
            </w:pPr>
            <w:r>
              <w:rPr>
                <w:rFonts w:ascii="Times New Roman" w:hAnsi="Times New Roman" w:eastAsia="宋体"/>
                <w:b w:val="0"/>
                <w:sz w:val="21"/>
              </w:rPr>
              <w:t xml:space="preserve">共池 2</w:t>
            </w:r>
          </w:p>
        </w:tc>
        <w:tc>
          <w:tcPr>
            <w:tcW w:type="dxa" w:w="1758"/>
          </w:tcPr>
          <w:p>
            <w:pPr>
              <w:spacing w:line="240" w:lineRule="auto" w:after="40"/>
              <w:jc w:val="center"/>
            </w:pPr>
            <w:r>
              <w:rPr>
                <w:rFonts w:ascii="Times New Roman" w:hAnsi="Times New Roman" w:eastAsia="宋体"/>
                <w:b w:val="0"/>
                <w:sz w:val="21"/>
              </w:rPr>
              <w:t xml:space="preserve">427.0±8.8</w:t>
            </w:r>
          </w:p>
        </w:tc>
        <w:tc>
          <w:tcPr>
            <w:tcW w:type="dxa" w:w="1758"/>
          </w:tcPr>
          <w:p>
            <w:pPr>
              <w:spacing w:line="240" w:lineRule="auto" w:after="40"/>
              <w:jc w:val="center"/>
            </w:pPr>
            <w:r>
              <w:rPr>
                <w:rFonts w:ascii="Times New Roman" w:hAnsi="Times New Roman" w:eastAsia="宋体"/>
                <w:b w:val="0"/>
                <w:sz w:val="21"/>
              </w:rPr>
              <w:t xml:space="preserve">8435.5±7.2</w:t>
            </w:r>
          </w:p>
        </w:tc>
        <w:tc>
          <w:tcPr>
            <w:tcW w:type="dxa" w:w="1758"/>
          </w:tcPr>
          <w:p>
            <w:pPr>
              <w:spacing w:line="240" w:lineRule="auto" w:after="40"/>
              <w:jc w:val="center"/>
            </w:pPr>
            <w:r>
              <w:rPr>
                <w:rFonts w:ascii="Times New Roman" w:hAnsi="Times New Roman" w:eastAsia="宋体"/>
                <w:b w:val="0"/>
                <w:sz w:val="21"/>
              </w:rPr>
              <w:t xml:space="preserve">240.0±4.6</w:t>
            </w:r>
          </w:p>
        </w:tc>
        <w:tc>
          <w:tcPr>
            <w:tcW w:type="dxa" w:w="1758"/>
          </w:tcPr>
          <w:p>
            <w:pPr>
              <w:spacing w:line="240" w:lineRule="auto" w:after="40"/>
              <w:jc w:val="center"/>
            </w:pPr>
            <w:r>
              <w:rPr>
                <w:rFonts w:ascii="Times New Roman" w:hAnsi="Times New Roman" w:eastAsia="宋体"/>
                <w:b w:val="0"/>
                <w:sz w:val="21"/>
              </w:rPr>
              <w:t xml:space="preserve">不含结算</w:t>
            </w:r>
          </w:p>
        </w:tc>
      </w:tr>
    </w:tbl>
    <w:p>
      <w:pPr>
        <w:ind w:firstLine="0"/>
        <w:jc w:val="center"/>
        <w:keepNext w:val="1"/>
        <w:keepLines w:val="1"/>
      </w:pPr>
      <w:r>
        <w:drawing>
          <wp:inline xmlns:a="http://schemas.openxmlformats.org/drawingml/2006/main" xmlns:pic="http://schemas.openxmlformats.org/drawingml/2006/picture">
            <wp:extent cx="5220000" cy="2167927"/>
            <wp:docPr id="5" name="Picture 5" descr="图5 第三轮修订后图形，数据与说明见正文图注"/>
            <wp:cNvGraphicFramePr>
              <a:graphicFrameLocks noChangeAspect="1"/>
            </wp:cNvGraphicFramePr>
            <a:graphic>
              <a:graphicData uri="http://schemas.openxmlformats.org/drawingml/2006/picture">
                <pic:pic>
                  <pic:nvPicPr>
                    <pic:cNvPr id="0" name="rev2_pricepool_gear.png"/>
                    <pic:cNvPicPr/>
                  </pic:nvPicPr>
                  <pic:blipFill>
                    <a:blip r:embed="rId13"/>
                    <a:stretch>
                      <a:fillRect/>
                    </a:stretch>
                  </pic:blipFill>
                  <pic:spPr>
                    <a:xfrm>
                      <a:off x="0" y="0"/>
                      <a:ext cx="5220000" cy="2167927"/>
                    </a:xfrm>
                    <a:prstGeom prst="rect"/>
                  </pic:spPr>
                </pic:pic>
              </a:graphicData>
            </a:graphic>
          </wp:inline>
        </w:drawing>
      </w:r>
    </w:p>
    <w:p>
      <w:pPr>
        <w:spacing w:line="240" w:lineRule="auto" w:before="120" w:after="120"/>
        <w:ind w:firstLine="0"/>
        <w:jc w:val="center"/>
        <w:keepNext w:val="0"/>
        <w:keepLines w:val="1"/>
      </w:pPr>
      <w:r>
        <w:rPr>
          <w:rFonts w:ascii="Times New Roman" w:hAnsi="Times New Roman" w:eastAsia="宋体"/>
          <w:b w:val="0"/>
          <w:sz w:val="21"/>
        </w:rPr>
        <w:t xml:space="preserve">图5　归档候选池中的四档碳价响应。各点为四运行均值，误差棒为分母n的标准差；成本不含碳结算，横轴按采样档位排列，不对档间阈值插值</w:t>
      </w:r>
    </w:p>
    <w:p>
      <w:pPr>
        <w:spacing w:before="120" w:after="60"/>
        <w:ind w:firstLine="0"/>
        <w:jc w:val="left"/>
        <w:keepNext w:val="1"/>
        <w:keepLines w:val="1"/>
      </w:pPr>
      <w:r>
        <w:rPr>
          <w:rFonts w:ascii="Times New Roman" w:hAnsi="Times New Roman" w:eastAsia="黑体"/>
          <w:b w:val="0"/>
          <w:sz w:val="28"/>
        </w:rPr>
        <w:t>3.5　时序判别：班次窗口相对电价时段的位置</w:t>
      </w:r>
    </w:p>
    <w:p>
      <w:pPr>
        <w:spacing w:line="360" w:lineRule="auto" w:after="0"/>
        <w:ind w:firstLine="480"/>
        <w:jc w:val="both"/>
      </w:pPr>
      <w:r>
        <w:rPr>
          <w:rFonts w:ascii="Times New Roman" w:hAnsi="Times New Roman" w:eastAsia="宋体"/>
          <w:b w:val="0"/>
          <w:sz w:val="24"/>
        </w:rPr>
        <w:t xml:space="preserve">表6与图6比较三个班次起点。00:00开班时，整合代表点的完工为382.8 min，加工与待机电量489.4 kWh均处于首谷段，无工序跨电价边界；BASE完工为427.1 min，尾部越入平段1.7 kWh，含两道跨界工序。主比较的507.2 kWh谷段电量来自3.2节的另一代表点。该原点下两组主要在谷价水平内运行，不能将成本差概括为显著峰谷转移。</w:t>
      </w:r>
    </w:p>
    <w:p>
      <w:pPr>
        <w:spacing w:line="360" w:lineRule="auto" w:after="0"/>
        <w:ind w:firstLine="480"/>
        <w:jc w:val="both"/>
      </w:pPr>
      <w:r>
        <w:rPr>
          <w:rFonts w:ascii="Times New Roman" w:hAnsi="Times New Roman" w:eastAsia="宋体"/>
          <w:b w:val="0"/>
          <w:sz w:val="24"/>
        </w:rPr>
        <w:t xml:space="preserve">06:00开班时，整合模型相对BASE的谷段电量由36.8增至52.8 kWh，平段由231.2降至203.9 kWh，成本下降约0.7%、碳排下降约2.0%。08:00开班时，峰段电量由293.0降至137.8 kWh，并出现152.2 kWh夜谷电量，成本下降约1.7%、碳排下降约7.4%，同时完工由476.3延长至998.9 min。该变化由排序、机床指派与速度重优化共同产生的时序改变实现，不表示解码器新增了主动等待变量。</w:t>
      </w:r>
    </w:p>
    <w:p>
      <w:pPr>
        <w:spacing w:line="360" w:lineRule="auto" w:after="0"/>
        <w:ind w:firstLine="480"/>
        <w:jc w:val="both"/>
      </w:pPr>
      <w:r>
        <w:rPr>
          <w:rFonts w:ascii="Times New Roman" w:hAnsi="Times New Roman" w:eastAsia="宋体"/>
          <w:b w:val="0"/>
          <w:sz w:val="24"/>
        </w:rPr>
        <w:t xml:space="preserve">Mk04在所测三个起点下未到达夜谷，08:00场景的峰段电量由12.7升至14.1 kWh，成本排放权衡保持同号。因此，起点移位改变了齿轮轴所测情景中的权衡方向，而在Mk04未出现相同变化。窗口长度与实例负载结构可以作为解释线索，但本实验没有独立操纵长度，不能据此建立必要条件。模型排放因子固定，所述减排来自总电量变化，而非夜谷每度电排放因子的变化。</w:t>
      </w:r>
    </w:p>
    <w:p>
      <w:pPr>
        <w:spacing w:line="240" w:lineRule="auto" w:before="120" w:after="120"/>
        <w:ind w:firstLine="0"/>
        <w:jc w:val="center"/>
        <w:keepNext w:val="1"/>
        <w:keepLines w:val="1"/>
      </w:pPr>
      <w:r>
        <w:rPr>
          <w:rFonts w:ascii="Times New Roman" w:hAnsi="Times New Roman" w:eastAsia="宋体"/>
          <w:b w:val="0"/>
          <w:sz w:val="21"/>
        </w:rPr>
        <w:t>表6　移位原点实验，齿轮轴案例，电量按峰平谷分解并记录跨电价边界工序数</w:t>
      </w:r>
    </w:p>
    <w:tbl>
      <w:tblPr>
        <w:tblW w:type="auto" w:w="0"/>
        <w:jc w:val="center"/>
        <w:tblLook w:firstColumn="1" w:firstRow="1" w:lastColumn="0" w:lastRow="0" w:noHBand="0" w:noVBand="1" w:val="04A0"/>
        <w:tblBorders>
          <w:top w:val="single" w:sz="12" w:space="0" w:color="000000"/>
          <w:bottom w:val="single" w:sz="12" w:space="0" w:color="000000"/>
          <w:insideH w:val="none"/>
          <w:left w:val="none"/>
          <w:right w:val="none"/>
          <w:insideV w:val="none"/>
        </w:tblBorders>
      </w:tblPr>
      <w:tblGrid>
        <w:gridCol w:w="976"/>
        <w:gridCol w:w="976"/>
        <w:gridCol w:w="976"/>
        <w:gridCol w:w="976"/>
        <w:gridCol w:w="976"/>
        <w:gridCol w:w="976"/>
        <w:gridCol w:w="976"/>
        <w:gridCol w:w="976"/>
        <w:gridCol w:w="976"/>
      </w:tblGrid>
      <w:tr>
        <w:trPr>
          <w:cantSplit/>
          <w:tblHeader/>
        </w:trPr>
        <w:tc>
          <w:tcPr>
            <w:tcW w:type="dxa" w:w="976"/>
            <w:tcBorders>
              <w:bottom w:val="single" w:sz="6" w:color="000000"/>
            </w:tcBorders>
          </w:tcPr>
          <w:p>
            <w:pPr>
              <w:spacing w:line="240" w:lineRule="auto" w:after="40"/>
              <w:jc w:val="center"/>
              <w:keepNext w:val="1"/>
            </w:pPr>
            <w:r/>
            <w:r>
              <w:rPr>
                <w:rFonts w:ascii="Times New Roman" w:hAnsi="Times New Roman" w:eastAsia="宋体"/>
                <w:b/>
                <w:sz w:val="21"/>
              </w:rPr>
              <w:t>原点</w:t>
            </w:r>
          </w:p>
        </w:tc>
        <w:tc>
          <w:tcPr>
            <w:tcW w:type="dxa" w:w="976"/>
            <w:tcBorders>
              <w:bottom w:val="single" w:sz="6" w:color="000000"/>
            </w:tcBorders>
          </w:tcPr>
          <w:p>
            <w:pPr>
              <w:spacing w:line="240" w:lineRule="auto" w:after="40"/>
              <w:jc w:val="center"/>
              <w:keepNext w:val="1"/>
            </w:pPr>
            <w:r/>
            <w:r>
              <w:rPr>
                <w:rFonts w:ascii="Times New Roman" w:hAnsi="Times New Roman" w:eastAsia="宋体"/>
                <w:b/>
                <w:sz w:val="21"/>
              </w:rPr>
              <w:t>模型</w:t>
            </w:r>
          </w:p>
        </w:tc>
        <w:tc>
          <w:tcPr>
            <w:tcW w:type="dxa" w:w="976"/>
            <w:tcBorders>
              <w:bottom w:val="single" w:sz="6" w:color="000000"/>
            </w:tcBorders>
          </w:tcPr>
          <w:p>
            <w:pPr>
              <w:spacing w:line="240" w:lineRule="auto" w:after="40"/>
              <w:jc w:val="center"/>
              <w:keepNext w:val="1"/>
            </w:pPr>
            <w:r/>
            <w:r>
              <w:rPr>
                <w:rFonts w:ascii="Times New Roman" w:hAnsi="Times New Roman" w:eastAsia="宋体"/>
                <w:b/>
                <w:sz w:val="21"/>
              </w:rPr>
              <w:t>完工 min</w:t>
            </w:r>
          </w:p>
        </w:tc>
        <w:tc>
          <w:tcPr>
            <w:tcW w:type="dxa" w:w="976"/>
            <w:tcBorders>
              <w:bottom w:val="single" w:sz="6" w:color="000000"/>
            </w:tcBorders>
          </w:tcPr>
          <w:p>
            <w:pPr>
              <w:spacing w:line="240" w:lineRule="auto" w:after="40"/>
              <w:jc w:val="center"/>
              <w:keepNext w:val="1"/>
            </w:pPr>
            <w:r/>
            <w:r>
              <w:rPr>
                <w:rFonts w:ascii="Times New Roman" w:hAnsi="Times New Roman" w:eastAsia="宋体"/>
                <w:b/>
                <w:sz w:val="21"/>
              </w:rPr>
              <w:t>总成本 元</w:t>
            </w:r>
          </w:p>
        </w:tc>
        <w:tc>
          <w:tcPr>
            <w:tcW w:type="dxa" w:w="976"/>
            <w:tcBorders>
              <w:bottom w:val="single" w:sz="6" w:color="000000"/>
            </w:tcBorders>
          </w:tcPr>
          <w:p>
            <w:pPr>
              <w:spacing w:line="240" w:lineRule="auto" w:after="40"/>
              <w:jc w:val="center"/>
              <w:keepNext w:val="1"/>
            </w:pPr>
            <w:r/>
            <w:r>
              <w:rPr>
                <w:rFonts w:ascii="Times New Roman" w:hAnsi="Times New Roman" w:eastAsia="宋体"/>
                <w:b/>
                <w:sz w:val="21"/>
              </w:rPr>
              <w:t>碳排 kgCO2</w:t>
            </w:r>
          </w:p>
        </w:tc>
        <w:tc>
          <w:tcPr>
            <w:tcW w:type="dxa" w:w="976"/>
            <w:tcBorders>
              <w:bottom w:val="single" w:sz="6" w:color="000000"/>
            </w:tcBorders>
          </w:tcPr>
          <w:p>
            <w:pPr>
              <w:spacing w:line="240" w:lineRule="auto" w:after="40"/>
              <w:jc w:val="center"/>
              <w:keepNext w:val="1"/>
            </w:pPr>
            <w:r/>
            <w:r>
              <w:rPr>
                <w:rFonts w:ascii="Times New Roman" w:hAnsi="Times New Roman" w:eastAsia="宋体"/>
                <w:b/>
                <w:sz w:val="21"/>
              </w:rPr>
              <w:t>谷 kWh</w:t>
            </w:r>
          </w:p>
        </w:tc>
        <w:tc>
          <w:tcPr>
            <w:tcW w:type="dxa" w:w="976"/>
            <w:tcBorders>
              <w:bottom w:val="single" w:sz="6" w:color="000000"/>
            </w:tcBorders>
          </w:tcPr>
          <w:p>
            <w:pPr>
              <w:spacing w:line="240" w:lineRule="auto" w:after="40"/>
              <w:jc w:val="center"/>
              <w:keepNext w:val="1"/>
            </w:pPr>
            <w:r/>
            <w:r>
              <w:rPr>
                <w:rFonts w:ascii="Times New Roman" w:hAnsi="Times New Roman" w:eastAsia="宋体"/>
                <w:b/>
                <w:sz w:val="21"/>
              </w:rPr>
              <w:t>平 kWh</w:t>
            </w:r>
          </w:p>
        </w:tc>
        <w:tc>
          <w:tcPr>
            <w:tcW w:type="dxa" w:w="976"/>
            <w:tcBorders>
              <w:bottom w:val="single" w:sz="6" w:color="000000"/>
            </w:tcBorders>
          </w:tcPr>
          <w:p>
            <w:pPr>
              <w:spacing w:line="240" w:lineRule="auto" w:after="40"/>
              <w:jc w:val="center"/>
              <w:keepNext w:val="1"/>
            </w:pPr>
            <w:r/>
            <w:r>
              <w:rPr>
                <w:rFonts w:ascii="Times New Roman" w:hAnsi="Times New Roman" w:eastAsia="宋体"/>
                <w:b/>
                <w:sz w:val="21"/>
              </w:rPr>
              <w:t>峰 kWh</w:t>
            </w:r>
          </w:p>
        </w:tc>
        <w:tc>
          <w:tcPr>
            <w:tcW w:type="dxa" w:w="976"/>
            <w:tcBorders>
              <w:bottom w:val="single" w:sz="6" w:color="000000"/>
            </w:tcBorders>
          </w:tcPr>
          <w:p>
            <w:pPr>
              <w:spacing w:line="240" w:lineRule="auto" w:after="40"/>
              <w:jc w:val="center"/>
              <w:keepNext w:val="1"/>
            </w:pPr>
            <w:r/>
            <w:r>
              <w:rPr>
                <w:rFonts w:ascii="Times New Roman" w:hAnsi="Times New Roman" w:eastAsia="宋体"/>
                <w:b/>
                <w:sz w:val="21"/>
              </w:rPr>
              <w:t>跨边界工序</w:t>
            </w:r>
          </w:p>
        </w:tc>
      </w:tr>
      <w:tr>
        <w:trPr>
          <w:cantSplit/>
        </w:trPr>
        <w:tc>
          <w:tcPr>
            <w:tcW w:type="dxa" w:w="976"/>
          </w:tcPr>
          <w:p>
            <w:pPr>
              <w:spacing w:line="240" w:lineRule="auto" w:after="40"/>
              <w:jc w:val="center"/>
              <w:keepNext w:val="1"/>
            </w:pPr>
            <w:r/>
            <w:r>
              <w:rPr>
                <w:rFonts w:ascii="Times New Roman" w:hAnsi="Times New Roman" w:eastAsia="宋体"/>
                <w:b w:val="0"/>
                <w:sz w:val="21"/>
              </w:rPr>
              <w:t>00:00</w:t>
            </w:r>
          </w:p>
        </w:tc>
        <w:tc>
          <w:tcPr>
            <w:tcW w:type="dxa" w:w="976"/>
          </w:tcPr>
          <w:p>
            <w:pPr>
              <w:spacing w:line="240" w:lineRule="auto" w:after="40"/>
              <w:jc w:val="center"/>
              <w:keepNext w:val="1"/>
            </w:pPr>
            <w:r/>
            <w:r>
              <w:rPr>
                <w:rFonts w:ascii="Times New Roman" w:hAnsi="Times New Roman" w:eastAsia="宋体"/>
                <w:b w:val="0"/>
                <w:sz w:val="21"/>
              </w:rPr>
              <w:t>平价基线</w:t>
            </w:r>
          </w:p>
        </w:tc>
        <w:tc>
          <w:tcPr>
            <w:tcW w:type="dxa" w:w="976"/>
          </w:tcPr>
          <w:p>
            <w:pPr>
              <w:spacing w:line="240" w:lineRule="auto" w:after="40"/>
              <w:jc w:val="center"/>
              <w:keepNext w:val="1"/>
            </w:pPr>
            <w:r/>
            <w:r>
              <w:rPr>
                <w:rFonts w:ascii="Times New Roman" w:hAnsi="Times New Roman" w:eastAsia="宋体"/>
                <w:b w:val="0"/>
                <w:sz w:val="21"/>
              </w:rPr>
              <w:t>427.1</w:t>
            </w:r>
          </w:p>
        </w:tc>
        <w:tc>
          <w:tcPr>
            <w:tcW w:type="dxa" w:w="976"/>
          </w:tcPr>
          <w:p>
            <w:pPr>
              <w:spacing w:line="240" w:lineRule="auto" w:after="40"/>
              <w:jc w:val="center"/>
              <w:keepNext w:val="1"/>
            </w:pPr>
            <w:r/>
            <w:r>
              <w:rPr>
                <w:rFonts w:ascii="Times New Roman" w:hAnsi="Times New Roman" w:eastAsia="宋体"/>
                <w:b w:val="0"/>
                <w:sz w:val="21"/>
              </w:rPr>
              <w:t>8488.4</w:t>
            </w:r>
          </w:p>
        </w:tc>
        <w:tc>
          <w:tcPr>
            <w:tcW w:type="dxa" w:w="976"/>
          </w:tcPr>
          <w:p>
            <w:pPr>
              <w:spacing w:line="240" w:lineRule="auto" w:after="40"/>
              <w:jc w:val="center"/>
              <w:keepNext w:val="1"/>
            </w:pPr>
            <w:r/>
            <w:r>
              <w:rPr>
                <w:rFonts w:ascii="Times New Roman" w:hAnsi="Times New Roman" w:eastAsia="宋体"/>
                <w:b w:val="0"/>
                <w:sz w:val="21"/>
              </w:rPr>
              <w:t>241.9</w:t>
            </w:r>
          </w:p>
        </w:tc>
        <w:tc>
          <w:tcPr>
            <w:tcW w:type="dxa" w:w="976"/>
          </w:tcPr>
          <w:p>
            <w:pPr>
              <w:spacing w:line="240" w:lineRule="auto" w:after="40"/>
              <w:jc w:val="center"/>
              <w:keepNext w:val="1"/>
            </w:pPr>
            <w:r/>
            <w:r>
              <w:rPr>
                <w:rFonts w:ascii="Times New Roman" w:hAnsi="Times New Roman" w:eastAsia="宋体"/>
                <w:b w:val="0"/>
                <w:sz w:val="21"/>
              </w:rPr>
              <w:t>421.6</w:t>
            </w:r>
          </w:p>
        </w:tc>
        <w:tc>
          <w:tcPr>
            <w:tcW w:type="dxa" w:w="976"/>
          </w:tcPr>
          <w:p>
            <w:pPr>
              <w:spacing w:line="240" w:lineRule="auto" w:after="40"/>
              <w:jc w:val="center"/>
              <w:keepNext w:val="1"/>
            </w:pPr>
            <w:r/>
            <w:r>
              <w:rPr>
                <w:rFonts w:ascii="Times New Roman" w:hAnsi="Times New Roman" w:eastAsia="宋体"/>
                <w:b w:val="0"/>
                <w:sz w:val="21"/>
              </w:rPr>
              <w:t>1.7</w:t>
            </w:r>
          </w:p>
        </w:tc>
        <w:tc>
          <w:tcPr>
            <w:tcW w:type="dxa" w:w="976"/>
          </w:tcPr>
          <w:p>
            <w:pPr>
              <w:spacing w:line="240" w:lineRule="auto" w:after="40"/>
              <w:jc w:val="center"/>
              <w:keepNext w:val="1"/>
            </w:pPr>
            <w:r/>
            <w:r>
              <w:rPr>
                <w:rFonts w:ascii="Times New Roman" w:hAnsi="Times New Roman" w:eastAsia="宋体"/>
                <w:b w:val="0"/>
                <w:sz w:val="21"/>
              </w:rPr>
              <w:t>0</w:t>
            </w:r>
          </w:p>
        </w:tc>
        <w:tc>
          <w:tcPr>
            <w:tcW w:type="dxa" w:w="976"/>
          </w:tcPr>
          <w:p>
            <w:pPr>
              <w:spacing w:line="240" w:lineRule="auto" w:after="40"/>
              <w:jc w:val="center"/>
              <w:keepNext w:val="1"/>
            </w:pPr>
            <w:r/>
            <w:r>
              <w:rPr>
                <w:rFonts w:ascii="Times New Roman" w:hAnsi="Times New Roman" w:eastAsia="宋体"/>
                <w:b w:val="0"/>
                <w:sz w:val="21"/>
              </w:rPr>
              <w:t>2</w:t>
            </w:r>
          </w:p>
        </w:tc>
      </w:tr>
      <w:tr>
        <w:trPr>
          <w:cantSplit/>
        </w:trPr>
        <w:tc>
          <w:tcPr>
            <w:tcW w:type="dxa" w:w="976"/>
          </w:tcPr>
          <w:p>
            <w:pPr>
              <w:spacing w:line="240" w:lineRule="auto" w:after="40"/>
              <w:jc w:val="center"/>
              <w:keepNext w:val="1"/>
            </w:pPr>
            <w:r/>
            <w:r>
              <w:rPr>
                <w:rFonts w:ascii="Times New Roman" w:hAnsi="Times New Roman" w:eastAsia="宋体"/>
                <w:b w:val="0"/>
                <w:sz w:val="21"/>
              </w:rPr>
              <w:t>00:00</w:t>
            </w:r>
          </w:p>
        </w:tc>
        <w:tc>
          <w:tcPr>
            <w:tcW w:type="dxa" w:w="976"/>
          </w:tcPr>
          <w:p>
            <w:pPr>
              <w:spacing w:line="240" w:lineRule="auto" w:after="40"/>
              <w:jc w:val="center"/>
              <w:keepNext w:val="1"/>
            </w:pPr>
            <w:r/>
            <w:r>
              <w:rPr>
                <w:rFonts w:ascii="Times New Roman" w:hAnsi="Times New Roman" w:eastAsia="宋体"/>
                <w:b w:val="0"/>
                <w:sz w:val="21"/>
              </w:rPr>
              <w:t>整合模型</w:t>
            </w:r>
          </w:p>
        </w:tc>
        <w:tc>
          <w:tcPr>
            <w:tcW w:type="dxa" w:w="976"/>
          </w:tcPr>
          <w:p>
            <w:pPr>
              <w:spacing w:line="240" w:lineRule="auto" w:after="40"/>
              <w:jc w:val="center"/>
              <w:keepNext w:val="1"/>
            </w:pPr>
            <w:r/>
            <w:r>
              <w:rPr>
                <w:rFonts w:ascii="Times New Roman" w:hAnsi="Times New Roman" w:eastAsia="宋体"/>
                <w:b w:val="0"/>
                <w:sz w:val="21"/>
              </w:rPr>
              <w:t>382.8</w:t>
            </w:r>
          </w:p>
        </w:tc>
        <w:tc>
          <w:tcPr>
            <w:tcW w:type="dxa" w:w="976"/>
          </w:tcPr>
          <w:p>
            <w:pPr>
              <w:spacing w:line="240" w:lineRule="auto" w:after="40"/>
              <w:jc w:val="center"/>
              <w:keepNext w:val="1"/>
            </w:pPr>
            <w:r/>
            <w:r>
              <w:rPr>
                <w:rFonts w:ascii="Times New Roman" w:hAnsi="Times New Roman" w:eastAsia="宋体"/>
                <w:b w:val="0"/>
                <w:sz w:val="21"/>
              </w:rPr>
              <w:t>8400.3</w:t>
            </w:r>
          </w:p>
        </w:tc>
        <w:tc>
          <w:tcPr>
            <w:tcW w:type="dxa" w:w="976"/>
          </w:tcPr>
          <w:p>
            <w:pPr>
              <w:spacing w:line="240" w:lineRule="auto" w:after="40"/>
              <w:jc w:val="center"/>
              <w:keepNext w:val="1"/>
            </w:pPr>
            <w:r/>
            <w:r>
              <w:rPr>
                <w:rFonts w:ascii="Times New Roman" w:hAnsi="Times New Roman" w:eastAsia="宋体"/>
                <w:b w:val="0"/>
                <w:sz w:val="21"/>
              </w:rPr>
              <w:t>279.6</w:t>
            </w:r>
          </w:p>
        </w:tc>
        <w:tc>
          <w:tcPr>
            <w:tcW w:type="dxa" w:w="976"/>
          </w:tcPr>
          <w:p>
            <w:pPr>
              <w:spacing w:line="240" w:lineRule="auto" w:after="40"/>
              <w:jc w:val="center"/>
              <w:keepNext w:val="1"/>
            </w:pPr>
            <w:r/>
            <w:r>
              <w:rPr>
                <w:rFonts w:ascii="Times New Roman" w:hAnsi="Times New Roman" w:eastAsia="宋体"/>
                <w:b w:val="0"/>
                <w:sz w:val="21"/>
              </w:rPr>
              <w:t>489.4</w:t>
            </w:r>
          </w:p>
        </w:tc>
        <w:tc>
          <w:tcPr>
            <w:tcW w:type="dxa" w:w="976"/>
          </w:tcPr>
          <w:p>
            <w:pPr>
              <w:spacing w:line="240" w:lineRule="auto" w:after="40"/>
              <w:jc w:val="center"/>
              <w:keepNext w:val="1"/>
            </w:pPr>
            <w:r/>
            <w:r>
              <w:rPr>
                <w:rFonts w:ascii="Times New Roman" w:hAnsi="Times New Roman" w:eastAsia="宋体"/>
                <w:b w:val="0"/>
                <w:sz w:val="21"/>
              </w:rPr>
              <w:t>0</w:t>
            </w:r>
          </w:p>
        </w:tc>
        <w:tc>
          <w:tcPr>
            <w:tcW w:type="dxa" w:w="976"/>
          </w:tcPr>
          <w:p>
            <w:pPr>
              <w:spacing w:line="240" w:lineRule="auto" w:after="40"/>
              <w:jc w:val="center"/>
              <w:keepNext w:val="1"/>
            </w:pPr>
            <w:r/>
            <w:r>
              <w:rPr>
                <w:rFonts w:ascii="Times New Roman" w:hAnsi="Times New Roman" w:eastAsia="宋体"/>
                <w:b w:val="0"/>
                <w:sz w:val="21"/>
              </w:rPr>
              <w:t>0</w:t>
            </w:r>
          </w:p>
        </w:tc>
        <w:tc>
          <w:tcPr>
            <w:tcW w:type="dxa" w:w="976"/>
          </w:tcPr>
          <w:p>
            <w:pPr>
              <w:spacing w:line="240" w:lineRule="auto" w:after="40"/>
              <w:jc w:val="center"/>
              <w:keepNext w:val="1"/>
            </w:pPr>
            <w:r/>
            <w:r>
              <w:rPr>
                <w:rFonts w:ascii="Times New Roman" w:hAnsi="Times New Roman" w:eastAsia="宋体"/>
                <w:b w:val="0"/>
                <w:sz w:val="21"/>
              </w:rPr>
              <w:t>0</w:t>
            </w:r>
          </w:p>
        </w:tc>
      </w:tr>
      <w:tr>
        <w:trPr>
          <w:cantSplit/>
        </w:trPr>
        <w:tc>
          <w:tcPr>
            <w:tcW w:type="dxa" w:w="976"/>
          </w:tcPr>
          <w:p>
            <w:pPr>
              <w:spacing w:line="240" w:lineRule="auto" w:after="40"/>
              <w:jc w:val="center"/>
              <w:keepNext w:val="1"/>
            </w:pPr>
            <w:r/>
            <w:r>
              <w:rPr>
                <w:rFonts w:ascii="Times New Roman" w:hAnsi="Times New Roman" w:eastAsia="宋体"/>
                <w:b w:val="0"/>
                <w:sz w:val="21"/>
              </w:rPr>
              <w:t>06:00</w:t>
            </w:r>
          </w:p>
        </w:tc>
        <w:tc>
          <w:tcPr>
            <w:tcW w:type="dxa" w:w="976"/>
          </w:tcPr>
          <w:p>
            <w:pPr>
              <w:spacing w:line="240" w:lineRule="auto" w:after="40"/>
              <w:jc w:val="center"/>
              <w:keepNext w:val="1"/>
            </w:pPr>
            <w:r/>
            <w:r>
              <w:rPr>
                <w:rFonts w:ascii="Times New Roman" w:hAnsi="Times New Roman" w:eastAsia="宋体"/>
                <w:b w:val="0"/>
                <w:sz w:val="21"/>
              </w:rPr>
              <w:t>平价基线</w:t>
            </w:r>
          </w:p>
        </w:tc>
        <w:tc>
          <w:tcPr>
            <w:tcW w:type="dxa" w:w="976"/>
          </w:tcPr>
          <w:p>
            <w:pPr>
              <w:spacing w:line="240" w:lineRule="auto" w:after="40"/>
              <w:jc w:val="center"/>
              <w:keepNext w:val="1"/>
            </w:pPr>
            <w:r/>
            <w:r>
              <w:rPr>
                <w:rFonts w:ascii="Times New Roman" w:hAnsi="Times New Roman" w:eastAsia="宋体"/>
                <w:b w:val="0"/>
                <w:sz w:val="21"/>
              </w:rPr>
              <w:t>471.3</w:t>
            </w:r>
          </w:p>
        </w:tc>
        <w:tc>
          <w:tcPr>
            <w:tcW w:type="dxa" w:w="976"/>
          </w:tcPr>
          <w:p>
            <w:pPr>
              <w:spacing w:line="240" w:lineRule="auto" w:after="40"/>
              <w:jc w:val="center"/>
              <w:keepNext w:val="1"/>
            </w:pPr>
            <w:r/>
            <w:r>
              <w:rPr>
                <w:rFonts w:ascii="Times New Roman" w:hAnsi="Times New Roman" w:eastAsia="宋体"/>
                <w:b w:val="0"/>
                <w:sz w:val="21"/>
              </w:rPr>
              <w:t>8750.9</w:t>
            </w:r>
          </w:p>
        </w:tc>
        <w:tc>
          <w:tcPr>
            <w:tcW w:type="dxa" w:w="976"/>
          </w:tcPr>
          <w:p>
            <w:pPr>
              <w:spacing w:line="240" w:lineRule="auto" w:after="40"/>
              <w:jc w:val="center"/>
              <w:keepNext w:val="1"/>
            </w:pPr>
            <w:r/>
            <w:r>
              <w:rPr>
                <w:rFonts w:ascii="Times New Roman" w:hAnsi="Times New Roman" w:eastAsia="宋体"/>
                <w:b w:val="0"/>
                <w:sz w:val="21"/>
              </w:rPr>
              <w:t>241.2</w:t>
            </w:r>
          </w:p>
        </w:tc>
        <w:tc>
          <w:tcPr>
            <w:tcW w:type="dxa" w:w="976"/>
          </w:tcPr>
          <w:p>
            <w:pPr>
              <w:spacing w:line="240" w:lineRule="auto" w:after="40"/>
              <w:jc w:val="center"/>
              <w:keepNext w:val="1"/>
            </w:pPr>
            <w:r/>
            <w:r>
              <w:rPr>
                <w:rFonts w:ascii="Times New Roman" w:hAnsi="Times New Roman" w:eastAsia="宋体"/>
                <w:b w:val="0"/>
                <w:sz w:val="21"/>
              </w:rPr>
              <w:t>36.8</w:t>
            </w:r>
          </w:p>
        </w:tc>
        <w:tc>
          <w:tcPr>
            <w:tcW w:type="dxa" w:w="976"/>
          </w:tcPr>
          <w:p>
            <w:pPr>
              <w:spacing w:line="240" w:lineRule="auto" w:after="40"/>
              <w:jc w:val="center"/>
              <w:keepNext w:val="1"/>
            </w:pPr>
            <w:r/>
            <w:r>
              <w:rPr>
                <w:rFonts w:ascii="Times New Roman" w:hAnsi="Times New Roman" w:eastAsia="宋体"/>
                <w:b w:val="0"/>
                <w:sz w:val="21"/>
              </w:rPr>
              <w:t>231.2</w:t>
            </w:r>
          </w:p>
        </w:tc>
        <w:tc>
          <w:tcPr>
            <w:tcW w:type="dxa" w:w="976"/>
          </w:tcPr>
          <w:p>
            <w:pPr>
              <w:spacing w:line="240" w:lineRule="auto" w:after="40"/>
              <w:jc w:val="center"/>
              <w:keepNext w:val="1"/>
            </w:pPr>
            <w:r/>
            <w:r>
              <w:rPr>
                <w:rFonts w:ascii="Times New Roman" w:hAnsi="Times New Roman" w:eastAsia="宋体"/>
                <w:b w:val="0"/>
                <w:sz w:val="21"/>
              </w:rPr>
              <w:t>154.1</w:t>
            </w:r>
          </w:p>
        </w:tc>
        <w:tc>
          <w:tcPr>
            <w:tcW w:type="dxa" w:w="976"/>
          </w:tcPr>
          <w:p>
            <w:pPr>
              <w:spacing w:line="240" w:lineRule="auto" w:after="40"/>
              <w:jc w:val="center"/>
              <w:keepNext w:val="1"/>
            </w:pPr>
            <w:r/>
            <w:r>
              <w:rPr>
                <w:rFonts w:ascii="Times New Roman" w:hAnsi="Times New Roman" w:eastAsia="宋体"/>
                <w:b w:val="0"/>
                <w:sz w:val="21"/>
              </w:rPr>
              <w:t>15</w:t>
            </w:r>
          </w:p>
        </w:tc>
      </w:tr>
      <w:tr>
        <w:trPr>
          <w:cantSplit/>
        </w:trPr>
        <w:tc>
          <w:tcPr>
            <w:tcW w:type="dxa" w:w="976"/>
          </w:tcPr>
          <w:p>
            <w:pPr>
              <w:spacing w:line="240" w:lineRule="auto" w:after="40"/>
              <w:jc w:val="center"/>
              <w:keepNext w:val="1"/>
            </w:pPr>
            <w:r/>
            <w:r>
              <w:rPr>
                <w:rFonts w:ascii="Times New Roman" w:hAnsi="Times New Roman" w:eastAsia="宋体"/>
                <w:b w:val="0"/>
                <w:sz w:val="21"/>
              </w:rPr>
              <w:t>06:00</w:t>
            </w:r>
          </w:p>
        </w:tc>
        <w:tc>
          <w:tcPr>
            <w:tcW w:type="dxa" w:w="976"/>
          </w:tcPr>
          <w:p>
            <w:pPr>
              <w:spacing w:line="240" w:lineRule="auto" w:after="40"/>
              <w:jc w:val="center"/>
              <w:keepNext w:val="1"/>
            </w:pPr>
            <w:r/>
            <w:r>
              <w:rPr>
                <w:rFonts w:ascii="Times New Roman" w:hAnsi="Times New Roman" w:eastAsia="宋体"/>
                <w:b w:val="0"/>
                <w:sz w:val="21"/>
              </w:rPr>
              <w:t>整合模型</w:t>
            </w:r>
          </w:p>
        </w:tc>
        <w:tc>
          <w:tcPr>
            <w:tcW w:type="dxa" w:w="976"/>
          </w:tcPr>
          <w:p>
            <w:pPr>
              <w:spacing w:line="240" w:lineRule="auto" w:after="40"/>
              <w:jc w:val="center"/>
              <w:keepNext w:val="1"/>
            </w:pPr>
            <w:r/>
            <w:r>
              <w:rPr>
                <w:rFonts w:ascii="Times New Roman" w:hAnsi="Times New Roman" w:eastAsia="宋体"/>
                <w:b w:val="0"/>
                <w:sz w:val="21"/>
              </w:rPr>
              <w:t>448.7</w:t>
            </w:r>
          </w:p>
        </w:tc>
        <w:tc>
          <w:tcPr>
            <w:tcW w:type="dxa" w:w="976"/>
          </w:tcPr>
          <w:p>
            <w:pPr>
              <w:spacing w:line="240" w:lineRule="auto" w:after="40"/>
              <w:jc w:val="center"/>
              <w:keepNext w:val="1"/>
            </w:pPr>
            <w:r/>
            <w:r>
              <w:rPr>
                <w:rFonts w:ascii="Times New Roman" w:hAnsi="Times New Roman" w:eastAsia="宋体"/>
                <w:b w:val="0"/>
                <w:sz w:val="21"/>
              </w:rPr>
              <w:t>8687.8</w:t>
            </w:r>
          </w:p>
        </w:tc>
        <w:tc>
          <w:tcPr>
            <w:tcW w:type="dxa" w:w="976"/>
          </w:tcPr>
          <w:p>
            <w:pPr>
              <w:spacing w:line="240" w:lineRule="auto" w:after="40"/>
              <w:jc w:val="center"/>
              <w:keepNext w:val="1"/>
            </w:pPr>
            <w:r/>
            <w:r>
              <w:rPr>
                <w:rFonts w:ascii="Times New Roman" w:hAnsi="Times New Roman" w:eastAsia="宋体"/>
                <w:b w:val="0"/>
                <w:sz w:val="21"/>
              </w:rPr>
              <w:t>236.3</w:t>
            </w:r>
          </w:p>
        </w:tc>
        <w:tc>
          <w:tcPr>
            <w:tcW w:type="dxa" w:w="976"/>
          </w:tcPr>
          <w:p>
            <w:pPr>
              <w:spacing w:line="240" w:lineRule="auto" w:after="40"/>
              <w:jc w:val="center"/>
              <w:keepNext w:val="1"/>
            </w:pPr>
            <w:r/>
            <w:r>
              <w:rPr>
                <w:rFonts w:ascii="Times New Roman" w:hAnsi="Times New Roman" w:eastAsia="宋体"/>
                <w:b w:val="0"/>
                <w:sz w:val="21"/>
              </w:rPr>
              <w:t>52.8</w:t>
            </w:r>
          </w:p>
        </w:tc>
        <w:tc>
          <w:tcPr>
            <w:tcW w:type="dxa" w:w="976"/>
          </w:tcPr>
          <w:p>
            <w:pPr>
              <w:spacing w:line="240" w:lineRule="auto" w:after="40"/>
              <w:jc w:val="center"/>
              <w:keepNext w:val="1"/>
            </w:pPr>
            <w:r/>
            <w:r>
              <w:rPr>
                <w:rFonts w:ascii="Times New Roman" w:hAnsi="Times New Roman" w:eastAsia="宋体"/>
                <w:b w:val="0"/>
                <w:sz w:val="21"/>
              </w:rPr>
              <w:t>203.9</w:t>
            </w:r>
          </w:p>
        </w:tc>
        <w:tc>
          <w:tcPr>
            <w:tcW w:type="dxa" w:w="976"/>
          </w:tcPr>
          <w:p>
            <w:pPr>
              <w:spacing w:line="240" w:lineRule="auto" w:after="40"/>
              <w:jc w:val="center"/>
              <w:keepNext w:val="1"/>
            </w:pPr>
            <w:r/>
            <w:r>
              <w:rPr>
                <w:rFonts w:ascii="Times New Roman" w:hAnsi="Times New Roman" w:eastAsia="宋体"/>
                <w:b w:val="0"/>
                <w:sz w:val="21"/>
              </w:rPr>
              <w:t>156.5</w:t>
            </w:r>
          </w:p>
        </w:tc>
        <w:tc>
          <w:tcPr>
            <w:tcW w:type="dxa" w:w="976"/>
          </w:tcPr>
          <w:p>
            <w:pPr>
              <w:spacing w:line="240" w:lineRule="auto" w:after="40"/>
              <w:jc w:val="center"/>
              <w:keepNext w:val="1"/>
            </w:pPr>
            <w:r/>
            <w:r>
              <w:rPr>
                <w:rFonts w:ascii="Times New Roman" w:hAnsi="Times New Roman" w:eastAsia="宋体"/>
                <w:b w:val="0"/>
                <w:sz w:val="21"/>
              </w:rPr>
              <w:t>16</w:t>
            </w:r>
          </w:p>
        </w:tc>
      </w:tr>
      <w:tr>
        <w:trPr>
          <w:cantSplit/>
        </w:trPr>
        <w:tc>
          <w:tcPr>
            <w:tcW w:type="dxa" w:w="976"/>
          </w:tcPr>
          <w:p>
            <w:pPr>
              <w:spacing w:line="240" w:lineRule="auto" w:after="40"/>
              <w:jc w:val="center"/>
              <w:keepNext w:val="1"/>
            </w:pPr>
            <w:r/>
            <w:r>
              <w:rPr>
                <w:rFonts w:ascii="Times New Roman" w:hAnsi="Times New Roman" w:eastAsia="宋体"/>
                <w:b w:val="0"/>
                <w:sz w:val="21"/>
              </w:rPr>
              <w:t>08:00</w:t>
            </w:r>
          </w:p>
        </w:tc>
        <w:tc>
          <w:tcPr>
            <w:tcW w:type="dxa" w:w="976"/>
          </w:tcPr>
          <w:p>
            <w:pPr>
              <w:spacing w:line="240" w:lineRule="auto" w:after="40"/>
              <w:jc w:val="center"/>
              <w:keepNext w:val="1"/>
            </w:pPr>
            <w:r/>
            <w:r>
              <w:rPr>
                <w:rFonts w:ascii="Times New Roman" w:hAnsi="Times New Roman" w:eastAsia="宋体"/>
                <w:b w:val="0"/>
                <w:sz w:val="21"/>
              </w:rPr>
              <w:t>平价基线</w:t>
            </w:r>
          </w:p>
        </w:tc>
        <w:tc>
          <w:tcPr>
            <w:tcW w:type="dxa" w:w="976"/>
          </w:tcPr>
          <w:p>
            <w:pPr>
              <w:spacing w:line="240" w:lineRule="auto" w:after="40"/>
              <w:jc w:val="center"/>
              <w:keepNext w:val="1"/>
            </w:pPr>
            <w:r/>
            <w:r>
              <w:rPr>
                <w:rFonts w:ascii="Times New Roman" w:hAnsi="Times New Roman" w:eastAsia="宋体"/>
                <w:b w:val="0"/>
                <w:sz w:val="21"/>
              </w:rPr>
              <w:t>476.3</w:t>
            </w:r>
          </w:p>
        </w:tc>
        <w:tc>
          <w:tcPr>
            <w:tcW w:type="dxa" w:w="976"/>
          </w:tcPr>
          <w:p>
            <w:pPr>
              <w:spacing w:line="240" w:lineRule="auto" w:after="40"/>
              <w:jc w:val="center"/>
              <w:keepNext w:val="1"/>
            </w:pPr>
            <w:r/>
            <w:r>
              <w:rPr>
                <w:rFonts w:ascii="Times New Roman" w:hAnsi="Times New Roman" w:eastAsia="宋体"/>
                <w:b w:val="0"/>
                <w:sz w:val="21"/>
              </w:rPr>
              <w:t>8832.9</w:t>
            </w:r>
          </w:p>
        </w:tc>
        <w:tc>
          <w:tcPr>
            <w:tcW w:type="dxa" w:w="976"/>
          </w:tcPr>
          <w:p>
            <w:pPr>
              <w:spacing w:line="240" w:lineRule="auto" w:after="40"/>
              <w:jc w:val="center"/>
              <w:keepNext w:val="1"/>
            </w:pPr>
            <w:r/>
            <w:r>
              <w:rPr>
                <w:rFonts w:ascii="Times New Roman" w:hAnsi="Times New Roman" w:eastAsia="宋体"/>
                <w:b w:val="0"/>
                <w:sz w:val="21"/>
              </w:rPr>
              <w:t>241.0</w:t>
            </w:r>
          </w:p>
        </w:tc>
        <w:tc>
          <w:tcPr>
            <w:tcW w:type="dxa" w:w="976"/>
          </w:tcPr>
          <w:p>
            <w:pPr>
              <w:spacing w:line="240" w:lineRule="auto" w:after="40"/>
              <w:jc w:val="center"/>
              <w:keepNext w:val="1"/>
            </w:pPr>
            <w:r/>
            <w:r>
              <w:rPr>
                <w:rFonts w:ascii="Times New Roman" w:hAnsi="Times New Roman" w:eastAsia="宋体"/>
                <w:b w:val="0"/>
                <w:sz w:val="21"/>
              </w:rPr>
              <w:t>0</w:t>
            </w:r>
          </w:p>
        </w:tc>
        <w:tc>
          <w:tcPr>
            <w:tcW w:type="dxa" w:w="976"/>
          </w:tcPr>
          <w:p>
            <w:pPr>
              <w:spacing w:line="240" w:lineRule="auto" w:after="40"/>
              <w:jc w:val="center"/>
              <w:keepNext w:val="1"/>
            </w:pPr>
            <w:r/>
            <w:r>
              <w:rPr>
                <w:rFonts w:ascii="Times New Roman" w:hAnsi="Times New Roman" w:eastAsia="宋体"/>
                <w:b w:val="0"/>
                <w:sz w:val="21"/>
              </w:rPr>
              <w:t>128.9</w:t>
            </w:r>
          </w:p>
        </w:tc>
        <w:tc>
          <w:tcPr>
            <w:tcW w:type="dxa" w:w="976"/>
          </w:tcPr>
          <w:p>
            <w:pPr>
              <w:spacing w:line="240" w:lineRule="auto" w:after="40"/>
              <w:jc w:val="center"/>
              <w:keepNext w:val="1"/>
            </w:pPr>
            <w:r/>
            <w:r>
              <w:rPr>
                <w:rFonts w:ascii="Times New Roman" w:hAnsi="Times New Roman" w:eastAsia="宋体"/>
                <w:b w:val="0"/>
                <w:sz w:val="21"/>
              </w:rPr>
              <w:t>293.0</w:t>
            </w:r>
          </w:p>
        </w:tc>
        <w:tc>
          <w:tcPr>
            <w:tcW w:type="dxa" w:w="976"/>
          </w:tcPr>
          <w:p>
            <w:pPr>
              <w:spacing w:line="240" w:lineRule="auto" w:after="40"/>
              <w:jc w:val="center"/>
              <w:keepNext w:val="1"/>
            </w:pPr>
            <w:r/>
            <w:r>
              <w:rPr>
                <w:rFonts w:ascii="Times New Roman" w:hAnsi="Times New Roman" w:eastAsia="宋体"/>
                <w:b w:val="0"/>
                <w:sz w:val="21"/>
              </w:rPr>
              <w:t>11</w:t>
            </w:r>
          </w:p>
        </w:tc>
      </w:tr>
      <w:tr>
        <w:trPr>
          <w:cantSplit/>
        </w:trPr>
        <w:tc>
          <w:tcPr>
            <w:tcW w:type="dxa" w:w="976"/>
          </w:tcPr>
          <w:p>
            <w:pPr>
              <w:spacing w:line="240" w:lineRule="auto" w:after="40"/>
              <w:jc w:val="center"/>
              <w:keepNext w:val="0"/>
            </w:pPr>
            <w:r/>
            <w:r>
              <w:rPr>
                <w:rFonts w:ascii="Times New Roman" w:hAnsi="Times New Roman" w:eastAsia="宋体"/>
                <w:b w:val="0"/>
                <w:sz w:val="21"/>
              </w:rPr>
              <w:t>08:00</w:t>
            </w:r>
          </w:p>
        </w:tc>
        <w:tc>
          <w:tcPr>
            <w:tcW w:type="dxa" w:w="976"/>
          </w:tcPr>
          <w:p>
            <w:pPr>
              <w:spacing w:line="240" w:lineRule="auto" w:after="40"/>
              <w:jc w:val="center"/>
              <w:keepNext w:val="0"/>
            </w:pPr>
            <w:r/>
            <w:r>
              <w:rPr>
                <w:rFonts w:ascii="Times New Roman" w:hAnsi="Times New Roman" w:eastAsia="宋体"/>
                <w:b w:val="0"/>
                <w:sz w:val="21"/>
              </w:rPr>
              <w:t>整合模型</w:t>
            </w:r>
          </w:p>
        </w:tc>
        <w:tc>
          <w:tcPr>
            <w:tcW w:type="dxa" w:w="976"/>
          </w:tcPr>
          <w:p>
            <w:pPr>
              <w:spacing w:line="240" w:lineRule="auto" w:after="40"/>
              <w:jc w:val="center"/>
              <w:keepNext w:val="0"/>
            </w:pPr>
            <w:r/>
            <w:r>
              <w:rPr>
                <w:rFonts w:ascii="Times New Roman" w:hAnsi="Times New Roman" w:eastAsia="宋体"/>
                <w:b w:val="0"/>
                <w:sz w:val="21"/>
              </w:rPr>
              <w:t>998.9</w:t>
            </w:r>
          </w:p>
        </w:tc>
        <w:tc>
          <w:tcPr>
            <w:tcW w:type="dxa" w:w="976"/>
          </w:tcPr>
          <w:p>
            <w:pPr>
              <w:spacing w:line="240" w:lineRule="auto" w:after="40"/>
              <w:jc w:val="center"/>
              <w:keepNext w:val="0"/>
            </w:pPr>
            <w:r/>
            <w:r>
              <w:rPr>
                <w:rFonts w:ascii="Times New Roman" w:hAnsi="Times New Roman" w:eastAsia="宋体"/>
                <w:b w:val="0"/>
                <w:sz w:val="21"/>
              </w:rPr>
              <w:t>8684.6</w:t>
            </w:r>
          </w:p>
        </w:tc>
        <w:tc>
          <w:tcPr>
            <w:tcW w:type="dxa" w:w="976"/>
          </w:tcPr>
          <w:p>
            <w:pPr>
              <w:spacing w:line="240" w:lineRule="auto" w:after="40"/>
              <w:jc w:val="center"/>
              <w:keepNext w:val="0"/>
            </w:pPr>
            <w:r/>
            <w:r>
              <w:rPr>
                <w:rFonts w:ascii="Times New Roman" w:hAnsi="Times New Roman" w:eastAsia="宋体"/>
                <w:b w:val="0"/>
                <w:sz w:val="21"/>
              </w:rPr>
              <w:t>223.2</w:t>
            </w:r>
          </w:p>
        </w:tc>
        <w:tc>
          <w:tcPr>
            <w:tcW w:type="dxa" w:w="976"/>
          </w:tcPr>
          <w:p>
            <w:pPr>
              <w:spacing w:line="240" w:lineRule="auto" w:after="40"/>
              <w:jc w:val="center"/>
              <w:keepNext w:val="0"/>
            </w:pPr>
            <w:r/>
            <w:r>
              <w:rPr>
                <w:rFonts w:ascii="Times New Roman" w:hAnsi="Times New Roman" w:eastAsia="宋体"/>
                <w:b w:val="0"/>
                <w:sz w:val="21"/>
              </w:rPr>
              <w:t>152.2</w:t>
            </w:r>
          </w:p>
        </w:tc>
        <w:tc>
          <w:tcPr>
            <w:tcW w:type="dxa" w:w="976"/>
          </w:tcPr>
          <w:p>
            <w:pPr>
              <w:spacing w:line="240" w:lineRule="auto" w:after="40"/>
              <w:jc w:val="center"/>
              <w:keepNext w:val="0"/>
            </w:pPr>
            <w:r/>
            <w:r>
              <w:rPr>
                <w:rFonts w:ascii="Times New Roman" w:hAnsi="Times New Roman" w:eastAsia="宋体"/>
                <w:b w:val="0"/>
                <w:sz w:val="21"/>
              </w:rPr>
              <w:t>100.7</w:t>
            </w:r>
          </w:p>
        </w:tc>
        <w:tc>
          <w:tcPr>
            <w:tcW w:type="dxa" w:w="976"/>
          </w:tcPr>
          <w:p>
            <w:pPr>
              <w:spacing w:line="240" w:lineRule="auto" w:after="40"/>
              <w:jc w:val="center"/>
              <w:keepNext w:val="0"/>
            </w:pPr>
            <w:r/>
            <w:r>
              <w:rPr>
                <w:rFonts w:ascii="Times New Roman" w:hAnsi="Times New Roman" w:eastAsia="宋体"/>
                <w:b w:val="0"/>
                <w:sz w:val="21"/>
              </w:rPr>
              <w:t>137.8</w:t>
            </w:r>
          </w:p>
        </w:tc>
        <w:tc>
          <w:tcPr>
            <w:tcW w:type="dxa" w:w="976"/>
          </w:tcPr>
          <w:p>
            <w:pPr>
              <w:spacing w:line="240" w:lineRule="auto" w:after="40"/>
              <w:jc w:val="center"/>
              <w:keepNext w:val="0"/>
            </w:pPr>
            <w:r/>
            <w:r>
              <w:rPr>
                <w:rFonts w:ascii="Times New Roman" w:hAnsi="Times New Roman" w:eastAsia="宋体"/>
                <w:b w:val="0"/>
                <w:sz w:val="21"/>
              </w:rPr>
              <w:t>12</w:t>
            </w:r>
          </w:p>
        </w:tc>
      </w:tr>
    </w:tbl>
    <w:p>
      <w:pPr>
        <w:ind w:firstLine="0"/>
        <w:jc w:val="center"/>
        <w:keepNext w:val="1"/>
        <w:keepLines w:val="1"/>
      </w:pPr>
      <w:r>
        <w:drawing>
          <wp:inline xmlns:a="http://schemas.openxmlformats.org/drawingml/2006/main" xmlns:pic="http://schemas.openxmlformats.org/drawingml/2006/picture">
            <wp:extent cx="5220000" cy="2088335"/>
            <wp:docPr id="6" name="Picture 6" descr="图6 第三轮修订后图形，数据与说明见正文图注"/>
            <wp:cNvGraphicFramePr>
              <a:graphicFrameLocks noChangeAspect="1"/>
            </wp:cNvGraphicFramePr>
            <a:graphic>
              <a:graphicData uri="http://schemas.openxmlformats.org/drawingml/2006/picture">
                <pic:pic>
                  <pic:nvPicPr>
                    <pic:cNvPr id="0" name="rev2_origins_gear.png"/>
                    <pic:cNvPicPr/>
                  </pic:nvPicPr>
                  <pic:blipFill>
                    <a:blip r:embed="rId14"/>
                    <a:stretch>
                      <a:fillRect/>
                    </a:stretch>
                  </pic:blipFill>
                  <pic:spPr>
                    <a:xfrm>
                      <a:off x="0" y="0"/>
                      <a:ext cx="5220000" cy="2088335"/>
                    </a:xfrm>
                    <a:prstGeom prst="rect"/>
                  </pic:spPr>
                </pic:pic>
              </a:graphicData>
            </a:graphic>
          </wp:inline>
        </w:drawing>
      </w:r>
    </w:p>
    <w:p>
      <w:pPr>
        <w:spacing w:line="240" w:lineRule="auto" w:before="120" w:after="120"/>
        <w:ind w:firstLine="0"/>
        <w:jc w:val="center"/>
        <w:keepNext w:val="0"/>
        <w:keepLines w:val="1"/>
      </w:pPr>
      <w:r>
        <w:rPr>
          <w:rFonts w:ascii="Times New Roman" w:hAnsi="Times New Roman" w:eastAsia="宋体"/>
          <w:b w:val="0"/>
          <w:sz w:val="21"/>
        </w:rPr>
        <w:t xml:space="preserve">图6　起点移位下的加工与待机时段电量及总碳排。B表示BASE；启停电量不计入左图时段堆叠，但计入右图总碳排</w:t>
      </w:r>
    </w:p>
    <w:p>
      <w:pPr>
        <w:spacing w:before="120" w:after="60"/>
        <w:ind w:firstLine="0"/>
        <w:jc w:val="left"/>
        <w:keepNext w:val="1"/>
        <w:keepLines w:val="1"/>
      </w:pPr>
      <w:r>
        <w:rPr>
          <w:rFonts w:ascii="Times New Roman" w:hAnsi="Times New Roman" w:eastAsia="黑体"/>
          <w:b w:val="0"/>
          <w:sz w:val="28"/>
        </w:rPr>
        <w:t xml:space="preserve">3.6　参数边界：联合非加工能耗情景</w:t>
      </w:r>
    </w:p>
    <w:p>
      <w:pPr>
        <w:spacing w:line="360" w:lineRule="auto" w:after="0"/>
        <w:ind w:firstLine="480"/>
        <w:jc w:val="both"/>
      </w:pPr>
      <w:r>
        <w:rPr>
          <w:rFonts w:ascii="Times New Roman" w:hAnsi="Times New Roman" w:eastAsia="宋体"/>
          <w:b w:val="0"/>
          <w:sz w:val="24"/>
        </w:rPr>
        <w:t xml:space="preserve">表7与图7比较联合参数0、0.1、0.2下的flat与wide电价情景。该参数同时决定待机功率与加载瞬态能耗，归零即同时取消两项非加工能耗；每格均重新优化排序、机床与速度，故这是联合参数情景比较。齿轮轴在三档下均表现为wide成本下降而碳排增加，联合归零时碳排仍由239.5增至279.3 kgCO₂，说明冲突并非全部由待机产生。</w:t>
      </w:r>
    </w:p>
    <w:p>
      <w:pPr>
        <w:spacing w:line="360" w:lineRule="auto" w:after="0"/>
        <w:ind w:firstLine="480"/>
        <w:jc w:val="both"/>
      </w:pPr>
      <w:r>
        <w:rPr>
          <w:rFonts w:ascii="Times New Roman" w:hAnsi="Times New Roman" w:eastAsia="宋体"/>
          <w:b w:val="0"/>
          <w:sz w:val="24"/>
        </w:rPr>
        <w:t xml:space="preserve">Mk04在联合归零时wide相对flat的碳排反而下降约7.6%，表明其所测权衡依赖非加工能耗参数。两实例的差别支持交互具有情景依赖性，不能据联合归零及重优化将全部增量唯一归于待机、加载瞬态或速度。该实验提供反例与边界观察，单通道归属需在其他条件固定时分别改变相应参数。</w:t>
      </w:r>
    </w:p>
    <w:p>
      <w:pPr>
        <w:spacing w:line="240" w:lineRule="auto" w:before="120" w:after="120"/>
        <w:ind w:firstLine="0"/>
        <w:jc w:val="center"/>
        <w:keepNext w:val="1"/>
        <w:keepLines w:val="1"/>
      </w:pPr>
      <w:r>
        <w:rPr>
          <w:rFonts w:ascii="Times New Roman" w:hAnsi="Times New Roman" w:eastAsia="宋体"/>
          <w:b w:val="0"/>
          <w:sz w:val="21"/>
        </w:rPr>
        <w:t xml:space="preserve">表7　联合非加工能耗参数下的情景比较。参数同时缩放待机功率与加载瞬态能耗，表内为齿轮轴代表点</w:t>
      </w:r>
    </w:p>
    <w:tbl>
      <w:tblPr>
        <w:tblW w:type="auto" w:w="0"/>
        <w:jc w:val="center"/>
        <w:tblLook w:firstColumn="1" w:firstRow="1" w:lastColumn="0" w:lastRow="0" w:noHBand="0" w:noVBand="1" w:val="04A0"/>
        <w:tblBorders>
          <w:top w:val="single" w:sz="12" w:space="0" w:color="000000"/>
          <w:bottom w:val="single" w:sz="12" w:space="0" w:color="000000"/>
          <w:insideH w:val="none"/>
          <w:left w:val="none"/>
          <w:right w:val="none"/>
          <w:insideV w:val="none"/>
        </w:tblBorders>
      </w:tblPr>
      <w:tblGrid>
        <w:gridCol w:w="2929"/>
        <w:gridCol w:w="2929"/>
        <w:gridCol w:w="2929"/>
      </w:tblGrid>
      <w:tr>
        <w:trPr>
          <w:cantSplit/>
          <w:tblHeader/>
        </w:trPr>
        <w:tc>
          <w:tcPr>
            <w:tcW w:type="dxa" w:w="2929"/>
            <w:tcBorders>
              <w:bottom w:val="single" w:sz="6" w:color="000000"/>
            </w:tcBorders>
          </w:tcPr>
          <w:p>
            <w:pPr>
              <w:spacing w:line="240" w:lineRule="auto" w:after="40"/>
              <w:jc w:val="center"/>
              <w:keepNext w:val="1"/>
            </w:pPr>
            <w:r>
              <w:rPr>
                <w:rFonts w:ascii="Times New Roman" w:hAnsi="Times New Roman" w:eastAsia="宋体"/>
                <w:b/>
                <w:sz w:val="21"/>
              </w:rPr>
              <w:t xml:space="preserve">联合参数</w:t>
            </w:r>
          </w:p>
        </w:tc>
        <w:tc>
          <w:tcPr>
            <w:tcW w:type="dxa" w:w="2929"/>
            <w:tcBorders>
              <w:bottom w:val="single" w:sz="6" w:color="000000"/>
            </w:tcBorders>
          </w:tcPr>
          <w:p>
            <w:pPr>
              <w:spacing w:line="240" w:lineRule="auto" w:after="40"/>
              <w:jc w:val="center"/>
              <w:keepNext w:val="1"/>
            </w:pPr>
            <w:r/>
            <w:r>
              <w:rPr>
                <w:rFonts w:ascii="Times New Roman" w:hAnsi="Times New Roman" w:eastAsia="宋体"/>
                <w:b/>
                <w:sz w:val="21"/>
              </w:rPr>
              <w:t>flat 完工/成本/碳</w:t>
            </w:r>
          </w:p>
        </w:tc>
        <w:tc>
          <w:tcPr>
            <w:tcW w:type="dxa" w:w="2929"/>
            <w:tcBorders>
              <w:bottom w:val="single" w:sz="6" w:color="000000"/>
            </w:tcBorders>
          </w:tcPr>
          <w:p>
            <w:pPr>
              <w:spacing w:line="240" w:lineRule="auto" w:after="40"/>
              <w:jc w:val="center"/>
              <w:keepNext w:val="1"/>
            </w:pPr>
            <w:r/>
            <w:r>
              <w:rPr>
                <w:rFonts w:ascii="Times New Roman" w:hAnsi="Times New Roman" w:eastAsia="宋体"/>
                <w:b/>
                <w:sz w:val="21"/>
              </w:rPr>
              <w:t>wide 完工/成本/碳</w:t>
            </w:r>
          </w:p>
        </w:tc>
      </w:tr>
      <w:tr>
        <w:trPr>
          <w:cantSplit/>
        </w:trPr>
        <w:tc>
          <w:tcPr>
            <w:tcW w:type="dxa" w:w="2929"/>
          </w:tcPr>
          <w:p>
            <w:pPr>
              <w:spacing w:line="240" w:lineRule="auto" w:after="40"/>
              <w:jc w:val="center"/>
              <w:keepNext w:val="1"/>
            </w:pPr>
            <w:r/>
            <w:r>
              <w:rPr>
                <w:rFonts w:ascii="Times New Roman" w:hAnsi="Times New Roman" w:eastAsia="宋体"/>
                <w:b w:val="0"/>
                <w:sz w:val="21"/>
              </w:rPr>
              <w:t>0</w:t>
            </w:r>
          </w:p>
        </w:tc>
        <w:tc>
          <w:tcPr>
            <w:tcW w:type="dxa" w:w="2929"/>
          </w:tcPr>
          <w:p>
            <w:pPr>
              <w:spacing w:line="240" w:lineRule="auto" w:after="40"/>
              <w:jc w:val="center"/>
              <w:keepNext w:val="1"/>
            </w:pPr>
            <w:r/>
            <w:r>
              <w:rPr>
                <w:rFonts w:ascii="Times New Roman" w:hAnsi="Times New Roman" w:eastAsia="宋体"/>
                <w:b w:val="0"/>
                <w:sz w:val="21"/>
              </w:rPr>
              <w:t>464.8 / 8610.6 / 239.5</w:t>
            </w:r>
          </w:p>
        </w:tc>
        <w:tc>
          <w:tcPr>
            <w:tcW w:type="dxa" w:w="2929"/>
          </w:tcPr>
          <w:p>
            <w:pPr>
              <w:spacing w:line="240" w:lineRule="auto" w:after="40"/>
              <w:jc w:val="center"/>
              <w:keepNext w:val="1"/>
            </w:pPr>
            <w:r/>
            <w:r>
              <w:rPr>
                <w:rFonts w:ascii="Times New Roman" w:hAnsi="Times New Roman" w:eastAsia="宋体"/>
                <w:b w:val="0"/>
                <w:sz w:val="21"/>
              </w:rPr>
              <w:t>393.5 / 8406.1 / 279.3</w:t>
            </w:r>
          </w:p>
        </w:tc>
      </w:tr>
      <w:tr>
        <w:trPr>
          <w:cantSplit/>
        </w:trPr>
        <w:tc>
          <w:tcPr>
            <w:tcW w:type="dxa" w:w="2929"/>
          </w:tcPr>
          <w:p>
            <w:pPr>
              <w:spacing w:line="240" w:lineRule="auto" w:after="40"/>
              <w:jc w:val="center"/>
              <w:keepNext w:val="1"/>
            </w:pPr>
            <w:r/>
            <w:r>
              <w:rPr>
                <w:rFonts w:ascii="Times New Roman" w:hAnsi="Times New Roman" w:eastAsia="宋体"/>
                <w:b w:val="0"/>
                <w:sz w:val="21"/>
              </w:rPr>
              <w:t>0.1</w:t>
            </w:r>
          </w:p>
        </w:tc>
        <w:tc>
          <w:tcPr>
            <w:tcW w:type="dxa" w:w="2929"/>
          </w:tcPr>
          <w:p>
            <w:pPr>
              <w:spacing w:line="240" w:lineRule="auto" w:after="40"/>
              <w:jc w:val="center"/>
              <w:keepNext w:val="1"/>
            </w:pPr>
            <w:r/>
            <w:r>
              <w:rPr>
                <w:rFonts w:ascii="Times New Roman" w:hAnsi="Times New Roman" w:eastAsia="宋体"/>
                <w:b w:val="0"/>
                <w:sz w:val="21"/>
              </w:rPr>
              <w:t>486.3 / 8623.8 / 232.6</w:t>
            </w:r>
          </w:p>
        </w:tc>
        <w:tc>
          <w:tcPr>
            <w:tcW w:type="dxa" w:w="2929"/>
          </w:tcPr>
          <w:p>
            <w:pPr>
              <w:spacing w:line="240" w:lineRule="auto" w:after="40"/>
              <w:jc w:val="center"/>
              <w:keepNext w:val="1"/>
            </w:pPr>
            <w:r/>
            <w:r>
              <w:rPr>
                <w:rFonts w:ascii="Times New Roman" w:hAnsi="Times New Roman" w:eastAsia="宋体"/>
                <w:b w:val="0"/>
                <w:sz w:val="21"/>
              </w:rPr>
              <w:t>406.2 / 8393.9 / 271.9</w:t>
            </w:r>
          </w:p>
        </w:tc>
      </w:tr>
      <w:tr>
        <w:trPr>
          <w:cantSplit/>
        </w:trPr>
        <w:tc>
          <w:tcPr>
            <w:tcW w:type="dxa" w:w="2929"/>
          </w:tcPr>
          <w:p>
            <w:pPr>
              <w:spacing w:line="240" w:lineRule="auto" w:after="40"/>
              <w:jc w:val="center"/>
              <w:keepNext w:val="0"/>
            </w:pPr>
            <w:r/>
            <w:r>
              <w:rPr>
                <w:rFonts w:ascii="Times New Roman" w:hAnsi="Times New Roman" w:eastAsia="宋体"/>
                <w:b w:val="0"/>
                <w:sz w:val="21"/>
              </w:rPr>
              <w:t>0.2</w:t>
            </w:r>
          </w:p>
        </w:tc>
        <w:tc>
          <w:tcPr>
            <w:tcW w:type="dxa" w:w="2929"/>
          </w:tcPr>
          <w:p>
            <w:pPr>
              <w:spacing w:line="240" w:lineRule="auto" w:after="40"/>
              <w:jc w:val="center"/>
              <w:keepNext w:val="0"/>
            </w:pPr>
            <w:r/>
            <w:r>
              <w:rPr>
                <w:rFonts w:ascii="Times New Roman" w:hAnsi="Times New Roman" w:eastAsia="宋体"/>
                <w:b w:val="0"/>
                <w:sz w:val="21"/>
              </w:rPr>
              <w:t>444.6 / 8631.8 / 239.2</w:t>
            </w:r>
          </w:p>
        </w:tc>
        <w:tc>
          <w:tcPr>
            <w:tcW w:type="dxa" w:w="2929"/>
          </w:tcPr>
          <w:p>
            <w:pPr>
              <w:spacing w:line="240" w:lineRule="auto" w:after="40"/>
              <w:jc w:val="center"/>
              <w:keepNext w:val="0"/>
            </w:pPr>
            <w:r/>
            <w:r>
              <w:rPr>
                <w:rFonts w:ascii="Times New Roman" w:hAnsi="Times New Roman" w:eastAsia="宋体"/>
                <w:b w:val="0"/>
                <w:sz w:val="21"/>
              </w:rPr>
              <w:t>373.2 / 8399.7 / 287.4</w:t>
            </w:r>
          </w:p>
        </w:tc>
      </w:tr>
    </w:tbl>
    <w:p>
      <w:pPr>
        <w:ind w:firstLine="0"/>
        <w:jc w:val="center"/>
        <w:keepNext w:val="1"/>
        <w:keepLines w:val="1"/>
      </w:pPr>
      <w:r>
        <w:drawing>
          <wp:inline xmlns:a="http://schemas.openxmlformats.org/drawingml/2006/main" xmlns:pic="http://schemas.openxmlformats.org/drawingml/2006/picture">
            <wp:extent cx="5220000" cy="2109162"/>
            <wp:docPr id="7" name="Picture 7" descr="图7 第三轮修订后图形，数据与说明见正文图注"/>
            <wp:cNvGraphicFramePr>
              <a:graphicFrameLocks noChangeAspect="1"/>
            </wp:cNvGraphicFramePr>
            <a:graphic>
              <a:graphicData uri="http://schemas.openxmlformats.org/drawingml/2006/picture">
                <pic:pic>
                  <pic:nvPicPr>
                    <pic:cNvPr id="0" name="rev2_idle_boundary_gear.png"/>
                    <pic:cNvPicPr/>
                  </pic:nvPicPr>
                  <pic:blipFill>
                    <a:blip r:embed="rId15"/>
                    <a:stretch>
                      <a:fillRect/>
                    </a:stretch>
                  </pic:blipFill>
                  <pic:spPr>
                    <a:xfrm>
                      <a:off x="0" y="0"/>
                      <a:ext cx="5220000" cy="2109162"/>
                    </a:xfrm>
                    <a:prstGeom prst="rect"/>
                  </pic:spPr>
                </pic:pic>
              </a:graphicData>
            </a:graphic>
          </wp:inline>
        </w:drawing>
      </w:r>
    </w:p>
    <w:p>
      <w:pPr>
        <w:spacing w:line="240" w:lineRule="auto" w:before="120" w:after="120"/>
        <w:ind w:firstLine="0"/>
        <w:jc w:val="center"/>
        <w:keepNext w:val="0"/>
        <w:keepLines w:val="1"/>
      </w:pPr>
      <w:r>
        <w:rPr>
          <w:rFonts w:ascii="Times New Roman" w:hAnsi="Times New Roman" w:eastAsia="宋体"/>
          <w:b w:val="0"/>
          <w:sz w:val="21"/>
        </w:rPr>
        <w:t xml:space="preserve">图7　联合非加工能耗参数下的价格碳权衡。Joint ratio为同时作用于待机与加载瞬态能耗的参数；Flat和Wide为不同电价情景</w:t>
      </w:r>
    </w:p>
    <w:p>
      <w:pPr>
        <w:spacing w:before="120" w:after="60"/>
        <w:ind w:firstLine="0"/>
        <w:jc w:val="left"/>
        <w:keepNext w:val="1"/>
        <w:keepLines w:val="1"/>
      </w:pPr>
      <w:r>
        <w:rPr>
          <w:rFonts w:ascii="Times New Roman" w:hAnsi="Times New Roman" w:eastAsia="黑体"/>
          <w:b w:val="0"/>
          <w:sz w:val="28"/>
        </w:rPr>
        <w:t>3.7　基线算法复现备注</w:t>
      </w:r>
    </w:p>
    <w:p>
      <w:pPr>
        <w:spacing w:line="360" w:lineRule="auto" w:after="0"/>
        <w:ind w:firstLine="480"/>
        <w:jc w:val="both"/>
      </w:pPr>
      <w:r>
        <w:rPr>
          <w:rFonts w:ascii="Times New Roman" w:hAnsi="Times New Roman" w:eastAsia="宋体"/>
          <w:b w:val="0"/>
          <w:sz w:val="24"/>
        </w:rPr>
        <w:t xml:space="preserve">文献[1]基线算法的复现作为求解配置的补充依据，采用原处理方式的账本，与本文市场机制实验分开。所提供的20运行、100代汇总中，NSGA-II在Mk01至Mk10的10个算例均取得高于固定率ASA实现的平均hypervolume，其中6个算例的C(NSGA-II, ASA-fix)为1.000。组件阶梯中不同配置的表现也随算例变化，因此不声称引导初始化在所有情景下均有益。上述观察限定于本文实现、指标设置和计算预算，不解释为对原文结果的普遍否定。逐算例汇总、组件阶梯及日志见补充材料data/results/baseline_reproduction。</w:t>
      </w:r>
    </w:p>
    <w:p>
      <w:pPr>
        <w:spacing w:before="240" w:after="120"/>
        <w:ind w:firstLine="0"/>
        <w:jc w:val="left"/>
        <w:keepNext w:val="1"/>
        <w:keepLines w:val="1"/>
      </w:pPr>
      <w:r>
        <w:rPr>
          <w:rFonts w:ascii="Times New Roman" w:hAnsi="Times New Roman" w:eastAsia="黑体"/>
          <w:b w:val="0"/>
          <w:sz w:val="32"/>
        </w:rPr>
        <w:t>4　讨论</w:t>
      </w:r>
    </w:p>
    <w:p>
      <w:pPr>
        <w:spacing w:line="360" w:lineRule="auto" w:after="0"/>
        <w:ind w:firstLine="480"/>
        <w:jc w:val="both"/>
      </w:pPr>
      <w:r>
        <w:rPr>
          <w:rFonts w:ascii="Times New Roman" w:hAnsi="Times New Roman" w:eastAsia="宋体"/>
          <w:b w:val="0"/>
          <w:sz w:val="24"/>
        </w:rPr>
        <w:t xml:space="preserve">共同现实评价量化了联合规划规则的经济收益与碳代价。齿轮轴C1相对BASE的运行级平均成本下降77.7元、完工缩短32.3 min，同时排放增加33.3 kgCO₂；代表点成本分解显示，按工序时长计取的劳务项下降、电费上升。速度可用性和分时与碳结算联合感知的完工贡献在两算例中排序相反，因而管理判断应依据具体负载与目标，不宜采用统一机制排序。</w:t>
      </w:r>
    </w:p>
    <w:p>
      <w:pPr>
        <w:spacing w:line="360" w:lineRule="auto" w:after="0"/>
        <w:ind w:firstLine="480"/>
        <w:jc w:val="both"/>
      </w:pPr>
      <w:r>
        <w:rPr>
          <w:rFonts w:ascii="Times New Roman" w:hAnsi="Times New Roman" w:eastAsia="宋体"/>
          <w:b w:val="0"/>
          <w:sz w:val="24"/>
        </w:rPr>
        <w:t xml:space="preserve">碳价共池分析把候选集合固定，给出了示例价格变化在已搜索班表上的选择效果。零价与0.08档未改变各运行的选点，0.8和2.0档的均值显示以非结算成本上升换取排放下降。这是有限候选池的情景结果，不能直接外推全国碳市场的效力，也不能作为实际工厂定价阈值。起点移位进一步表明，所测班次中成本与排放可以同时下降，也可以出现权衡；在固定排放因子下，两者的关系通过决策改变总电量而形成。</w:t>
      </w:r>
    </w:p>
    <w:p>
      <w:pPr>
        <w:spacing w:line="360" w:lineRule="auto" w:after="0"/>
        <w:ind w:firstLine="480"/>
        <w:jc w:val="both"/>
      </w:pPr>
      <w:r>
        <w:rPr>
          <w:rFonts w:ascii="Times New Roman" w:hAnsi="Times New Roman" w:eastAsia="宋体"/>
          <w:b w:val="0"/>
          <w:sz w:val="24"/>
        </w:rPr>
        <w:t xml:space="preserve">研究边界包括队尾最早开工空间不含主动等待、速度功率律与非加工能耗为情景参数、Brandimarte能耗为合成剖面，以及单一工业来源案例和确定性工期。本文未独立识别窗口长度和加工、待机、启停的各自作用。等待决策、参数现场校准、单因素状态实验与随机工期可进一步扩展本文给出的比较框架。</w:t>
      </w:r>
    </w:p>
    <w:p>
      <w:pPr>
        <w:spacing w:before="240" w:after="120"/>
        <w:ind w:firstLine="0"/>
        <w:jc w:val="left"/>
        <w:keepNext w:val="1"/>
        <w:keepLines w:val="1"/>
      </w:pPr>
      <w:r>
        <w:rPr>
          <w:rFonts w:ascii="Times New Roman" w:hAnsi="Times New Roman" w:eastAsia="黑体"/>
          <w:b w:val="0"/>
          <w:sz w:val="32"/>
        </w:rPr>
        <w:t>5　结论</w:t>
      </w:r>
    </w:p>
    <w:p>
      <w:pPr>
        <w:spacing w:line="360" w:lineRule="auto" w:after="0"/>
        <w:ind w:firstLine="480"/>
        <w:jc w:val="both"/>
      </w:pPr>
      <w:r>
        <w:rPr>
          <w:rFonts w:ascii="Times New Roman" w:hAnsi="Times New Roman" w:eastAsia="宋体"/>
          <w:b w:val="0"/>
          <w:sz w:val="24"/>
        </w:rPr>
        <w:t xml:space="preserve">本文在统一能源账本下，建立耦合分时电价、离散速度与线性碳结算的三目标柔性作业车间调度模型，并通过共同求解配置、统一取点与档案重评价分析联合规划规则。主要结论如下。</w:t>
      </w:r>
    </w:p>
    <w:p>
      <w:pPr>
        <w:spacing w:line="360" w:lineRule="auto" w:after="0"/>
        <w:ind w:firstLine="480"/>
        <w:jc w:val="both"/>
      </w:pPr>
      <w:r>
        <w:rPr>
          <w:rFonts w:ascii="Times New Roman" w:hAnsi="Times New Roman" w:eastAsia="宋体"/>
          <w:b w:val="0"/>
          <w:sz w:val="24"/>
        </w:rPr>
        <w:t xml:space="preserve">1）在本次齿轮轴案例和预算下，C1相对BASE每运行平均降低成本77.7元、缩短完工32.3 min，同时增加排放33.3 kgCO₂；整合前沿对基线的覆盖率为1.000，反向为0.000。CTRL减BASE与C1减CTRL的完工改善分别约4.2和28.1 min，Mk04分别约33.9和3.5 min，贡献排序随算例而变。</w:t>
      </w:r>
    </w:p>
    <w:p>
      <w:pPr>
        <w:spacing w:line="360" w:lineRule="auto" w:after="0"/>
        <w:ind w:firstLine="480"/>
        <w:jc w:val="both"/>
      </w:pPr>
      <w:r>
        <w:rPr>
          <w:rFonts w:ascii="Times New Roman" w:hAnsi="Times New Roman" w:eastAsia="宋体"/>
          <w:b w:val="0"/>
          <w:sz w:val="24"/>
        </w:rPr>
        <w:t xml:space="preserve">2）固定候选池下，四运行在0与0.08元/kgCO₂两档均选择同一班表，0.8与2.0档观察到平均排放下降，并伴随不含结算成本上升。该结果反映所搜索候选池及四档采样中的响应，不定位完整可行域或实际车间的内部化阈值。</w:t>
      </w:r>
    </w:p>
    <w:p>
      <w:pPr>
        <w:spacing w:line="360" w:lineRule="auto" w:after="0"/>
        <w:ind w:firstLine="480"/>
        <w:jc w:val="both"/>
      </w:pPr>
      <w:r>
        <w:rPr>
          <w:rFonts w:ascii="Times New Roman" w:hAnsi="Times New Roman" w:eastAsia="宋体"/>
          <w:b w:val="0"/>
          <w:sz w:val="24"/>
        </w:rPr>
        <w:t xml:space="preserve">3）线性对称结算下，配额水平向所有班表成本加入相同常数，不改变班表间成本差、支配关系和Pareto排序。配额倍率校核与该性质一致，价格参数与配额常数的作用应分开解释。</w:t>
      </w:r>
    </w:p>
    <w:p>
      <w:pPr>
        <w:spacing w:line="360" w:lineRule="auto" w:after="0"/>
        <w:ind w:firstLine="480"/>
        <w:jc w:val="both"/>
      </w:pPr>
      <w:r>
        <w:rPr>
          <w:rFonts w:ascii="Times New Roman" w:hAnsi="Times New Roman" w:eastAsia="宋体"/>
          <w:b w:val="0"/>
          <w:sz w:val="24"/>
        </w:rPr>
        <w:t xml:space="preserve">4）起点移位及待机、启停能耗的联合参数变化，可改变所测实例中的成本排放权衡。齿轮轴在非加工能耗联合归零后仍存在增碳现象，排除了全待机解释；窗口长度及单个能耗通道的独立作用未由本实验分离。</w:t>
      </w:r>
    </w:p>
    <w:p>
      <w:pPr>
        <w:spacing w:line="360" w:lineRule="auto" w:after="0"/>
        <w:ind w:firstLine="480"/>
        <w:jc w:val="both"/>
      </w:pPr>
      <w:r>
        <w:rPr>
          <w:rFonts w:ascii="Times New Roman" w:hAnsi="Times New Roman" w:eastAsia="宋体"/>
          <w:b w:val="0"/>
          <w:sz w:val="24"/>
        </w:rPr>
        <w:t xml:space="preserve">5）未取整逐运行班表、配置映射和离线重评价程序使主要数值可从归档染色体重建。该证据链为后续加入等待决策、实测状态参数及其他求解方法提供了共同评价基础。</w:t>
      </w:r>
    </w:p>
    <w:p>
      <w:pPr>
        <w:spacing w:before="240" w:after="120"/>
        <w:ind w:firstLine="0"/>
        <w:jc w:val="left"/>
        <w:keepNext w:val="1"/>
        <w:keepLines w:val="1"/>
      </w:pPr>
      <w:r>
        <w:rPr>
          <w:rFonts w:ascii="Times New Roman" w:hAnsi="Times New Roman" w:eastAsia="黑体"/>
          <w:b w:val="0"/>
          <w:sz w:val="32"/>
        </w:rPr>
        <w:t>代码可用性</w:t>
      </w:r>
    </w:p>
    <w:p>
      <w:pPr>
        <w:spacing w:line="360" w:lineRule="auto" w:after="0"/>
        <w:ind w:firstLine="480"/>
        <w:jc w:val="both"/>
      </w:pPr>
      <w:r>
        <w:rPr>
          <w:rFonts w:ascii="Times New Roman" w:hAnsi="Times New Roman" w:eastAsia="宋体"/>
          <w:b w:val="0"/>
          <w:sz w:val="24"/>
        </w:rPr>
        <w:t xml:space="preserve">核心模型、求解器与历史实验代码见</w:t>
      </w:r>
      <w:hyperlink r:id="rIdRev3Link16">
        <w:r>
          <w:rPr>
            <w:rFonts w:ascii="Times New Roman" w:hAnsi="Times New Roman" w:eastAsia="宋体"/>
            <w:b w:val="0"/>
            <w:sz w:val="24"/>
          </w:rPr>
          <w:t xml:space="preserve">公开代码仓库</w:t>
        </w:r>
      </w:hyperlink>
      <w:r>
        <w:rPr>
          <w:rFonts w:ascii="Times New Roman" w:hAnsi="Times New Roman" w:eastAsia="宋体"/>
          <w:b w:val="0"/>
          <w:sz w:val="24"/>
        </w:rPr>
        <w:t xml:space="preserve">，本文核验基础版本为81cdfd8，完整提交号与文件哈希见补充材料README。</w:t>
      </w:r>
    </w:p>
    <w:p>
      <w:pPr>
        <w:spacing w:line="360" w:lineRule="auto" w:after="0"/>
        <w:ind w:firstLine="480"/>
        <w:jc w:val="both"/>
      </w:pPr>
      <w:r>
        <w:rPr>
          <w:rFonts w:ascii="Times New Roman" w:hAnsi="Times New Roman" w:eastAsia="宋体"/>
          <w:b w:val="0"/>
          <w:sz w:val="24"/>
        </w:rPr>
        <w:t xml:space="preserve">随文补充材料FJSP_rev3_reproducibility.zip提供两实例原始班表档案、实验配置映射、未取整统计与四档共池候选及选点记录。入口examples/rebuild_rev3.py无需重新执行进化搜索，可核验档案目标并重建主要结果；examples/plot_rev3.py重绘图表。基线算法复现的逐算例及组件汇总、日志另存于baseline_reproduction目录，该部分保留既有汇总记录。补充材料同时说明本轮协议与历史汇总的区别。</w:t>
      </w:r>
    </w:p>
    <w:p>
      <w:pPr>
        <w:spacing w:before="240" w:after="120"/>
        <w:ind w:firstLine="0"/>
        <w:jc w:val="center"/>
        <w:keepNext w:val="1"/>
        <w:keepLines w:val="1"/>
      </w:pPr>
      <w:r>
        <w:rPr>
          <w:rFonts w:ascii="Times New Roman" w:hAnsi="Times New Roman" w:eastAsia="黑体"/>
          <w:b w:val="0"/>
          <w:sz w:val="32"/>
        </w:rPr>
        <w:t>参考文献</w:t>
      </w:r>
    </w:p>
    <w:p>
      <w:pPr>
        <w:spacing w:line="240" w:lineRule="auto" w:after="60"/>
        <w:ind w:left="420" w:hanging="200"/>
      </w:pPr>
      <w:r>
        <w:rPr>
          <w:rFonts w:ascii="Times New Roman" w:hAnsi="Times New Roman" w:eastAsia="宋体"/>
          <w:b w:val="0"/>
          <w:sz w:val="21"/>
        </w:rPr>
        <w:t>[1] Mei Zheyu, Lu Yujun, Lv Liye. Research on multi-objective low-carbon flexible job shop scheduling based on improved NSGA-II. Machines, 2024, 12(9): 590.</w:t>
      </w:r>
    </w:p>
    <w:p>
      <w:pPr>
        <w:spacing w:line="240" w:lineRule="auto" w:after="60"/>
        <w:ind w:left="420" w:hanging="200"/>
      </w:pPr>
      <w:r>
        <w:rPr>
          <w:rFonts w:ascii="Times New Roman" w:hAnsi="Times New Roman" w:eastAsia="宋体"/>
          <w:b w:val="0"/>
          <w:sz w:val="21"/>
        </w:rPr>
        <w:t>[2] Liao Wenzhu, Qian Youning. Carbon footprint-driven multi-objective scheduling optimization for flexible job shops. Systems, 2025, 13(12): 1074.</w:t>
      </w:r>
    </w:p>
    <w:p>
      <w:pPr>
        <w:spacing w:line="240" w:lineRule="auto" w:after="60"/>
        <w:ind w:left="420" w:hanging="200"/>
      </w:pPr>
      <w:r>
        <w:rPr>
          <w:rFonts w:ascii="Times New Roman" w:hAnsi="Times New Roman" w:eastAsia="宋体"/>
          <w:b w:val="0"/>
          <w:sz w:val="21"/>
        </w:rPr>
        <w:t>[3] Destouet C, Tlahig H, Bettayeb B. Multi-objective sustainable flexible job shop scheduling problem: balancing economic, ecological, and social criteria. Computers &amp; Industrial Engineering, 2024, 195: 110419.</w:t>
      </w:r>
    </w:p>
    <w:p>
      <w:pPr>
        <w:spacing w:line="240" w:lineRule="auto" w:after="60"/>
        <w:ind w:left="420" w:hanging="200"/>
      </w:pPr>
      <w:r>
        <w:rPr>
          <w:rFonts w:ascii="Times New Roman" w:hAnsi="Times New Roman" w:eastAsia="宋体"/>
          <w:b w:val="0"/>
          <w:sz w:val="21"/>
        </w:rPr>
        <w:t>[4] Gong Xu, De Pessemier T, Martens L, et al. Energy- and labor-aware flexible job shop scheduling under dynamic electricity pricing: a many-objective optimization investigation. Journal of Cleaner Production, 2019, 209: 1078-1094.</w:t>
      </w:r>
    </w:p>
    <w:p>
      <w:pPr>
        <w:spacing w:line="240" w:lineRule="auto" w:after="60"/>
        <w:ind w:left="420" w:hanging="200"/>
      </w:pPr>
      <w:r>
        <w:rPr>
          <w:rFonts w:ascii="Times New Roman" w:hAnsi="Times New Roman" w:eastAsia="宋体"/>
          <w:b w:val="0"/>
          <w:sz w:val="21"/>
        </w:rPr>
        <w:t>[5] Jia Shun, Yang Yang, Li Shuyu, et al. The green flexible job-shop scheduling problem considering cost, carbon emissions, and customer satisfaction under time-of-use electricity pricing. Sustainability, 2024, 16(6): 2443.</w:t>
      </w:r>
    </w:p>
    <w:p>
      <w:pPr>
        <w:spacing w:line="240" w:lineRule="auto" w:after="60"/>
        <w:ind w:left="420" w:hanging="200"/>
      </w:pPr>
      <w:r>
        <w:rPr>
          <w:rFonts w:ascii="Times New Roman" w:hAnsi="Times New Roman" w:eastAsia="宋体"/>
          <w:b w:val="0"/>
          <w:sz w:val="21"/>
        </w:rPr>
        <w:t>[6] Zhang Hua, Dai Ziwei, Zhang Wenyu, et al. A new energy-aware flexible job shop scheduling method using modified biogeography-based optimization. Mathematical Problems in Engineering, 2017, 2017: 7249876.</w:t>
      </w:r>
    </w:p>
    <w:p>
      <w:pPr>
        <w:spacing w:line="240" w:lineRule="auto" w:after="60"/>
        <w:ind w:left="420" w:hanging="200"/>
      </w:pPr>
      <w:r>
        <w:rPr>
          <w:rFonts w:ascii="Times New Roman" w:hAnsi="Times New Roman" w:eastAsia="宋体"/>
          <w:b w:val="0"/>
          <w:sz w:val="21"/>
        </w:rPr>
        <w:t>[7] Zhang Like, Liu Wenpu, Wang Hua, et al. Flexible job-shop scheduling integrating carbon cap-and-trade policy and outsourcing strategy. Sustainability, 2025, 17(15): 6978.</w:t>
      </w:r>
    </w:p>
    <w:p>
      <w:pPr>
        <w:spacing w:line="240" w:lineRule="auto" w:after="60"/>
        <w:ind w:left="420" w:hanging="200"/>
      </w:pPr>
      <w:r>
        <w:rPr>
          <w:rFonts w:ascii="Times New Roman" w:hAnsi="Times New Roman" w:eastAsia="宋体"/>
          <w:b w:val="0"/>
          <w:sz w:val="21"/>
        </w:rPr>
        <w:t>[8] Burmeister S C, Guericke D, Schryen G. A two-level approach for multi-objective flexible job shop scheduling and energy procurement. Cleaner Energy Systems, 2025, 10: 100178.</w:t>
      </w:r>
    </w:p>
    <w:p>
      <w:pPr>
        <w:spacing w:line="240" w:lineRule="auto" w:after="60"/>
        <w:ind w:left="420" w:hanging="200"/>
      </w:pPr>
      <w:r>
        <w:rPr>
          <w:rFonts w:ascii="Times New Roman" w:hAnsi="Times New Roman" w:eastAsia="宋体"/>
          <w:b w:val="0"/>
          <w:sz w:val="21"/>
        </w:rPr>
        <w:t>[9] Lu Yao, Zhu Qicai, Tian Changhao, et al. Low-carbon and energy-efficient dynamic flexible job shop scheduling method towards renewable energy driven manufacturing. Machines, 2026, 14(1): 88.</w:t>
      </w:r>
    </w:p>
    <w:p>
      <w:pPr>
        <w:spacing w:line="240" w:lineRule="auto" w:after="60"/>
        <w:ind w:left="420" w:hanging="200"/>
      </w:pPr>
      <w:r>
        <w:rPr>
          <w:rFonts w:ascii="Times New Roman" w:hAnsi="Times New Roman" w:eastAsia="宋体"/>
          <w:b w:val="0"/>
          <w:sz w:val="21"/>
        </w:rPr>
        <w:t>[10] Luo Shu. Dynamic scheduling for flexible job shop with new job insertions by deep reinforcement learning. Applied Soft Computing, 2020, 91: 106208.</w:t>
      </w:r>
    </w:p>
    <w:p>
      <w:pPr>
        <w:spacing w:line="240" w:lineRule="auto" w:after="60"/>
        <w:ind w:left="420" w:hanging="200"/>
      </w:pPr>
      <w:r>
        <w:rPr>
          <w:rFonts w:ascii="Times New Roman" w:hAnsi="Times New Roman" w:eastAsia="宋体"/>
          <w:b w:val="0"/>
          <w:sz w:val="21"/>
        </w:rPr>
        <w:t>[11] Deb K, Pratap A, Agarwal S, et al. A fast and elitist multiobjective genetic algorithm: NSGA-II. IEEE Transactions on Evolutionary Computation, 2002, 6(2): 182-197.</w:t>
      </w:r>
    </w:p>
    <w:p>
      <w:pPr>
        <w:spacing w:line="240" w:lineRule="auto" w:after="60"/>
        <w:ind w:left="420" w:hanging="200"/>
      </w:pPr>
      <w:r>
        <w:rPr>
          <w:rFonts w:ascii="Times New Roman" w:hAnsi="Times New Roman" w:eastAsia="宋体"/>
          <w:b w:val="0"/>
          <w:sz w:val="21"/>
        </w:rPr>
        <w:t>[12] Brandimarte P. Routing and scheduling in a flexible job shop by tabu search. Annals of Operations Research, 1993, 41(3): 157-183.</w:t>
      </w:r>
    </w:p>
    <w:p>
      <w:pPr>
        <w:spacing w:line="240" w:lineRule="auto" w:after="60"/>
        <w:ind w:left="420" w:hanging="200"/>
      </w:pPr>
      <w:r>
        <w:rPr>
          <w:rFonts w:ascii="Times New Roman" w:hAnsi="Times New Roman" w:eastAsia="宋体"/>
          <w:b w:val="0"/>
          <w:sz w:val="21"/>
        </w:rPr>
        <w:t>[13] Dauzère-Pérès S, Ding Junwen, Shen Liji, et al. The flexible job shop scheduling problem: a review. European Journal of Operational Research, 2024, 314(2): 409-432.</w:t>
      </w:r>
    </w:p>
    <w:p>
      <w:pPr>
        <w:spacing w:line="240" w:lineRule="auto" w:after="60"/>
        <w:ind w:left="420" w:hanging="200"/>
      </w:pPr>
      <w:r>
        <w:rPr>
          <w:rFonts w:ascii="Times New Roman" w:hAnsi="Times New Roman" w:eastAsia="宋体"/>
          <w:b w:val="0"/>
          <w:sz w:val="21"/>
        </w:rPr>
        <w:t>[14] Song Yiwen, Sun Jian, Wang Gang, et al. Flexible job-shop scheduling via graph neural network and deep reinforcement learning. IEEE Transactions on Industrial Informatics, 2023, 19(2): 1917-1928.</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Rev3Link16" Type="http://schemas.openxmlformats.org/officeDocument/2006/relationships/hyperlink" Target="https://github.com/ZJ55668899/market-aware-low-carbon-f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耦合分时电价、变速选择与线性碳结算的柔性作业车间调度：三目标优化与价格碳权衡的情景依赖性</dc:title>
  <dc:subject/>
  <dc:creator>python-docx</dc:creator>
  <cp:keywords/>
  <dc:description>generated by python-docx</dc:description>
  <cp:lastModifiedBy>Codex</cp:lastModifiedBy>
  <cp:revision>1</cp:revision>
  <dcterms:created xsi:type="dcterms:W3CDTF">2013-12-23T23:15:00Z</dcterms:created>
  <dcterms:modified xsi:type="dcterms:W3CDTF">2013-12-23T23:15:00Z</dcterms:modified>
  <cp:category/>
</cp:coreProperties>
</file>