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姜名丽</w:t>
      </w:r>
    </w:p>
    <w:p>
      <w:r>
        <w:drawing>
          <wp:inline xmlns:a="http://schemas.openxmlformats.org/drawingml/2006/main" xmlns:pic="http://schemas.openxmlformats.org/drawingml/2006/picture">
            <wp:extent cx="11430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5900756.1631601001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女</w:t>
            </w:r>
          </w:p>
        </w:tc>
        <w:tc>
          <w:tcPr>
            <w:tcW w:type="dxa" w:w="1080"/>
          </w:tcPr>
          <w:p>
            <w:r>
              <w:t>3160100190</w:t>
            </w:r>
          </w:p>
        </w:tc>
        <w:tc>
          <w:tcPr>
            <w:tcW w:type="dxa" w:w="1080"/>
          </w:tcPr>
          <w:p>
            <w:r>
              <w:t>18957303803</w:t>
            </w:r>
          </w:p>
        </w:tc>
        <w:tc>
          <w:tcPr>
            <w:tcW w:type="dxa" w:w="1080"/>
          </w:tcPr>
          <w:p>
            <w:r>
              <w:t>大二</w:t>
            </w:r>
          </w:p>
        </w:tc>
        <w:tc>
          <w:tcPr>
            <w:tcW w:type="dxa" w:w="1080"/>
          </w:tcPr>
          <w:p>
            <w:r>
              <w:t>农业资源与环境</w:t>
            </w:r>
          </w:p>
        </w:tc>
        <w:tc>
          <w:tcPr>
            <w:tcW w:type="dxa" w:w="1080"/>
          </w:tcPr>
          <w:p>
            <w:r>
              <w:t>3160100190@zju.edu.cn</w:t>
            </w:r>
          </w:p>
        </w:tc>
        <w:tc>
          <w:tcPr>
            <w:tcW w:type="dxa" w:w="1080"/>
          </w:tcPr>
          <w:p>
            <w:r>
              <w:t>电脑部</w:t>
            </w:r>
          </w:p>
        </w:tc>
        <w:tc>
          <w:tcPr>
            <w:tcW w:type="dxa" w:w="1080"/>
          </w:tcPr>
          <w:p>
            <w:r>
              <w:t>人资部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爸春节快乐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空空的他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某落啊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颅痛定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我的鱼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