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 技术架构升级提案</w:t>
      </w:r>
    </w:p>
    <w:p>
      <w:r>
        <w:t>本提案旨在通过引入微服务架构提升系统可扩展性。</w:t>
      </w:r>
    </w:p>
    <w:p>
      <w:pPr>
        <w:pStyle w:val="Heading2"/>
      </w:pPr>
      <w:r>
        <w:t>实施目标</w:t>
      </w:r>
    </w:p>
    <w:p>
      <w:pPr>
        <w:pStyle w:val="ListBullet"/>
      </w:pPr>
      <w:r>
        <w:t>降低模块耦合度</w:t>
      </w:r>
    </w:p>
    <w:p>
      <w:pPr>
        <w:pStyle w:val="ListBullet"/>
      </w:pPr>
      <w:r>
        <w:t>提升并发处理能力</w:t>
      </w:r>
    </w:p>
    <w:p>
      <w:pPr>
        <w:pStyle w:val="ListBullet"/>
      </w:pPr>
      <w:r>
        <w:t>优化运维监控流程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