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A股板块潜力与龙头图形股研究报告</w:t>
        <w:br/>
        <w:t>二次优化需求说明</w:t>
      </w:r>
    </w:p>
    <w:p>
      <w:pPr>
        <w:jc w:val="center"/>
      </w:pPr>
      <w:r>
        <w:rPr>
          <w:i/>
        </w:rPr>
        <w:t>基于 2026-08-21 旧版与 2026-08-24 改版报告的对比分析｜2026-08-27</w:t>
      </w:r>
    </w:p>
    <w:p>
      <w:pPr>
        <w:pStyle w:val="Heading1"/>
      </w:pPr>
      <w:r>
        <w:t>一、优化目标</w:t>
      </w:r>
    </w:p>
    <w:p>
      <w:pPr>
        <w:pStyle w:val="ListBullet"/>
      </w:pPr>
      <w:r>
        <w:t>以2026-08-24新版为主框架，不回退旧版；补回早期发现、资金轮动和宽观察池能力。</w:t>
      </w:r>
    </w:p>
    <w:p>
      <w:pPr>
        <w:pStyle w:val="ListBullet"/>
      </w:pPr>
      <w:r>
        <w:t>形成“市场环境→板块早期启动→四维确认→龙头梯队→个股图形→交易触发”的完整监控链。</w:t>
      </w:r>
    </w:p>
    <w:p>
      <w:pPr>
        <w:pStyle w:val="ListBullet"/>
      </w:pPr>
      <w:r>
        <w:t>日报强调当日变化与行动价值；周报强调趋势演化、主线发现和下周观察。</w:t>
      </w:r>
    </w:p>
    <w:p>
      <w:pPr>
        <w:pStyle w:val="ListBullet"/>
      </w:pPr>
      <w:r>
        <w:t>保持RESEARCH_ONLY/WAIT原则，报告提供研究与交易辅助信号，不直接替代交易决策。</w:t>
      </w:r>
    </w:p>
    <w:p>
      <w:pPr>
        <w:pStyle w:val="Heading1"/>
      </w:pPr>
      <w:r>
        <w:t>二、日报总体架构</w:t>
      </w:r>
    </w:p>
    <w:p>
      <w:r>
        <w:rPr>
          <w:b/>
        </w:rPr>
        <w:t>1. 今日雷达｜4栏</w:t>
      </w:r>
    </w:p>
    <w:p>
      <w:r>
        <w:t>市场环境：指数、涨跌家数、成交额/量能、市场状态及置信度；板块总览：90行业状态、排名、S0~S5；状态变化：升级/降级/新入池/退出；今日重点：3~5个重点板块及“距离触发还差什么”。</w:t>
      </w:r>
    </w:p>
    <w:p>
      <w:r>
        <w:rPr>
          <w:b/>
        </w:rPr>
        <w:t>2. 启动扫描｜3栏</w:t>
      </w:r>
    </w:p>
    <w:p>
      <w:r>
        <w:t>启动全景：90行业A/B/C/D；早期启动池：重点展示B/C类及变化；启动证据：5D/10D/20D收益、相对强度、量能、3D/5D/10D/20D资金、距阻力、龙头扩散。</w:t>
      </w:r>
    </w:p>
    <w:p>
      <w:r>
        <w:rPr>
          <w:b/>
        </w:rPr>
        <w:t>3. 资金轮动｜3栏</w:t>
      </w:r>
    </w:p>
    <w:p>
      <w:r>
        <w:t>资金加速Top10：3D→5D→10D→20D趋势；资金撤退Top10；价格/资金背离：价强资弱、价弱资强等。</w:t>
      </w:r>
    </w:p>
    <w:p>
      <w:r>
        <w:rPr>
          <w:b/>
        </w:rPr>
        <w:t>4. 龙头梯队｜3栏</w:t>
      </w:r>
    </w:p>
    <w:p>
      <w:r>
        <w:t>L1/L2/L3龙头梯队；龙头强弱及Top5扩散度；龙头状态变化及与板块确认的一致/背离。</w:t>
      </w:r>
    </w:p>
    <w:p>
      <w:r>
        <w:rPr>
          <w:b/>
        </w:rPr>
        <w:t>5. 图形候选｜3栏</w:t>
      </w:r>
    </w:p>
    <w:p>
      <w:r>
        <w:t>L1正式交易候选；L2预备观察；L3早期发现。每只显示板块、代码、形态、位置、量能、相对强度、触发条件、风险。</w:t>
      </w:r>
    </w:p>
    <w:p>
      <w:r>
        <w:rPr>
          <w:b/>
        </w:rPr>
        <w:t>6. 四维确认｜2栏</w:t>
      </w:r>
    </w:p>
    <w:p>
      <w:r>
        <w:t>价格/资金/相对强度/领导力通过情况；确认缺口：已确认/缺哪一项/下一观察条件。</w:t>
      </w:r>
    </w:p>
    <w:p>
      <w:r>
        <w:rPr>
          <w:b/>
        </w:rPr>
        <w:t>7. 风险监控｜2栏</w:t>
      </w:r>
    </w:p>
    <w:p>
      <w:r>
        <w:t>板块降级、突破失败、资金流失、扩散收窄；市场级风险及数据完整性/未知证据。</w:t>
      </w:r>
    </w:p>
    <w:p>
      <w:r>
        <w:rPr>
          <w:b/>
        </w:rPr>
        <w:t>8. 报告说明｜3栏</w:t>
      </w:r>
    </w:p>
    <w:p>
      <w:r>
        <w:t>字段定义；全部状态码/枚举中文对照；数据口径、历史概率含义、缺失数据处理规则。</w:t>
      </w:r>
    </w:p>
    <w:p>
      <w:pPr>
        <w:pStyle w:val="Heading1"/>
      </w:pPr>
      <w:r>
        <w:t>三、周报总体架构</w:t>
      </w:r>
    </w:p>
    <w:p>
      <w:r>
        <w:t>周报沿用日报主体，并在周五晚间至周六增加以下专属频道：</w:t>
      </w:r>
    </w:p>
    <w:p>
      <w:r>
        <w:rPr>
          <w:b/>
        </w:rPr>
        <w:t>1. 本周市场复盘</w:t>
      </w:r>
    </w:p>
    <w:p>
      <w:r>
        <w:t>市场状态周度变化、量能、风险环境及主要风格/板块轮动。</w:t>
      </w:r>
    </w:p>
    <w:p>
      <w:r>
        <w:rPr>
          <w:b/>
        </w:rPr>
        <w:t>2. 板块生命周期迁移</w:t>
      </w:r>
    </w:p>
    <w:p>
      <w:r>
        <w:t>S0~S5升级/降级、首次进入重点观察、退出观察及迁移路径。</w:t>
      </w:r>
    </w:p>
    <w:p>
      <w:r>
        <w:rPr>
          <w:b/>
        </w:rPr>
        <w:t>3. 本周主线候选</w:t>
      </w:r>
    </w:p>
    <w:p>
      <w:r>
        <w:t>结合价格、资金、相对强度、龙头、扩散度，区分已形成主线、正在形成、潜在新主线。</w:t>
      </w:r>
    </w:p>
    <w:p>
      <w:r>
        <w:rPr>
          <w:b/>
        </w:rPr>
        <w:t>4. 资金趋势复盘</w:t>
      </w:r>
    </w:p>
    <w:p>
      <w:r>
        <w:t>3D/5D/10D/20D资金趋势，识别持续流入、边际加速、流出转流入和反转。</w:t>
      </w:r>
    </w:p>
    <w:p>
      <w:r>
        <w:rPr>
          <w:b/>
        </w:rPr>
        <w:t>5. 龙头与图形复盘</w:t>
      </w:r>
    </w:p>
    <w:p>
      <w:r>
        <w:t>L1/L2/L3变化、候选新增/淘汰、突破成功/失败及典型形态演化。</w:t>
      </w:r>
    </w:p>
    <w:p>
      <w:r>
        <w:rPr>
          <w:b/>
        </w:rPr>
        <w:t>6. 下周观察计划</w:t>
      </w:r>
    </w:p>
    <w:p>
      <w:r>
        <w:t>重点观察板块Top10，逐项给出状态、确认缺口、触发条件和风险。</w:t>
      </w:r>
    </w:p>
    <w:p>
      <w:r>
        <w:rPr>
          <w:b/>
        </w:rPr>
        <w:t>7. 历史统计与验证</w:t>
      </w:r>
    </w:p>
    <w:p>
      <w:r>
        <w:t>保留未来30日正收益/超额收益概率、样本量、置信区间，仅作辅助证据。</w:t>
      </w:r>
    </w:p>
    <w:p>
      <w:pPr>
        <w:pStyle w:val="Heading1"/>
      </w:pPr>
      <w:r>
        <w:t>四、日报与周报发布节奏</w:t>
      </w:r>
    </w:p>
    <w:p>
      <w:pPr>
        <w:pStyle w:val="ListBullet"/>
      </w:pPr>
      <w:r>
        <w:t>周一至周四：收盘后输出当日日报，突出状态、启动、资金和风险变化。</w:t>
      </w:r>
    </w:p>
    <w:p>
      <w:pPr>
        <w:pStyle w:val="ListBullet"/>
      </w:pPr>
      <w:r>
        <w:t>周五：收盘后可先输出当日日报；随后生成周报，且周报必须保留周五当日状态变化。</w:t>
      </w:r>
    </w:p>
    <w:p>
      <w:pPr>
        <w:pStyle w:val="ListBullet"/>
      </w:pPr>
      <w:r>
        <w:t>周五晚间至周六：完成周报，使用完整周度数据分析生命周期、资金、主线和下周计划。</w:t>
      </w:r>
    </w:p>
    <w:p>
      <w:pPr>
        <w:pStyle w:val="ListBullet"/>
      </w:pPr>
      <w:r>
        <w:t>周日不强制生成研究报告；如遇重大事件，可单独生成临时快报。</w:t>
      </w:r>
    </w:p>
    <w:p>
      <w:pPr>
        <w:pStyle w:val="Heading1"/>
      </w:pPr>
      <w:r>
        <w:t>五、枚举及状态代码说明要求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代码/枚举</w:t>
            </w:r>
          </w:p>
        </w:tc>
        <w:tc>
          <w:tcPr>
            <w:tcW w:type="dxa" w:w="2880"/>
          </w:tcPr>
          <w:p>
            <w:r>
              <w:t>中文描述</w:t>
            </w:r>
          </w:p>
        </w:tc>
        <w:tc>
          <w:tcPr>
            <w:tcW w:type="dxa" w:w="2880"/>
          </w:tcPr>
          <w:p>
            <w:r>
              <w:t>使用要求</w:t>
            </w:r>
          </w:p>
        </w:tc>
      </w:tr>
      <w:tr>
        <w:tc>
          <w:tcPr>
            <w:tcW w:type="dxa" w:w="2880"/>
          </w:tcPr>
          <w:p>
            <w:r>
              <w:t>S0</w:t>
            </w:r>
          </w:p>
        </w:tc>
        <w:tc>
          <w:tcPr>
            <w:tcW w:type="dxa" w:w="2880"/>
          </w:tcPr>
          <w:p>
            <w:r>
              <w:t>未启动/低证据</w:t>
            </w:r>
          </w:p>
        </w:tc>
        <w:tc>
          <w:tcPr>
            <w:tcW w:type="dxa" w:w="2880"/>
          </w:tcPr>
          <w:p>
            <w:r>
              <w:t>观察，不作为交易依据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初步改善</w:t>
            </w:r>
          </w:p>
        </w:tc>
        <w:tc>
          <w:tcPr>
            <w:tcW w:type="dxa" w:w="2880"/>
          </w:tcPr>
          <w:p>
            <w:r>
              <w:t>进入早期观察池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启动观察</w:t>
            </w:r>
          </w:p>
        </w:tc>
        <w:tc>
          <w:tcPr>
            <w:tcW w:type="dxa" w:w="2880"/>
          </w:tcPr>
          <w:p>
            <w:r>
              <w:t>重点跟踪确认条件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确认阶段</w:t>
            </w:r>
          </w:p>
        </w:tc>
        <w:tc>
          <w:tcPr>
            <w:tcW w:type="dxa" w:w="2880"/>
          </w:tcPr>
          <w:p>
            <w:r>
              <w:t>四维确认较完整，可寻找右侧交易点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强趋势阶段</w:t>
            </w:r>
          </w:p>
        </w:tc>
        <w:tc>
          <w:tcPr>
            <w:tcW w:type="dxa" w:w="2880"/>
          </w:tcPr>
          <w:p>
            <w:r>
              <w:t>趋势跟踪，关注过热与风险</w:t>
            </w:r>
          </w:p>
        </w:tc>
      </w:tr>
      <w:tr>
        <w:tc>
          <w:tcPr>
            <w:tcW w:type="dxa" w:w="2880"/>
          </w:tcPr>
          <w:p>
            <w:r>
              <w:t>S5</w:t>
            </w:r>
          </w:p>
        </w:tc>
        <w:tc>
          <w:tcPr>
            <w:tcW w:type="dxa" w:w="2880"/>
          </w:tcPr>
          <w:p>
            <w:r>
              <w:t>衰退/风险阶段</w:t>
            </w:r>
          </w:p>
        </w:tc>
        <w:tc>
          <w:tcPr>
            <w:tcW w:type="dxa" w:w="2880"/>
          </w:tcPr>
          <w:p>
            <w:r>
              <w:t>防守或退出重点观察</w:t>
            </w:r>
          </w:p>
        </w:tc>
      </w:tr>
      <w:tr>
        <w:tc>
          <w:tcPr>
            <w:tcW w:type="dxa" w:w="2880"/>
          </w:tcPr>
          <w:p>
            <w:r>
              <w:t>RADAR_WATCH</w:t>
            </w:r>
          </w:p>
        </w:tc>
        <w:tc>
          <w:tcPr>
            <w:tcW w:type="dxa" w:w="2880"/>
          </w:tcPr>
          <w:p>
            <w:r>
              <w:t>观察</w:t>
            </w:r>
          </w:p>
        </w:tc>
        <w:tc>
          <w:tcPr>
            <w:tcW w:type="dxa" w:w="2880"/>
          </w:tcPr>
          <w:p>
            <w:r>
              <w:t>有改善迹象但未完成确认</w:t>
            </w:r>
          </w:p>
        </w:tc>
      </w:tr>
      <w:tr>
        <w:tc>
          <w:tcPr>
            <w:tcW w:type="dxa" w:w="2880"/>
          </w:tcPr>
          <w:p>
            <w:r>
              <w:t>RADAR_NEAR_CONFIRMATION</w:t>
            </w:r>
          </w:p>
        </w:tc>
        <w:tc>
          <w:tcPr>
            <w:tcW w:type="dxa" w:w="2880"/>
          </w:tcPr>
          <w:p>
            <w:r>
              <w:t>接近确认</w:t>
            </w:r>
          </w:p>
        </w:tc>
        <w:tc>
          <w:tcPr>
            <w:tcW w:type="dxa" w:w="2880"/>
          </w:tcPr>
          <w:p>
            <w:r>
              <w:t>通常为3/4确认，明确缺口</w:t>
            </w:r>
          </w:p>
        </w:tc>
      </w:tr>
      <w:tr>
        <w:tc>
          <w:tcPr>
            <w:tcW w:type="dxa" w:w="2880"/>
          </w:tcPr>
          <w:p>
            <w:r>
              <w:t>RADAR_CONFIRMED</w:t>
            </w:r>
          </w:p>
        </w:tc>
        <w:tc>
          <w:tcPr>
            <w:tcW w:type="dxa" w:w="2880"/>
          </w:tcPr>
          <w:p>
            <w:r>
              <w:t>已确认</w:t>
            </w:r>
          </w:p>
        </w:tc>
        <w:tc>
          <w:tcPr>
            <w:tcW w:type="dxa" w:w="2880"/>
          </w:tcPr>
          <w:p>
            <w:r>
              <w:t>四维证据满足规则</w:t>
            </w:r>
          </w:p>
        </w:tc>
      </w:tr>
      <w:tr>
        <w:tc>
          <w:tcPr>
            <w:tcW w:type="dxa" w:w="2880"/>
          </w:tcPr>
          <w:p>
            <w:r>
              <w:t>RADAR_RISK</w:t>
            </w:r>
          </w:p>
        </w:tc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确认破坏或状态恶化</w:t>
            </w:r>
          </w:p>
        </w:tc>
      </w:tr>
      <w:tr>
        <w:tc>
          <w:tcPr>
            <w:tcW w:type="dxa" w:w="2880"/>
          </w:tcPr>
          <w:p>
            <w:r>
              <w:t>A/B/C/D</w:t>
            </w:r>
          </w:p>
        </w:tc>
        <w:tc>
          <w:tcPr>
            <w:tcW w:type="dxa" w:w="2880"/>
          </w:tcPr>
          <w:p>
            <w:r>
              <w:t>启动扫描等级</w:t>
            </w:r>
          </w:p>
        </w:tc>
        <w:tc>
          <w:tcPr>
            <w:tcW w:type="dxa" w:w="2880"/>
          </w:tcPr>
          <w:p>
            <w:r>
              <w:t>表示启动强弱，不等同买卖评级</w:t>
            </w:r>
          </w:p>
        </w:tc>
      </w:tr>
      <w:tr>
        <w:tc>
          <w:tcPr>
            <w:tcW w:type="dxa" w:w="2880"/>
          </w:tcPr>
          <w:p>
            <w:r>
              <w:t>L1/L2/L3</w:t>
            </w:r>
          </w:p>
        </w:tc>
        <w:tc>
          <w:tcPr>
            <w:tcW w:type="dxa" w:w="2880"/>
          </w:tcPr>
          <w:p>
            <w:r>
              <w:t>个股候选层级</w:t>
            </w:r>
          </w:p>
        </w:tc>
        <w:tc>
          <w:tcPr>
            <w:tcW w:type="dxa" w:w="2880"/>
          </w:tcPr>
          <w:p>
            <w:r>
              <w:t>L1正式、L2预备、L3早期发现</w:t>
            </w:r>
          </w:p>
        </w:tc>
      </w:tr>
    </w:tbl>
    <w:p>
      <w:r>
        <w:t>说明频道应覆盖报告实际出现的全部状态码、证据状态、风险标记、图形类型及模型枚举；新增枚举必须同步更新。</w:t>
      </w:r>
    </w:p>
    <w:p>
      <w:pPr>
        <w:pStyle w:val="Heading1"/>
      </w:pPr>
      <w:r>
        <w:t>六、二次优化重点要求</w:t>
      </w:r>
    </w:p>
    <w:p>
      <w:pPr>
        <w:pStyle w:val="ListNumber"/>
      </w:pPr>
      <w:r>
        <w:t>保留新版生命周期、四维确认、风险状态和历史统计框架，不因增加早期扫描而降低确认标准。</w:t>
      </w:r>
    </w:p>
    <w:p>
      <w:pPr>
        <w:pStyle w:val="ListNumber"/>
      </w:pPr>
      <w:r>
        <w:t>恢复旧版“未来20日新资金方向”的核心思想，改造成早期启动池，寻找正在变强但尚未充分上涨的板块。</w:t>
      </w:r>
    </w:p>
    <w:p>
      <w:pPr>
        <w:pStyle w:val="ListNumber"/>
      </w:pPr>
      <w:r>
        <w:t>恢复3D/5D/10D/20D资金趋势，重点观察资金边际改善、加速、转向和撤退。</w:t>
      </w:r>
    </w:p>
    <w:p>
      <w:pPr>
        <w:pStyle w:val="ListNumber"/>
      </w:pPr>
      <w:r>
        <w:t>图形候选采用L1/L2/L3三级池，避免严格过滤导致早期机会大量丢失。</w:t>
      </w:r>
    </w:p>
    <w:p>
      <w:pPr>
        <w:pStyle w:val="ListNumber"/>
      </w:pPr>
      <w:r>
        <w:t>把状态变化作为日报核心：优先展示升级、降级、新入池、退出、确认获得/丢失，而非重复静态排名。</w:t>
      </w:r>
    </w:p>
    <w:p>
      <w:pPr>
        <w:pStyle w:val="ListNumber"/>
      </w:pPr>
      <w:r>
        <w:t>增加“距离交易触发还差什么”：未确认板块明确缺口；已确认板块进入个股交易筛选阶段。</w:t>
      </w:r>
    </w:p>
    <w:p>
      <w:pPr>
        <w:pStyle w:val="ListNumber"/>
      </w:pPr>
      <w:r>
        <w:t>增加板块扩散度，区分少数龙头上涨与板块整体扩散，并与领导力证据联动。</w:t>
      </w:r>
    </w:p>
    <w:p>
      <w:pPr>
        <w:pStyle w:val="ListNumber"/>
      </w:pPr>
      <w:r>
        <w:t>增加价格与资金背离提示，降低单一指标误判。</w:t>
      </w:r>
    </w:p>
    <w:p>
      <w:pPr>
        <w:pStyle w:val="ListNumber"/>
      </w:pPr>
      <w:r>
        <w:t>综合评分与交易阶段分离：排名代表研究优先级，不代表买入优先级。</w:t>
      </w:r>
    </w:p>
    <w:p>
      <w:pPr>
        <w:pStyle w:val="ListNumber"/>
      </w:pPr>
      <w:r>
        <w:t>增加市场状态×板块状态联动，为后续仓位管理提供环境约束；弱市提高确认要求。</w:t>
      </w:r>
    </w:p>
    <w:p>
      <w:pPr>
        <w:pStyle w:val="ListNumber"/>
      </w:pPr>
      <w:r>
        <w:t>历史概率继续保留并展示样本量、置信区间，仅作辅助证据，不作为单独交易触发。</w:t>
      </w:r>
    </w:p>
    <w:p>
      <w:pPr>
        <w:pStyle w:val="ListNumber"/>
      </w:pPr>
      <w:r>
        <w:t>数据缺失、样本不足、覆盖不完整必须显式标识，不得用默认值制造伪确认。</w:t>
      </w:r>
    </w:p>
    <w:p>
      <w:pPr>
        <w:pStyle w:val="Heading1"/>
      </w:pPr>
      <w:r>
        <w:t>七、最终信息链</w:t>
      </w:r>
    </w:p>
    <w:p>
      <w:r>
        <w:t>市场环境 → 90行业雷达 → 早期启动池 → 资金边际变化 → 四维确认 → 龙头梯队/扩散 → L1/L2/L3个股池 → 正式图形候选 → 交易触发条件。</w:t>
      </w:r>
    </w:p>
    <w:p>
      <w:r>
        <w:t>日报回答“今天发生了什么变化、哪些值得继续盯”；周报回答“本周什么在形成、什么在衰退、下周应该盯什么”。</w:t>
      </w:r>
    </w:p>
    <w:p>
      <w:pPr>
        <w:pStyle w:val="Heading1"/>
      </w:pPr>
      <w:r>
        <w:t>八、验收标准</w:t>
      </w:r>
    </w:p>
    <w:p>
      <w:pPr>
        <w:pStyle w:val="ListBullet"/>
      </w:pPr>
      <w:r>
        <w:t>同一板块可在日报追踪昨日→今日、在周报追踪周初→周末状态变化。</w:t>
      </w:r>
    </w:p>
    <w:p>
      <w:pPr>
        <w:pStyle w:val="ListBullet"/>
      </w:pPr>
      <w:r>
        <w:t>所有S码、RADAR码、A/B/C/D、L1/L2/L3及其他枚举均有中文说明。</w:t>
      </w:r>
    </w:p>
    <w:p>
      <w:pPr>
        <w:pStyle w:val="ListBullet"/>
      </w:pPr>
      <w:r>
        <w:t>同时具备发现“已经确认的强板块”和“正在启动但尚未确认的早期板块”的能力。</w:t>
      </w:r>
    </w:p>
    <w:p>
      <w:pPr>
        <w:pStyle w:val="ListBullet"/>
      </w:pPr>
      <w:r>
        <w:t>重点板块必须明确当前缺失的确认条件，而非只给综合分。</w:t>
      </w:r>
    </w:p>
    <w:p>
      <w:pPr>
        <w:pStyle w:val="ListBullet"/>
      </w:pPr>
      <w:r>
        <w:t>通过3D/5D/10D/20D识别资金加速、持续、转向和撤退。</w:t>
      </w:r>
    </w:p>
    <w:p>
      <w:pPr>
        <w:pStyle w:val="ListBullet"/>
      </w:pPr>
      <w:r>
        <w:t>图形候选同时保留正式候选与观察候选，不因严格过滤丢失早期机会。</w:t>
      </w:r>
    </w:p>
    <w:p>
      <w:pPr>
        <w:pStyle w:val="ListBullet"/>
      </w:pPr>
      <w:r>
        <w:t>日报与周报数据口径一致，周报可由日报数据自然扩展。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