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sz w:val="32"/>
        </w:rPr>
        <w:t>24Model-guided large language models for evidence-grounded knowledge graph construction and causal-effect estimation of hydraulic engineering construction accidents</w:t>
      </w:r>
    </w:p>
    <w:p>
      <w:pPr>
        <w:pStyle w:val="Heading2"/>
      </w:pPr>
      <w:r>
        <w:rPr>
          <w:rFonts w:ascii="Times New Roman" w:hAnsi="Times New Roman" w:eastAsia="Times New Roman"/>
          <w:sz w:val="24"/>
        </w:rPr>
        <w:t>Abstract</w:t>
      </w:r>
    </w:p>
    <w:p>
      <w:pPr>
        <w:spacing w:line="276" w:lineRule="auto" w:after="120"/>
        <w:ind w:firstLine="420"/>
        <w:jc w:val="both"/>
      </w:pPr>
      <w:r>
        <w:rPr>
          <w:rFonts w:ascii="Times New Roman" w:hAnsi="Times New Roman" w:eastAsia="Times New Roman"/>
          <w:sz w:val="22"/>
        </w:rPr>
        <w:t>Hydraulic engineering construction (HEC) accident reports contain detailed evidence about engineering conditions, unsafe actions, organizational deficiencies, accident evolution, and preventive measures. Converting this heterogeneous narrative evidence into reusable knowledge remains difficult because conventional extraction methods provide limited causal structure, while unconstrained large language models (LLMs) may generate unsupported factors or relations. This study proposes an integrated framework that transforms accident reports into an evidence-grounded HEC knowledge graph (HEC-KG) and subsequently estimates selected factors' effects on accident severity. The sixth version of the accident causation 24Model is first extended into an HEC ontology. A question-guided Causal-CoT method then separates entity discovery from relation adjudication and uses conditional Yes/No questions, source evidence, three-run voting, and ontology validation to constrain LLM outputs. Type-constrained string and embedding alignment further consolidates cross-case knowledge while preserving provenance and unresolved conflicts. Finally, the fused graph is projected into a case-level observational matrix, and DoWhy performs theory-guided identification, estimation, bootstrap uncertainty analysis, and refutation. On a manually annotated test set, Causal-CoT achieved entity and relation F1-scores of 87.0% and 83.6%, respectively. Across 456 anonymized reports, 98.40% of 9,447 question-level decisions were unanimous. Knowledge fusion reduced 6,617 extracted entities and 8,061 relations to 5,581 canonical entities and 6,385 relations. Causal analysis identified three training- and knowledge-related factors with positive adjusted effects on severe-consequence probability, ranging from 5.27 to 6.25 percentage points. The framework provides a traceable bridge from accident narratives to graph-based causal tracing and exploratory severity analysis; its causal estimates concern recorded accidents rather than accident occurrence.</w:t>
      </w:r>
    </w:p>
    <w:p>
      <w:pPr>
        <w:spacing w:line="276" w:lineRule="auto" w:after="120"/>
        <w:ind w:firstLine="0"/>
        <w:jc w:val="both"/>
      </w:pPr>
      <w:r>
        <w:rPr>
          <w:rFonts w:ascii="Times New Roman" w:hAnsi="Times New Roman" w:eastAsia="Times New Roman"/>
          <w:b/>
          <w:sz w:val="22"/>
        </w:rPr>
        <w:t>Keywords:</w:t>
      </w:r>
      <w:r>
        <w:rPr>
          <w:rFonts w:ascii="Times New Roman" w:hAnsi="Times New Roman" w:eastAsia="Times New Roman"/>
          <w:sz w:val="22"/>
        </w:rPr>
        <w:t xml:space="preserve"> Hydraulic engineering construction; Accident knowledge graph; Accident causation 24Model; Large language model; Question-guided prompting; Knowledge fusion; Causal-effect estimation</w:t>
      </w:r>
    </w:p>
    <w:p>
      <w:pPr>
        <w:pStyle w:val="Heading1"/>
      </w:pPr>
      <w:r>
        <w:rPr>
          <w:rFonts w:ascii="Times New Roman" w:hAnsi="Times New Roman" w:eastAsia="Times New Roman"/>
          <w:sz w:val="28"/>
        </w:rPr>
        <w:t>1 Introduction</w:t>
      </w:r>
    </w:p>
    <w:p>
      <w:pPr>
        <w:spacing w:line="276" w:lineRule="auto" w:after="120"/>
        <w:ind w:firstLine="420"/>
        <w:jc w:val="both"/>
      </w:pPr>
      <w:r>
        <w:rPr>
          <w:rFonts w:ascii="Times New Roman" w:hAnsi="Times New Roman" w:eastAsia="Times New Roman"/>
          <w:sz w:val="22"/>
        </w:rPr>
        <w:t>Hydraulic engineering supports flood control, water-resource allocation, irrigation, navigation, and renewable-energy production (Zhou et al., 2025). Its construction, however, combines large temporary structures, complex geological and hydrological conditions, heavy equipment, high-risk operations, and multiple organizational interfaces. Accidents in this setting can cause casualties, economic losses, construction disruption, and damage to engineering facilities. Accident investigation reports record not only what happened, but also the unsafe actions, unsafe object states, management deficiencies, organizational conditions, and corrective measures identified during the investigation. Systematically reusing this evidence is therefore central to learning across projects and designing prevention measures that address both immediate hazards and their upstream causes (Halabi et al., 2022; Kumi et al., 2025).</w:t>
      </w:r>
    </w:p>
    <w:p>
      <w:pPr>
        <w:spacing w:line="276" w:lineRule="auto" w:after="120"/>
        <w:ind w:firstLine="420"/>
        <w:jc w:val="both"/>
      </w:pPr>
      <w:r>
        <w:rPr>
          <w:rFonts w:ascii="Times New Roman" w:hAnsi="Times New Roman" w:eastAsia="Times New Roman"/>
          <w:sz w:val="22"/>
        </w:rPr>
        <w:t>Existing accident analyses follow two main lines. Data-driven methods use association rules, Bayesian networks, sequence mining, text mining, or complex networks to reveal frequent factors and their statistical dependencies (Liu et al., 2023; Lin et al., 2024; Bairami-Khankandi et al., 2025; Yang and Xiang, 2025). These methods scale to large corpora, but frequent co-occurrence or predictive dependence does not by itself establish a causal relationship. Model-based approaches instead organize accident factors using frameworks such as the Swiss Cheese Model, the Human Factors Analysis and Classification System (HFACS), and the accident causation 24Model (Fu et al., 2020; Wu et al., 2023; Huo et al., 2025). Their theoretical hierarchies distinguish organizational conditions, individual capability, direct causes, accident processes, and consequences, but applying them to large collections of narrative reports requires extensive expert coding. The practical bottleneck is thus not the absence of accident knowledge, but the lack of a scalable and auditable mechanism for converting narrative evidence into a structured multilevel representation.</w:t>
      </w:r>
    </w:p>
    <w:p>
      <w:pPr>
        <w:spacing w:line="276" w:lineRule="auto" w:after="120"/>
        <w:ind w:firstLine="420"/>
        <w:jc w:val="both"/>
      </w:pPr>
      <w:r>
        <w:rPr>
          <w:rFonts w:ascii="Times New Roman" w:hAnsi="Times New Roman" w:eastAsia="Times New Roman"/>
          <w:sz w:val="22"/>
        </w:rPr>
        <w:t>Natural language processing has improved the classification and extraction of accident information (Pan et al., 2022; Ling et al., 2024). Supervised models can identify predefined factors with good accuracy when sufficiently large expert-annotated corpora are available (Jia et al., 2024; Cao et al., 2024). Large language models offer an alternative because they can interpret long narratives and follow task instructions without task-specific parameter training (Kastrati et al., 2025; Uhm et al., 2025). Prompting strategies, including zero-shot, few-shot, Chain-of-Thought (CoT), and planning-based prompting, have consequently been applied to accident classification and information extraction (Wei et al., 2023; Besta et al., 2024; Ahmadi et al., 2025). Nevertheless, a single free-form prompt leaves three problems unresolved. The model may conflate direct causes with management or culture factors, generate relations that violate the selected accident theory, and provide outputs that cannot be traced to an exact report span. These weaknesses are consequential in safety applications because a plausible but unsupported causal chain can misdirect preventive action.</w:t>
      </w:r>
    </w:p>
    <w:p>
      <w:pPr>
        <w:spacing w:line="276" w:lineRule="auto" w:after="120"/>
        <w:ind w:firstLine="420"/>
        <w:jc w:val="both"/>
      </w:pPr>
      <w:r>
        <w:rPr>
          <w:rFonts w:ascii="Times New Roman" w:hAnsi="Times New Roman" w:eastAsia="Times New Roman"/>
          <w:sz w:val="22"/>
        </w:rPr>
        <w:t>Knowledge graphs provide a suitable representation for retaining accident context, typed causal factors, accident evolution, consequences, and preventive measures in a common structure. Recent studies have constructed accident knowledge graphs using deep neural extraction models or LLMs and have demonstrated their value for visualization and knowledge retrieval (Chen et al., 2024; Ma and Chen, 2024; Qiong Liu et al., 2025). Graph construction alone, however, does not guarantee semantic consistency. The same factor may be expressed differently across reports, while similar expressions can refer to different levels of an accident causation model. Without type-aware entity alignment, conflict handling, and provenance preservation, graph scale can increase while the reliability of cross-case knowledge decreases. Moreover, a directed edge extracted from an investigation report represents the report's causal account; it is not, by itself, a statistically identified intervention effect.</w:t>
      </w:r>
    </w:p>
    <w:p>
      <w:pPr>
        <w:spacing w:line="276" w:lineRule="auto" w:after="120"/>
        <w:ind w:firstLine="420"/>
        <w:jc w:val="both"/>
      </w:pPr>
      <w:r>
        <w:rPr>
          <w:rFonts w:ascii="Times New Roman" w:hAnsi="Times New Roman" w:eastAsia="Times New Roman"/>
          <w:sz w:val="22"/>
        </w:rPr>
        <w:t>Structural causal models provide a formal language for separating causal assumptions from statistical estimation. A directed acyclic graph specifies the assumed relationships among treatments, outcomes, and common causes, while the backdoor criterion identifies variables that must be adjusted to estimate an intervention contrast from observational data (Pearl, 2009). DoWhy operationalizes this logic through a model-identify-estimate-refute workflow (Sharma and Kiciman, 2020). Applying this framework to accident reports requires careful definition of the estimand. Because an accident-report corpus contains no accident-free construction observations, it cannot identify how a factor changes accident occurrence. It can instead examine whether a selected factor is associated with a change in the probability of severe consequences among recorded accidents, conditional on an explicit causal graph and observed adjustment variables.</w:t>
      </w:r>
    </w:p>
    <w:p>
      <w:pPr>
        <w:spacing w:line="276" w:lineRule="auto" w:after="120"/>
        <w:ind w:firstLine="420"/>
        <w:jc w:val="both"/>
      </w:pPr>
      <w:r>
        <w:rPr>
          <w:rFonts w:ascii="Times New Roman" w:hAnsi="Times New Roman" w:eastAsia="Times New Roman"/>
          <w:sz w:val="22"/>
        </w:rPr>
        <w:t>These observations lead to three connected research problems. The first is how to extract HEC entities and relations in a way that follows the 24Model hierarchy, remains grounded in source evidence, and produces stable decisions under repeated inference. The second is how to integrate semantically equivalent mentions across accident cases without merging different 24Model layers or losing their evidence and case provenance. The third is how to translate the resulting graph into analyzable variables and estimate severity effects without treating graph frequency or an LLM-generated edge as causal proof. Addressing these problems requires a pipeline in which ontology design, question-guided extraction, knowledge fusion, graph construction, and causal inference have distinct and verifiable roles.</w:t>
      </w:r>
    </w:p>
    <w:p>
      <w:pPr>
        <w:spacing w:line="276" w:lineRule="auto" w:after="120"/>
        <w:ind w:firstLine="420"/>
        <w:jc w:val="both"/>
      </w:pPr>
      <w:r>
        <w:rPr>
          <w:rFonts w:ascii="Times New Roman" w:hAnsi="Times New Roman" w:eastAsia="Times New Roman"/>
          <w:sz w:val="22"/>
        </w:rPr>
        <w:t>We therefore develop a 24Model-guided framework for automated HEC-KG construction and causal-effect estimation. The framework first extends the sixth version of 24Model with HEC-specific context, process, consequence, and prevention concepts. It then applies Causal-CoT, a staged question-guided prompting method that separates recall-oriented entity discovery from binary relation adjudication. Each activated question produces a Yes/No decision, a concise factor label, an evidence span, and an auditable rationale. Three repeated decisions are aggregated by majority vote, and ontology rules validate entity types, relation directions, evidence presence, and culture-level claims. The accepted case graphs are integrated using same-type candidate retrieval, embedding reranking, NIL detection, conflict retention, and provenance-preserving merging. The canonical graph is stored in Neo4j for causal tracing and prevention-oriented queries. Finally, selected graph factors are projected into a case-level matrix and analyzed with a 24Model-constrained DoWhy workflow that includes treatment-specific adjustment, support and overlap screening, bootstrap confidence intervals, and refutation diagnostics.</w:t>
      </w:r>
    </w:p>
    <w:p>
      <w:pPr>
        <w:spacing w:line="276" w:lineRule="auto" w:after="120"/>
        <w:ind w:firstLine="420"/>
        <w:jc w:val="both"/>
      </w:pPr>
      <w:r>
        <w:rPr>
          <w:rFonts w:ascii="Times New Roman" w:hAnsi="Times New Roman" w:eastAsia="Times New Roman"/>
          <w:sz w:val="22"/>
        </w:rPr>
        <w:t>The contributions are summarized as follows:</w:t>
      </w:r>
    </w:p>
    <w:p>
      <w:pPr>
        <w:spacing w:after="120"/>
        <w:ind w:left="369" w:hanging="198"/>
      </w:pPr>
      <w:r>
        <w:rPr>
          <w:rFonts w:ascii="Times New Roman" w:hAnsi="Times New Roman" w:eastAsia="Times New Roman"/>
          <w:sz w:val="22"/>
        </w:rPr>
        <w:t xml:space="preserve">1. </w:t>
      </w:r>
      <w:r>
        <w:rPr>
          <w:rFonts w:ascii="Times New Roman" w:hAnsi="Times New Roman" w:eastAsia="Times New Roman"/>
          <w:sz w:val="22"/>
        </w:rPr>
        <w:t>We formulate automated HEC accident knowledge acquisition as an evidence-grounded, ontology-constrained decision process. The proposed Causal-CoT method combines GraphRAG-style entity discovery with a conditional 24Model question bank, repeated Yes/No voting, and bounded validation. This design makes accepted entities and relations traceable to their report evidence and exposes unstable judgments through vote and review metadata.</w:t>
      </w:r>
    </w:p>
    <w:p>
      <w:pPr>
        <w:spacing w:after="120"/>
        <w:ind w:left="369" w:hanging="198"/>
      </w:pPr>
      <w:r>
        <w:rPr>
          <w:rFonts w:ascii="Times New Roman" w:hAnsi="Times New Roman" w:eastAsia="Times New Roman"/>
          <w:sz w:val="22"/>
        </w:rPr>
        <w:t xml:space="preserve">2. </w:t>
      </w:r>
      <w:r>
        <w:rPr>
          <w:rFonts w:ascii="Times New Roman" w:hAnsi="Times New Roman" w:eastAsia="Times New Roman"/>
          <w:sz w:val="22"/>
        </w:rPr>
        <w:t>We construct a provenance-preserving HEC-KG that connects engineering context, organizational deficiencies, safety capability, unsafe actions and object states, accident processes, consequences, and preventive measures. The fusion layer restricts automatic alignment to the same ontology type, combines string and embedding evidence, assigns NIL identities when support is insufficient, and records ambiguous cases instead of forcing a merge. The resulting graph supports cross-case comparison and multilevel causal tracing while maintaining the distinctions imposed by 24Model.</w:t>
      </w:r>
    </w:p>
    <w:p>
      <w:pPr>
        <w:spacing w:after="120"/>
        <w:ind w:left="369" w:hanging="198"/>
      </w:pPr>
      <w:r>
        <w:rPr>
          <w:rFonts w:ascii="Times New Roman" w:hAnsi="Times New Roman" w:eastAsia="Times New Roman"/>
          <w:sz w:val="22"/>
        </w:rPr>
        <w:t xml:space="preserve">3. </w:t>
      </w:r>
      <w:r>
        <w:rPr>
          <w:rFonts w:ascii="Times New Roman" w:hAnsi="Times New Roman" w:eastAsia="Times New Roman"/>
          <w:sz w:val="22"/>
        </w:rPr>
        <w:t>We connect the symbolic graph to observational causal analysis. A theory-defined causal graph guides treatment-specific backdoor adjustment, while sample-support, overlap, separation, bootstrap, and refutation checks determine whether an estimate is usable. This analysis identifies training, safety knowledge, and risk communication as priority factors for severe consequences among recorded accidents and clearly separates adjusted severity effects from accident-occurrence risk.</w:t>
      </w:r>
    </w:p>
    <w:p>
      <w:pPr>
        <w:spacing w:line="276" w:lineRule="auto" w:after="120"/>
        <w:ind w:firstLine="420"/>
        <w:jc w:val="both"/>
      </w:pPr>
      <w:r>
        <w:rPr>
          <w:rFonts w:ascii="Times New Roman" w:hAnsi="Times New Roman" w:eastAsia="Times New Roman"/>
          <w:sz w:val="22"/>
        </w:rPr>
        <w:t>The remainder of this article is organized as follows. Section 2 reviews HEC accident causation analysis, LLM-assisted accident knowledge extraction, and structural causal inference. Section 3 presents data preparation, ontology development, automated HEC-KG construction, knowledge fusion, and causal-effect estimation. Section 4 describes the experimental protocol and evaluates extraction performance, model scale, ablations, and expert validation. Section 5 reports the graph-construction and causal-analysis results and discusses their prevention implications. Section 6 concludes the study and outlines its scope and future development.</w:t>
      </w:r>
    </w:p>
    <w:p>
      <w:pPr>
        <w:pStyle w:val="Heading1"/>
      </w:pPr>
      <w:r>
        <w:rPr>
          <w:rFonts w:ascii="Times New Roman" w:hAnsi="Times New Roman" w:eastAsia="Times New Roman"/>
          <w:sz w:val="28"/>
        </w:rPr>
        <w:t>2 Literature review</w:t>
      </w:r>
    </w:p>
    <w:p>
      <w:pPr>
        <w:pStyle w:val="Heading2"/>
      </w:pPr>
      <w:r>
        <w:rPr>
          <w:rFonts w:ascii="Times New Roman" w:hAnsi="Times New Roman" w:eastAsia="Times New Roman"/>
          <w:sz w:val="24"/>
        </w:rPr>
        <w:t>2.1 Accident causation analysis in hydraulic engineering construction</w:t>
      </w:r>
    </w:p>
    <w:p>
      <w:pPr>
        <w:spacing w:line="276" w:lineRule="auto" w:after="120"/>
        <w:ind w:firstLine="420"/>
        <w:jc w:val="both"/>
      </w:pPr>
      <w:r>
        <w:rPr>
          <w:rFonts w:ascii="Times New Roman" w:hAnsi="Times New Roman" w:eastAsia="Times New Roman"/>
          <w:sz w:val="22"/>
        </w:rPr>
        <w:t>HEC accident causation research seeks to identify how engineering conditions, human actions, organizational decisions, and control failures combine to produce harmful outcomes. Data-driven studies derive recurring patterns from accident records using co-occurrence analysis, association rules, sequence mining, Bayesian networks, and complex-network measures (Qiu et al., 2021; Huang et al., 2022; Liu et al., 2023). Sequence-based methods can reveal the ordering of worker behaviors before an event, while network approaches identify factors that occupy central or bridging positions in observed association structures. Nguyen et al. (2024), for example, combined sequential pattern mining with social-network analysis to characterize high-risk behavior sequences. Meng et al. (2024) used complex networks to analyze unsafe behavior across construction accident reports. Bayesian approaches further support probabilistic reasoning about multifactor coupling and accident consequences (Zhou et al., 2022; Lin et al., 2024). These methods are effective for summarizing large datasets, but their edges generally represent co-occurrence, temporal association, or conditional dependence.</w:t>
      </w:r>
    </w:p>
    <w:p>
      <w:pPr>
        <w:spacing w:line="276" w:lineRule="auto" w:after="120"/>
        <w:ind w:firstLine="420"/>
        <w:jc w:val="both"/>
      </w:pPr>
      <w:r>
        <w:rPr>
          <w:rFonts w:ascii="Times New Roman" w:hAnsi="Times New Roman" w:eastAsia="Times New Roman"/>
          <w:sz w:val="22"/>
        </w:rPr>
        <w:t>Accident causation models introduce theoretical structure that is not available from association statistics alone. Domino theory represents an accident as a sequence of dependent events, the Swiss Cheese Model emphasizes the alignment of defensive failures, and HFACS organizes human and organizational factors into hierarchical levels (Ge et al., 2022; Wu et al., 2023; Guo et al., 2025). The 24Model extends this systems perspective by connecting safety culture, the safety management system, individual safety capability, unsafe actions and object states, accident evolution, and consequences (Fu et al., 2020). This hierarchy is particularly relevant to HEC because technical failures often occur within temporary works and changing geological or hydrological conditions, while their upstream explanations involve supervision, planning, competence, investment, and organizational priorities.</w:t>
      </w:r>
    </w:p>
    <w:p>
      <w:pPr>
        <w:spacing w:line="276" w:lineRule="auto" w:after="120"/>
        <w:ind w:firstLine="420"/>
        <w:jc w:val="both"/>
      </w:pPr>
      <w:r>
        <w:rPr>
          <w:rFonts w:ascii="Times New Roman" w:hAnsi="Times New Roman" w:eastAsia="Times New Roman"/>
          <w:sz w:val="22"/>
        </w:rPr>
        <w:t>Applications of these models have improved the interpretability of accident analysis. Tian et al. (2022) used HFACS to classify human risk factors in hydraulic construction and to examine relationships among hierarchical factors. Wong et al. (2016) applied a modified HFACS framework to fall-from-height accidents and connected organizational planning deficiencies with individual violations. Yuxin et al. (2024) analyzed accident reports with the 24Model and constructed a causal-factor network that retained the distinction between direct and organizational causes. These studies show the analytical value of theory-guided coding, but the coding process remains dependent on expert interpretation. The central unresolved issue is therefore how to scale model-based analysis without replacing transparent expert criteria with unconstrained automated inference.</w:t>
      </w:r>
    </w:p>
    <w:p>
      <w:pPr>
        <w:spacing w:line="276" w:lineRule="auto" w:after="120"/>
        <w:ind w:firstLine="420"/>
        <w:jc w:val="both"/>
      </w:pPr>
      <w:r>
        <w:rPr>
          <w:rFonts w:ascii="Times New Roman" w:hAnsi="Times New Roman" w:eastAsia="Times New Roman"/>
          <w:sz w:val="22"/>
        </w:rPr>
        <w:t>The present study treats data-driven analysis and accident causation theory as complementary rather than competing approaches. The 24Model defines the admissible semantic hierarchy and causal ordering, while empirical data determine which entities and relations are reported, how frequently they recur, and which selected factors have sufficient observational support for severity analysis. This separation prevents a high-frequency association from being labeled causal solely because it is common, and it prevents theoretical plausibility from being treated as an estimated effect without data support.</w:t>
      </w:r>
    </w:p>
    <w:p>
      <w:pPr>
        <w:pStyle w:val="Heading2"/>
      </w:pPr>
      <w:r>
        <w:rPr>
          <w:rFonts w:ascii="Times New Roman" w:hAnsi="Times New Roman" w:eastAsia="Times New Roman"/>
          <w:sz w:val="24"/>
        </w:rPr>
        <w:t>2.2 LLM-assisted accident knowledge extraction and knowledge graphs</w:t>
      </w:r>
    </w:p>
    <w:p>
      <w:pPr>
        <w:spacing w:line="276" w:lineRule="auto" w:after="120"/>
        <w:ind w:firstLine="420"/>
        <w:jc w:val="both"/>
      </w:pPr>
      <w:r>
        <w:rPr>
          <w:rFonts w:ascii="Times New Roman" w:hAnsi="Times New Roman" w:eastAsia="Times New Roman"/>
          <w:sz w:val="22"/>
        </w:rPr>
        <w:t>Accident reports are semi-structured narratives that combine event descriptions, causal findings, responsibility analysis, loss information, and corrective measures. Earlier natural language processing studies addressed this complexity through supervised classification and sequence labeling (Pan et al., 2022; Ling et al., 2024). Jia et al. (2024) annotated accident causes under a causation framework and trained a classifier for fine-grained factor recognition. Cao et al. (2024) used the 24Model to define entity and relation labels and trained a BERT-based joint extraction model for hydropower-construction risk evolution. Such models can provide consistent predictions, but their performance depends on substantial domain annotation and their label space is costly to revise when an ontology evolves.</w:t>
      </w:r>
    </w:p>
    <w:p>
      <w:pPr>
        <w:spacing w:line="276" w:lineRule="auto" w:after="120"/>
        <w:ind w:firstLine="420"/>
        <w:jc w:val="both"/>
      </w:pPr>
      <w:r>
        <w:rPr>
          <w:rFonts w:ascii="Times New Roman" w:hAnsi="Times New Roman" w:eastAsia="Times New Roman"/>
          <w:sz w:val="22"/>
        </w:rPr>
        <w:t>Knowledge graphs extend information extraction by preserving entities as typed nodes and relations as explicit edges. Construction-safety studies have used ontology-based graphs to organize accident factors, event evolution, legal information, and control measures, thereby supporting visual exploration and structured queries (Chen et al., 2024; Ma and Chen, 2024). A graph can connect a direct hazardous state to upstream management conditions and downstream consequences, which is difficult to represent in a flat classification table. Its usefulness nevertheless depends on relation direction, entity identity, and source traceability. Duplicate names inflate the graph, while aggressive merging can collapse distinct concepts such as a safety-management deficiency and a worker capability limitation.</w:t>
      </w:r>
    </w:p>
    <w:p>
      <w:pPr>
        <w:spacing w:line="276" w:lineRule="auto" w:after="120"/>
        <w:ind w:firstLine="420"/>
        <w:jc w:val="both"/>
      </w:pPr>
      <w:r>
        <w:rPr>
          <w:rFonts w:ascii="Times New Roman" w:hAnsi="Times New Roman" w:eastAsia="Times New Roman"/>
          <w:sz w:val="22"/>
        </w:rPr>
        <w:t>LLMs reduce the need for task-specific model training and can follow ontology definitions supplied in a prompt. Zero-shot and few-shot prompting have been used to classify accident attributes and extract causal information from construction and aviation reports (Ray et al., 2024; Ahmadi et al., 2025; Ren et al., 2025). Retrieval-augmented generation and fine-tuning can add domain information, but they require an appropriate retrieval corpus or labeled examples (Lee et al., 2024). Prompt engineering is therefore attractive when accident data are sparse, sensitive, or heterogeneous. CoT prompting can decompose a complex task into smaller decisions, and self-consistency can aggregate repeated answers rather than trusting one decoding trajectory (Wei et al., 2023; Besta et al., 2024; Do et al., 2025).</w:t>
      </w:r>
    </w:p>
    <w:p>
      <w:pPr>
        <w:spacing w:line="276" w:lineRule="auto" w:after="120"/>
        <w:ind w:firstLine="420"/>
        <w:jc w:val="both"/>
      </w:pPr>
      <w:r>
        <w:rPr>
          <w:rFonts w:ascii="Times New Roman" w:hAnsi="Times New Roman" w:eastAsia="Times New Roman"/>
          <w:sz w:val="22"/>
        </w:rPr>
        <w:t>Recent accident-KG research has begun to combine causation models, LLM prompting, and graph construction. Qiong Liu et al. (2025) used an AcciMap-based ontology and iterative prompts to extract entities and relations from construction accident reports. This direction demonstrates that LLMs can construct safety knowledge graphs without a large task-specific training set. Two methodological gaps remain. First, free-form graph generation does not guarantee that an accepted relation follows the selected causation model or that its evidence is recoverable. Second, most pipelines stop after case-level extraction and graph storage; they devote less attention to cross-case entity alignment, conflict retention, and the distinction between a report-derived causal assertion and a statistically identified effect.</w:t>
      </w:r>
    </w:p>
    <w:p>
      <w:pPr>
        <w:spacing w:line="276" w:lineRule="auto" w:after="120"/>
        <w:ind w:firstLine="420"/>
        <w:jc w:val="both"/>
      </w:pPr>
      <w:r>
        <w:rPr>
          <w:rFonts w:ascii="Times New Roman" w:hAnsi="Times New Roman" w:eastAsia="Times New Roman"/>
          <w:sz w:val="22"/>
        </w:rPr>
        <w:t>The proposed Causal-CoT pipeline addresses these gaps by assigning different objectives to entity discovery and relation reasoning. Entity discovery is recall-oriented and includes one gleaning pass. Relation reasoning is precision-oriented and uses a closed question bank whose target entity type and relation are fixed by the ontology. Conditional activation follows the 24Model order, so culture-level questions depend on accepted management evidence rather than being asked independently. Repeated Yes/No voting measures decision stability, while evidence and ontology checks provide an auditable acceptance rule. The subsequent fusion layer handles canonical identity across cases and preserves unresolved conflicts as review records.</w:t>
      </w:r>
    </w:p>
    <w:p>
      <w:pPr>
        <w:pStyle w:val="Heading2"/>
      </w:pPr>
      <w:r>
        <w:rPr>
          <w:rFonts w:ascii="Times New Roman" w:hAnsi="Times New Roman" w:eastAsia="Times New Roman"/>
          <w:sz w:val="24"/>
        </w:rPr>
        <w:t>2.3 Structural causal models and causal-effect estimation</w:t>
      </w:r>
    </w:p>
    <w:p>
      <w:pPr>
        <w:spacing w:line="276" w:lineRule="auto" w:after="120"/>
        <w:ind w:firstLine="420"/>
        <w:jc w:val="both"/>
      </w:pPr>
      <w:r>
        <w:rPr>
          <w:rFonts w:ascii="Times New Roman" w:hAnsi="Times New Roman" w:eastAsia="Times New Roman"/>
          <w:sz w:val="22"/>
        </w:rPr>
        <w:t>Statistical association and causal effect answer different questions. An association describes how variables co-vary in observed data, whereas a causal estimand compares outcomes under hypothetical interventions. Structural causal models express the assumptions needed for this comparison through directed graphs and structural relationships (Pearl, 2009). For a treatment (T), outcome (Y), and admissible adjustment set (Z), the backdoor criterion identifies conditions under which the intervention contrast can be recovered from observational data. This framework makes causal assumptions explicit and prevents the adjustment set from being selected solely by predictive performance.</w:t>
      </w:r>
    </w:p>
    <w:p>
      <w:pPr>
        <w:spacing w:line="276" w:lineRule="auto" w:after="120"/>
        <w:ind w:firstLine="420"/>
        <w:jc w:val="both"/>
      </w:pPr>
      <w:r>
        <w:rPr>
          <w:rFonts w:ascii="Times New Roman" w:hAnsi="Times New Roman" w:eastAsia="Times New Roman"/>
          <w:sz w:val="22"/>
        </w:rPr>
        <w:t>DoWhy implements causal analysis as four linked operations: modeling the assumed causal graph, identifying an estimand, estimating the effect, and refuting the estimate through perturbation or falsification tests (Sharma and Kiciman, 2020). This separation is useful in accident research because it distinguishes the theory that determines causal direction from the statistical estimator applied to observed cases. It also makes failures visible. A treatment with little variation, insufficient comparison cases, an empty treatment-outcome cell, or no usable common cause cannot support the same interpretation as a well-overlapped treatment, even if a regression coefficient can be computed.</w:t>
      </w:r>
    </w:p>
    <w:p>
      <w:pPr>
        <w:spacing w:line="276" w:lineRule="auto" w:after="120"/>
        <w:ind w:firstLine="420"/>
        <w:jc w:val="both"/>
      </w:pPr>
      <w:r>
        <w:rPr>
          <w:rFonts w:ascii="Times New Roman" w:hAnsi="Times New Roman" w:eastAsia="Times New Roman"/>
          <w:sz w:val="22"/>
        </w:rPr>
        <w:t>Causal inference from accident reports presents additional measurement and selection challenges. Reports are generated after an event and contain no observations of accident-free work, so they cannot directly estimate accident-occurrence risk. Severe accidents may also receive more detailed investigation, which can increase the number of identified factors and create differential measurement. Context such as construction activity and environmental conditions may affect both the observed treatment and accident severity, while variables located downstream of the treatment must not be adjusted when estimating its total effect. Accident type may describe the realized event mechanism and is therefore unsuitable as a universal pretreatment control. These considerations require a treatment-specific graph and quality filters rather than a single fixed regression specification for every factor.</w:t>
      </w:r>
    </w:p>
    <w:p>
      <w:pPr>
        <w:spacing w:line="276" w:lineRule="auto" w:after="120"/>
        <w:ind w:firstLine="420"/>
        <w:jc w:val="both"/>
      </w:pPr>
      <w:r>
        <w:rPr>
          <w:rFonts w:ascii="Times New Roman" w:hAnsi="Times New Roman" w:eastAsia="Times New Roman"/>
          <w:sz w:val="22"/>
        </w:rPr>
        <w:t>Few accident-knowledge studies connect ontology-grounded graphs to this identification process. Graph paths are often interpreted as causal chains because their predicates use causal language, while network centrality or association strength is used as a proxy for causal importance. These operations are useful for retrieval and hypothesis generation but do not estimate an intervention contrast. Conversely, a causal model built directly from a tabular dataset can lose the evidence, semantics, and provenance needed to interpret an accident factor. The methodological opportunity lies in connecting the two representations without conflating them: the knowledge graph supplies standardized, traceable variables and theoretically ordered relationships, while structural causal analysis evaluates selected factors under explicit assumptions and sample constraints.</w:t>
      </w:r>
    </w:p>
    <w:p>
      <w:pPr>
        <w:spacing w:line="276" w:lineRule="auto" w:after="120"/>
        <w:ind w:firstLine="420"/>
        <w:jc w:val="both"/>
      </w:pPr>
      <w:r>
        <w:rPr>
          <w:rFonts w:ascii="Times New Roman" w:hAnsi="Times New Roman" w:eastAsia="Times New Roman"/>
          <w:sz w:val="22"/>
        </w:rPr>
        <w:t>Accordingly, this study projects the canonical HEC-KG into a case-level observational matrix and uses the 24Model to define a prior causal graph. Safety culture, management, capability, unsafe action, and unsafe object state retain their theoretical order, while construction activity and environmental condition are considered as context variables when they precede the selected treatment. Treatment-specific adjustment excludes descendants, same-layer aggregate variables that overlap with the treatment definition, and accident type. DoWhy then identifies and estimates the effect on severe-consequence probability, and case-level bootstrap intervals quantify sampling uncertainty. Random-common-cause and placebo-treatment refuters are retained as diagnostics rather than proof of causal validity. This design positions the resulting estimates as theory-constrained exploratory evidence among recorded accidents.</w:t>
      </w:r>
    </w:p>
    <w:p>
      <w:pPr>
        <w:pStyle w:val="Heading1"/>
      </w:pPr>
      <w:r>
        <w:rPr>
          <w:rFonts w:ascii="Times New Roman" w:hAnsi="Times New Roman" w:eastAsia="Times New Roman"/>
          <w:sz w:val="28"/>
        </w:rPr>
        <w:t>6 Conclusions</w:t>
      </w:r>
    </w:p>
    <w:p>
      <w:pPr>
        <w:spacing w:line="276" w:lineRule="auto" w:after="120"/>
        <w:ind w:firstLine="420"/>
        <w:jc w:val="both"/>
      </w:pPr>
      <w:r>
        <w:rPr>
          <w:rFonts w:ascii="Times New Roman" w:hAnsi="Times New Roman" w:eastAsia="Times New Roman"/>
          <w:sz w:val="22"/>
        </w:rPr>
        <w:t>This study developed an integrated framework for converting unstructured HEC accident reports into evidence-grounded graph knowledge and theory-constrained causal-effect estimates. The framework combines a 24Model-based HEC ontology, question-guided Causal-CoT extraction, repeated voting, ontology validation, provenance-preserving knowledge fusion, Neo4j representation, and DoWhy analysis. Its central contribution is a traceable connection between narrative evidence, multilevel accident knowledge, and observational severity analysis. The main conclusions are as follows.</w:t>
      </w:r>
    </w:p>
    <w:p>
      <w:pPr>
        <w:spacing w:after="120"/>
        <w:ind w:left="369" w:hanging="198"/>
      </w:pPr>
      <w:r>
        <w:rPr>
          <w:rFonts w:ascii="Times New Roman" w:hAnsi="Times New Roman" w:eastAsia="Times New Roman"/>
          <w:sz w:val="22"/>
        </w:rPr>
        <w:t xml:space="preserve">1. </w:t>
      </w:r>
      <w:r>
        <w:rPr>
          <w:rFonts w:ascii="Times New Roman" w:hAnsi="Times New Roman" w:eastAsia="Times New Roman"/>
          <w:sz w:val="22"/>
        </w:rPr>
        <w:t>Causal-CoT improved the reliability and auditability of domain knowledge extraction by separating entity discovery from relation adjudication. On the manually annotated test set, it achieved entity and relation F1-scores of 87.0% and 83.6%, respectively, outperforming the evaluated zero-shot, few-shot, Auto-CoT, Plan-and-Solve, and GraphRAG-Extract baselines. Across the complete corpus, 9,296 of 9,447 repeated question-level decisions were unanimous, corresponding to an empirical agreement rate of 98.40%. This result indicates stable decisions under the adopted three-run protocol, while the retained split votes and review flags identify cases that require further inspection. It should not be interpreted as a theoretical guarantee that increasing reasoning depth will always improve accuracy.</w:t>
      </w:r>
    </w:p>
    <w:p>
      <w:pPr>
        <w:spacing w:after="120"/>
        <w:ind w:left="369" w:hanging="198"/>
      </w:pPr>
      <w:r>
        <w:rPr>
          <w:rFonts w:ascii="Times New Roman" w:hAnsi="Times New Roman" w:eastAsia="Times New Roman"/>
          <w:sz w:val="22"/>
        </w:rPr>
        <w:t xml:space="preserve">2. </w:t>
      </w:r>
      <w:r>
        <w:rPr>
          <w:rFonts w:ascii="Times New Roman" w:hAnsi="Times New Roman" w:eastAsia="Times New Roman"/>
          <w:sz w:val="22"/>
        </w:rPr>
        <w:t>The framework constructed a multilevel HEC-KG from 456 anonymized accident reports. Before fusion, the extraction pipeline produced 6,617 entities and 8,061 relations. Same-type alignment, embedding reranking, NIL detection, and duplicate-relation aggregation yielded 5,581 canonical entities and 6,385 canonical relations, reducing entity and relation redundancy by 15.66% and 20.79%, respectively. The graph preserves accident context, organizational factors, safety capability, direct causes, accident evolution, consequences, preventive measures, and source evidence. It supports cross-case comparison, upstream causal tracing, and prevention-oriented Neo4j queries, while 896 ambiguous alignment or cross-type conflicts remain explicitly available for review.</w:t>
      </w:r>
    </w:p>
    <w:p>
      <w:pPr>
        <w:spacing w:after="120"/>
        <w:ind w:left="369" w:hanging="198"/>
      </w:pPr>
      <w:r>
        <w:rPr>
          <w:rFonts w:ascii="Times New Roman" w:hAnsi="Times New Roman" w:eastAsia="Times New Roman"/>
          <w:sz w:val="22"/>
        </w:rPr>
        <w:t xml:space="preserve">3. </w:t>
      </w:r>
      <w:r>
        <w:rPr>
          <w:rFonts w:ascii="Times New Roman" w:hAnsi="Times New Roman" w:eastAsia="Times New Roman"/>
          <w:sz w:val="22"/>
        </w:rPr>
        <w:t>The causal-analysis layer translated canonical graph knowledge into a case-level observational matrix and evaluated selected factors against severe consequences among recorded accidents. Sixteen of twenty candidate treatments passed the predefined support, overlap, and outcome-cell filters. Insufficient safety training, insufficient safety-knowledge education, and workers' lack of knowledge about risks and control measures were associated with adjusted increases of 6.25, 6.02, and 5.27 percentage points, respectively, in severe-consequence probability. Their bootstrap 95% confidence intervals excluded zero, and all random-common-cause and placebo-treatment diagnostics completed without triggering the review rule. Together with the corresponding HEC-KG paths, these results prioritize competency-based training, task-specific risk communication, closed-loop hazard rectification, and engineering-condition control. The graph identifies recurring mechanisms and candidate controls, while the causal layer evaluates selected severity effects; neither graph frequency nor an extracted edge is treated as causal strength by itself.</w:t>
      </w:r>
    </w:p>
    <w:p>
      <w:pPr>
        <w:spacing w:line="276" w:lineRule="auto" w:after="120"/>
        <w:ind w:firstLine="420"/>
        <w:jc w:val="both"/>
      </w:pPr>
      <w:r>
        <w:rPr>
          <w:rFonts w:ascii="Times New Roman" w:hAnsi="Times New Roman" w:eastAsia="Times New Roman"/>
          <w:sz w:val="22"/>
        </w:rPr>
        <w:t>The findings are bounded by the available evidence. The dataset contains reported accidents rather than accident-free projects, and 423 of the 456 cases were classified as severe. The estimated effects therefore describe severity differences conditional on an accident being recorded and cannot be generalized to accident-occurrence probability. Report completeness, investigation depth, treatment measurement, and unobserved factors may still affect the estimates, and the three-run voting protocol provides empirical consistency rather than a formal convergence result. The fusion layer also leaves semantically ambiguous cases unresolved when evidence is insufficient. Future research should incorporate near-miss events, routine construction observations, exposure measures, and external datasets from additional regions and project types. Longitudinal or quasi-experimental designs could evaluate prevention interventions more directly. Multimodal evidence from building information models, monitoring systems, equipment logs, and environmental sensors could further support dynamic graph updating, while human-in-the-loop ontology evolution and uncertainty-aware fusion could improve the treatment of emerging concepts and cross-layer ambiguity.</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title, abstract, introduction, literature review, and conclusions</dc:title>
  <dc:subject>HEC-KG manuscript revision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