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00"/>
        <w:tblLayout w:type="fixed"/>
        <w:tblLook w:firstColumn="1" w:firstRow="1" w:lastColumn="0" w:lastRow="0" w:noHBand="0" w:noVBand="1" w:val="04A0"/>
        <w:tblBorders>
          <w:top w:val="single" w:sz="10" w:color="222222"/>
          <w:left w:val="nil"/>
          <w:bottom w:val="single" w:sz="10" w:color="222222"/>
          <w:right w:val="nil"/>
          <w:insideH w:val="nil"/>
          <w:insideV w:val="nil"/>
        </w:tblBorders>
      </w:tblPr>
      <w:tblGrid>
        <w:gridCol w:w="1150"/>
        <w:gridCol w:w="7200"/>
        <w:gridCol w:w="1250"/>
      </w:tblGrid>
      <w:tr>
        <w:tc>
          <w:tcPr>
            <w:tcW w:type="dxa" w:w="9600"/>
            <w:gridSpan w:val="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 xml:space="preserve">Algorithm 1  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Theory-constrained batch causal-effect estimation over 24Model factors</w:t>
            </w:r>
          </w:p>
        </w:tc>
      </w:tr>
      <w:tr>
        <w:tc>
          <w:tcPr>
            <w:tcW w:type="dxa" w:w="11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Require:</w:t>
            </w:r>
          </w:p>
        </w:tc>
        <w:tc>
          <w:tcPr>
            <w:tcW w:type="dxa" w:w="8450"/>
            <w:gridSpan w:val="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Canonical HEC-KG G* = (V*, E*); anonymized accident cases D; prior graph G24; treatment families Λbatch; smin = 20; kmax = 20; zmax = 12; B = 500.</w:t>
            </w:r>
          </w:p>
        </w:tc>
      </w:tr>
      <w:tr>
        <w:tc>
          <w:tcPr>
            <w:tcW w:type="dxa" w:w="11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Ensure:</w:t>
            </w:r>
          </w:p>
        </w:tc>
        <w:tc>
          <w:tcPr>
            <w:tcW w:type="dxa" w:w="8450"/>
            <w:gridSpan w:val="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Effect records A and refutation records R with treatment, adjustment set, uncertainty, diagnostics, and review status.</w:t>
            </w:r>
          </w:p>
        </w:tc>
      </w:tr>
      <w:tr>
        <w:tc>
          <w:tcPr>
            <w:tcW w:type="dxa" w:w="11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1: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before="0" w:after="28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Build the causal dataset and select candidate treatments</w:t>
            </w:r>
          </w:p>
          <w:p>
            <w:pPr>
              <w:spacing w:before="0" w:after="16" w:line="245" w:lineRule="auto"/>
              <w:ind w:left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(X, φ, Y) ← BuildCausalDataset(V*, E*, D)</w:t>
            </w:r>
          </w:p>
          <w:p>
            <w:pPr>
              <w:spacing w:before="0" w:after="16" w:line="245" w:lineRule="auto"/>
              <w:ind w:left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Csel ← Top-kmax(Λbatch; isLayer ↓, supp ↓), supp(T) ≥ smin</w:t>
            </w:r>
          </w:p>
        </w:tc>
        <w:tc>
          <w:tcPr>
            <w:tcW w:type="dxa" w:w="12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4E89"/>
                <w:sz w:val="19"/>
              </w:rPr>
              <w:t>Eqs. (14)–(16)</w:t>
            </w:r>
          </w:p>
        </w:tc>
      </w:tr>
      <w:tr>
        <w:tc>
          <w:tcPr>
            <w:tcW w:type="dxa" w:w="11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2: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before="0" w:after="28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Screen treatment quality and select admissible common causes</w:t>
            </w:r>
          </w:p>
          <w:p>
            <w:pPr>
              <w:spacing w:before="0" w:after="16" w:line="245" w:lineRule="auto"/>
              <w:ind w:left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For each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T ∈ Csel:</w:t>
            </w:r>
          </w:p>
          <w:p>
            <w:pPr>
              <w:spacing w:before="0" w:after="16" w:line="245" w:lineRule="auto"/>
              <w:ind w:left="255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T or Y lacks variation, an arm has &lt; smin cases, or a T × Y cell is empty:</w:t>
            </w:r>
          </w:p>
          <w:p>
            <w:pPr>
              <w:spacing w:before="0" w:after="16" w:line="245" w:lineRule="auto"/>
              <w:ind w:left="51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τ̂T = NA; needs_review ← True; continue</w:t>
            </w:r>
          </w:p>
          <w:p>
            <w:pPr>
              <w:spacing w:before="0" w:after="16" w:line="245" w:lineRule="auto"/>
              <w:ind w:left="255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ZT ← SelectCommonCauses(G24, T, φ), |ZT| ≤ zmax</w:t>
            </w:r>
          </w:p>
          <w:p>
            <w:pPr>
              <w:spacing w:before="0" w:after="16" w:line="245" w:lineRule="auto"/>
              <w:ind w:left="255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Exclude own-layer variables, descendants of T, and AccidentType.</w:t>
            </w:r>
          </w:p>
        </w:tc>
        <w:tc>
          <w:tcPr>
            <w:tcW w:type="dxa" w:w="12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4E89"/>
                <w:sz w:val="19"/>
              </w:rPr>
              <w:t>Eq. (18)</w:t>
            </w:r>
          </w:p>
        </w:tc>
      </w:tr>
      <w:tr>
        <w:tc>
          <w:tcPr>
            <w:tcW w:type="dxa" w:w="11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3: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before="0" w:after="28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Identify, estimate, and quantify uncertainty</w:t>
            </w:r>
          </w:p>
          <w:p>
            <w:pPr>
              <w:spacing w:before="0" w:after="16" w:line="245" w:lineRule="auto"/>
              <w:ind w:left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GT ← BuildTreatmentGraph(T, Y, ZT)</w:t>
            </w:r>
          </w:p>
          <w:p>
            <w:pPr>
              <w:spacing w:before="0" w:after="16" w:line="245" w:lineRule="auto"/>
              <w:ind w:left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MT ← CausalModel(X, T, Y, GT)</w:t>
            </w:r>
          </w:p>
          <w:p>
            <w:pPr>
              <w:spacing w:before="0" w:after="16" w:line="245" w:lineRule="auto"/>
              <w:ind w:left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δT ← MT.identify_effect()</w:t>
            </w:r>
          </w:p>
          <w:p>
            <w:pPr>
              <w:spacing w:before="0" w:after="16" w:line="245" w:lineRule="auto"/>
              <w:ind w:left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τ̂T ← MT.estimate_effect(δT, backdoor.linear_regression)</w:t>
            </w:r>
          </w:p>
          <w:p>
            <w:pPr>
              <w:spacing w:before="0" w:after="16" w:line="245" w:lineRule="auto"/>
              <w:ind w:left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(RDT, CI95%, seboot, pT) ← CaseBootstrap(X, T, Y, ZT, B = 500, seed = 2026)</w:t>
            </w:r>
          </w:p>
        </w:tc>
        <w:tc>
          <w:tcPr>
            <w:tcW w:type="dxa" w:w="12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4E89"/>
                <w:sz w:val="19"/>
              </w:rPr>
              <w:t>Eqs. (19)–(21)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1F4E89"/>
                <w:sz w:val="19"/>
              </w:rPr>
              <w:t>Eq. (22)</w:t>
            </w:r>
          </w:p>
        </w:tc>
      </w:tr>
      <w:tr>
        <w:tc>
          <w:tcPr>
            <w:tcW w:type="dxa" w:w="11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4: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before="0" w:after="28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Run refutation diagnostics and return auditable records</w:t>
            </w:r>
          </w:p>
          <w:p>
            <w:pPr>
              <w:spacing w:before="0" w:after="16" w:line="245" w:lineRule="auto"/>
              <w:ind w:left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RT ← {random common cause, placebo treatment}</w:t>
            </w:r>
          </w:p>
          <w:p>
            <w:pPr>
              <w:spacing w:before="0" w:after="16" w:line="245" w:lineRule="auto"/>
              <w:ind w:left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Flag failed diagnostics; append (T, ZT, τ̂T, RDT, CI95%, pT).</w:t>
            </w:r>
          </w:p>
          <w:p>
            <w:pPr>
              <w:spacing w:before="0" w:after="16" w:line="245" w:lineRule="auto"/>
              <w:ind w:left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Return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A and R.</w:t>
            </w:r>
          </w:p>
        </w:tc>
        <w:tc>
          <w:tcPr>
            <w:tcW w:type="dxa" w:w="12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/>
          </w:p>
        </w:tc>
      </w:tr>
    </w:tbl>
    <w:p>
      <w:pPr>
        <w:spacing w:before="60" w:after="0" w:line="240" w:lineRule="auto"/>
      </w:pPr>
      <w:r>
        <w:rPr>
          <w:rFonts w:ascii="Times New Roman" w:hAnsi="Times New Roman" w:eastAsia="Times New Roman"/>
          <w:b w:val="0"/>
          <w:i/>
          <w:color w:val="4B4B4B"/>
          <w:sz w:val="17"/>
        </w:rPr>
        <w:t>Note. A treatment failing the quality screen is stored as NA rather than zero. The estimand concerns severe consequences among recorded accidents, not accident occurrence.</w:t>
      </w:r>
    </w:p>
    <w:sectPr w:rsidR="00FC693F" w:rsidRPr="0006063C" w:rsidSect="00034616">
      <w:pgSz w:w="11906" w:h="16838"/>
      <w:pgMar w:top="822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