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72158">
      <w:pPr>
        <w:spacing w:before="480" w:after="480" w:line="288" w:lineRule="auto"/>
        <w:ind w:left="0"/>
        <w:jc w:val="center"/>
        <w:rPr>
          <w:sz w:val="18"/>
          <w:szCs w:val="20"/>
        </w:rPr>
      </w:pPr>
      <w:r>
        <w:rPr>
          <w:rFonts w:ascii="Arial" w:hAnsi="Arial" w:eastAsia="等线" w:cs="Arial"/>
          <w:b/>
          <w:sz w:val="44"/>
          <w:szCs w:val="20"/>
        </w:rPr>
        <w:t>法律条文问答助手</w:t>
      </w:r>
    </w:p>
    <w:p w14:paraId="345C2558">
      <w:pPr>
        <w:numPr>
          <w:ilvl w:val="0"/>
          <w:numId w:val="1"/>
        </w:numPr>
        <w:spacing w:before="120" w:after="120" w:line="288" w:lineRule="auto"/>
        <w:ind w:left="0"/>
        <w:jc w:val="left"/>
      </w:pPr>
      <w:r>
        <w:rPr>
          <w:rFonts w:ascii="Arial" w:hAnsi="Arial" w:eastAsia="等线" w:cs="Arial"/>
          <w:sz w:val="22"/>
        </w:rPr>
        <w:t>产品概述</w:t>
      </w:r>
    </w:p>
    <w:p w14:paraId="0B2422DE">
      <w:pPr>
        <w:spacing w:before="120" w:after="120" w:line="288" w:lineRule="auto"/>
        <w:ind w:left="0"/>
        <w:jc w:val="left"/>
      </w:pPr>
      <w:r>
        <w:rPr>
          <w:rFonts w:ascii="Arial" w:hAnsi="Arial" w:eastAsia="等线" w:cs="Arial"/>
          <w:sz w:val="22"/>
        </w:rPr>
        <w:t>这款法律查询助手旨在为用户提供</w:t>
      </w:r>
      <w:r>
        <w:rPr>
          <w:rFonts w:ascii="Arial" w:hAnsi="Arial" w:eastAsia="等线" w:cs="Arial"/>
          <w:b/>
          <w:sz w:val="22"/>
        </w:rPr>
        <w:t>精准、即时的法律条文检索与解释</w:t>
      </w:r>
      <w:r>
        <w:rPr>
          <w:rFonts w:ascii="Arial" w:hAnsi="Arial" w:eastAsia="等线" w:cs="Arial"/>
          <w:sz w:val="22"/>
        </w:rPr>
        <w:t>服务。它有效解决了法律文本晦涩难懂、检索效率低以及非专业人士难以精准定位适用法条的困扰。其核心价值为通过自然语言交互，将复杂的法律库转化为通俗易懂的行动建议，显著降低法律咨询的门槛与成本。</w:t>
      </w:r>
    </w:p>
    <w:p w14:paraId="2ABC62CF">
      <w:pPr>
        <w:numPr>
          <w:ilvl w:val="0"/>
          <w:numId w:val="2"/>
        </w:numPr>
        <w:spacing w:before="120" w:after="120" w:line="288" w:lineRule="auto"/>
        <w:ind w:left="0"/>
        <w:jc w:val="left"/>
      </w:pPr>
      <w:r>
        <w:rPr>
          <w:rFonts w:ascii="Arial" w:hAnsi="Arial" w:eastAsia="等线" w:cs="Arial"/>
          <w:sz w:val="22"/>
        </w:rPr>
        <w:t>用户调研</w:t>
      </w:r>
    </w:p>
    <w:p w14:paraId="1D7C17AC">
      <w:pPr>
        <w:numPr>
          <w:ilvl w:val="0"/>
          <w:numId w:val="3"/>
        </w:numPr>
        <w:spacing w:before="120" w:after="120" w:line="288" w:lineRule="auto"/>
        <w:ind w:left="453"/>
        <w:jc w:val="left"/>
      </w:pPr>
      <w:r>
        <w:rPr>
          <w:rFonts w:ascii="Arial" w:hAnsi="Arial" w:eastAsia="等线" w:cs="Arial"/>
          <w:sz w:val="22"/>
        </w:rPr>
        <w:t>调研人群：</w:t>
      </w:r>
    </w:p>
    <w:p w14:paraId="4701A59E">
      <w:pPr>
        <w:spacing w:before="120" w:after="120" w:line="288" w:lineRule="auto"/>
        <w:ind w:left="453" w:firstLine="420"/>
        <w:jc w:val="left"/>
      </w:pPr>
      <w:r>
        <w:rPr>
          <w:rFonts w:ascii="Arial" w:hAnsi="Arial" w:eastAsia="等线" w:cs="Arial"/>
          <w:sz w:val="22"/>
        </w:rPr>
        <w:t>此产品主要提供给需要在日常生活中查询法律条文的用户使用，所以用户行业范围的广度更为重要，为此挑选了20名来自数个不同行业的用户，通过问卷的方式调查其对此类产品可能的使用场景，使用频率和具体诉求。具体数据详见表《用户调研》。</w:t>
      </w:r>
    </w:p>
    <w:p w14:paraId="47341887">
      <w:pPr>
        <w:spacing w:before="120" w:after="120" w:line="288" w:lineRule="auto"/>
        <w:ind w:left="0"/>
        <w:jc w:val="left"/>
      </w:pPr>
      <w:r>
        <w:rPr>
          <w:rFonts w:ascii="Arial" w:hAnsi="Arial" w:eastAsia="等线" w:cs="Arial"/>
          <w:b/>
          <w:color w:val="646A73"/>
          <w:sz w:val="22"/>
        </w:rPr>
        <w:t>[用户调研</w:t>
      </w:r>
      <w:bookmarkStart w:id="0" w:name="_GoBack"/>
      <w:bookmarkEnd w:id="0"/>
      <w:r>
        <w:rPr>
          <w:rFonts w:ascii="Arial" w:hAnsi="Arial" w:eastAsia="等线" w:cs="Arial"/>
          <w:b/>
          <w:color w:val="646A73"/>
          <w:sz w:val="22"/>
        </w:rPr>
        <w:t>.xlsx]</w:t>
      </w:r>
    </w:p>
    <w:p w14:paraId="1D1E1DC8">
      <w:pPr>
        <w:numPr>
          <w:ilvl w:val="0"/>
          <w:numId w:val="4"/>
        </w:numPr>
        <w:spacing w:before="120" w:after="120" w:line="288" w:lineRule="auto"/>
        <w:ind w:left="453"/>
        <w:jc w:val="left"/>
      </w:pPr>
      <w:r>
        <w:rPr>
          <w:rFonts w:ascii="Arial" w:hAnsi="Arial" w:eastAsia="等线" w:cs="Arial"/>
          <w:sz w:val="22"/>
        </w:rPr>
        <w:t>调研人群：</w:t>
      </w:r>
    </w:p>
    <w:p w14:paraId="1F48116E">
      <w:pPr>
        <w:spacing w:before="120" w:after="120" w:line="288" w:lineRule="auto"/>
        <w:ind w:left="453" w:firstLine="420"/>
        <w:jc w:val="left"/>
      </w:pPr>
      <w:r>
        <w:rPr>
          <w:rFonts w:ascii="Arial" w:hAnsi="Arial" w:eastAsia="等线" w:cs="Arial"/>
          <w:color w:val="D83931"/>
          <w:sz w:val="22"/>
        </w:rPr>
        <w:t>使用情景方面</w:t>
      </w:r>
      <w:r>
        <w:rPr>
          <w:rFonts w:ascii="Arial" w:hAnsi="Arial" w:eastAsia="等线" w:cs="Arial"/>
          <w:sz w:val="22"/>
        </w:rPr>
        <w:t>，处理日常突发情况时使用助手是最高频的选择，应对劳动纠纷也比较高频，而消费纠纷、房屋租赁场景需求较小，商业合规性和家庭事务的选择最少。</w:t>
      </w:r>
    </w:p>
    <w:p w14:paraId="799992D3">
      <w:pPr>
        <w:spacing w:before="120" w:after="120" w:line="288" w:lineRule="auto"/>
        <w:ind w:left="453" w:firstLine="420"/>
        <w:jc w:val="left"/>
      </w:pPr>
      <w:r>
        <w:rPr>
          <w:rFonts w:ascii="Arial" w:hAnsi="Arial" w:eastAsia="等线" w:cs="Arial"/>
          <w:color w:val="D83931"/>
          <w:sz w:val="22"/>
        </w:rPr>
        <w:t>回答内容方面</w:t>
      </w:r>
      <w:r>
        <w:rPr>
          <w:rFonts w:ascii="Arial" w:hAnsi="Arial" w:eastAsia="等线" w:cs="Arial"/>
          <w:sz w:val="22"/>
        </w:rPr>
        <w:t>，大多数人对于此产品的使用需求为用</w:t>
      </w:r>
      <w:r>
        <w:rPr>
          <w:rFonts w:ascii="Arial" w:hAnsi="Arial" w:eastAsia="等线" w:cs="Arial"/>
          <w:b/>
          <w:sz w:val="22"/>
        </w:rPr>
        <w:t>大白话解释法律条文</w:t>
      </w:r>
      <w:r>
        <w:rPr>
          <w:rFonts w:ascii="Arial" w:hAnsi="Arial" w:eastAsia="等线" w:cs="Arial"/>
          <w:sz w:val="22"/>
        </w:rPr>
        <w:t>，所以在生成问题时让大模型用通俗易懂的话语描述法律条文的优先级非常高。除此之外，针对对方的行为分析是否违法也占有很高的选择率，因此我们还应注意对于主题</w:t>
      </w:r>
      <w:r>
        <w:rPr>
          <w:rFonts w:ascii="Arial" w:hAnsi="Arial" w:eastAsia="等线" w:cs="Arial"/>
          <w:b/>
          <w:sz w:val="22"/>
        </w:rPr>
        <w:t>问题的分析与解决方案</w:t>
      </w:r>
      <w:r>
        <w:rPr>
          <w:rFonts w:ascii="Arial" w:hAnsi="Arial" w:eastAsia="等线" w:cs="Arial"/>
          <w:sz w:val="22"/>
        </w:rPr>
        <w:t>，提供解决方案时需重点关注安全性，</w:t>
      </w:r>
      <w:r>
        <w:rPr>
          <w:rFonts w:ascii="Arial" w:hAnsi="Arial" w:eastAsia="等线" w:cs="Arial"/>
          <w:b/>
          <w:sz w:val="22"/>
        </w:rPr>
        <w:t>严禁出现越界建议</w:t>
      </w:r>
      <w:r>
        <w:rPr>
          <w:rFonts w:ascii="Arial" w:hAnsi="Arial" w:eastAsia="等线" w:cs="Arial"/>
          <w:sz w:val="22"/>
        </w:rPr>
        <w:t>。根据调查，仅有寥寥几人选择需要提供法律条文，故这点作为锚点必定出现，但优先级可后调。至于提供相似的例子并没有人选，说明法律情景具有一定的独特性，多数人不倾向于根据相似的案例推断自己的情况。</w:t>
      </w:r>
    </w:p>
    <w:p w14:paraId="4599B804">
      <w:pPr>
        <w:spacing w:before="120" w:after="120" w:line="288" w:lineRule="auto"/>
        <w:ind w:left="453" w:firstLine="420"/>
        <w:jc w:val="left"/>
      </w:pPr>
      <w:r>
        <w:rPr>
          <w:rFonts w:ascii="Arial" w:hAnsi="Arial" w:eastAsia="等线" w:cs="Arial"/>
          <w:color w:val="D83931"/>
          <w:sz w:val="22"/>
        </w:rPr>
        <w:t>使用频率方面：</w:t>
      </w:r>
      <w:r>
        <w:rPr>
          <w:rFonts w:ascii="Arial" w:hAnsi="Arial" w:eastAsia="等线" w:cs="Arial"/>
          <w:sz w:val="22"/>
        </w:rPr>
        <w:t>超过半数的人选择在</w:t>
      </w:r>
      <w:r>
        <w:rPr>
          <w:rFonts w:ascii="Arial" w:hAnsi="Arial" w:eastAsia="等线" w:cs="Arial"/>
          <w:b/>
          <w:sz w:val="22"/>
        </w:rPr>
        <w:t>突发情况时有需要才使用</w:t>
      </w:r>
      <w:r>
        <w:rPr>
          <w:rFonts w:ascii="Arial" w:hAnsi="Arial" w:eastAsia="等线" w:cs="Arial"/>
          <w:sz w:val="22"/>
        </w:rPr>
        <w:t>，剩下的选择里每周使用和每月1~2次使用各占约一半。选择突发情况使用的大多为一般大众，工作内容和法律条例关联性很低。</w:t>
      </w:r>
      <w:r>
        <w:rPr>
          <w:rFonts w:ascii="Arial" w:hAnsi="Arial" w:eastAsia="等线" w:cs="Arial"/>
          <w:b/>
          <w:sz w:val="22"/>
        </w:rPr>
        <w:t>每月使用1~2次的人群</w:t>
      </w:r>
      <w:r>
        <w:rPr>
          <w:rFonts w:ascii="Arial" w:hAnsi="Arial" w:eastAsia="等线" w:cs="Arial"/>
          <w:sz w:val="22"/>
        </w:rPr>
        <w:t>来自工业设计、互联网等背景，这部分人群的日常工作和法律法规存在一定的相关性，有一定的日常查询需求。</w:t>
      </w:r>
      <w:r>
        <w:rPr>
          <w:rFonts w:ascii="Arial" w:hAnsi="Arial" w:eastAsia="等线" w:cs="Arial"/>
          <w:b/>
          <w:sz w:val="22"/>
        </w:rPr>
        <w:t>每周使用的人群占比最少</w:t>
      </w:r>
      <w:r>
        <w:rPr>
          <w:rFonts w:ascii="Arial" w:hAnsi="Arial" w:eastAsia="等线" w:cs="Arial"/>
          <w:sz w:val="22"/>
        </w:rPr>
        <w:t>，他们来自金融、安全、事业单位以及法律背景，他们的工作和法律法规有紧密的联系，查询法条是他们的常态化工作内容。</w:t>
      </w:r>
    </w:p>
    <w:p w14:paraId="11EB22C5">
      <w:pPr>
        <w:spacing w:before="120" w:after="120" w:line="288" w:lineRule="auto"/>
        <w:ind w:left="453" w:firstLine="420"/>
        <w:jc w:val="left"/>
      </w:pPr>
      <w:r>
        <w:rPr>
          <w:rFonts w:ascii="Arial" w:hAnsi="Arial" w:eastAsia="等线" w:cs="Arial"/>
          <w:color w:val="D83931"/>
          <w:sz w:val="22"/>
        </w:rPr>
        <w:t>用户痛点方面</w:t>
      </w:r>
      <w:r>
        <w:rPr>
          <w:rFonts w:ascii="Arial" w:hAnsi="Arial" w:eastAsia="等线" w:cs="Arial"/>
          <w:sz w:val="22"/>
        </w:rPr>
        <w:t>：一部分认为纯粹的法律条文晦涩难懂，模型回答时应减少专业术语的运用，对于法条和当前情景做简要解释。另一部分人认为当前的法律查询数据混乱，容易混淆过期内容。模型回答时要引用最新知识库，所以知识库的日常维护十分重要。还有一小部分的问题是搜索内容太多抓不住重点，模型回答时采用</w:t>
      </w:r>
      <w:r>
        <w:rPr>
          <w:rFonts w:ascii="Arial" w:hAnsi="Arial" w:eastAsia="等线" w:cs="Arial"/>
          <w:b/>
          <w:sz w:val="22"/>
        </w:rPr>
        <w:t>三段式回答</w:t>
      </w:r>
      <w:r>
        <w:rPr>
          <w:rFonts w:ascii="Arial" w:hAnsi="Arial" w:eastAsia="等线" w:cs="Arial"/>
          <w:sz w:val="22"/>
        </w:rPr>
        <w:t>，最开始引用法条，罗列涉及到的法律法规，第二部分进行一定的解释与补充，最后补充行为指导，让用户有清晰的认知。</w:t>
      </w:r>
    </w:p>
    <w:p w14:paraId="74FC8E16">
      <w:pPr>
        <w:numPr>
          <w:ilvl w:val="0"/>
          <w:numId w:val="5"/>
        </w:numPr>
        <w:spacing w:before="120" w:after="120" w:line="288" w:lineRule="auto"/>
        <w:ind w:left="0"/>
        <w:jc w:val="left"/>
      </w:pPr>
      <w:r>
        <w:rPr>
          <w:rFonts w:ascii="Arial" w:hAnsi="Arial" w:eastAsia="等线" w:cs="Arial"/>
          <w:sz w:val="22"/>
        </w:rPr>
        <w:t>竞品调研</w:t>
      </w:r>
    </w:p>
    <w:p w14:paraId="0F85508E">
      <w:pPr>
        <w:spacing w:before="120" w:after="120" w:line="288" w:lineRule="auto"/>
        <w:ind w:left="0"/>
        <w:jc w:val="left"/>
      </w:pPr>
      <w:r>
        <w:rPr>
          <w:rFonts w:ascii="Arial" w:hAnsi="Arial" w:eastAsia="等线" w:cs="Arial"/>
          <w:sz w:val="22"/>
        </w:rPr>
        <w:t>为了调查市场上对于此类产品的需求，解决瞄准方向和市场情况，我们选择了两种竞品作为分析对象。直接竞品为法智，一款针对法律方向的AI助手（同花顺开发）。简介竞品为豆包大模型（字节跳动开发）。我们通过使用十五个相同的Query，测试了两款软件的使用性能，详见表《竞品调研-法智与豆包回答对比》：</w:t>
      </w:r>
    </w:p>
    <w:p w14:paraId="2C0B98CD">
      <w:pPr>
        <w:spacing w:before="120" w:after="120" w:line="288" w:lineRule="auto"/>
        <w:ind w:left="0"/>
        <w:jc w:val="left"/>
      </w:pPr>
      <w:r>
        <w:rPr>
          <w:rFonts w:ascii="Arial" w:hAnsi="Arial" w:eastAsia="等线" w:cs="Arial"/>
          <w:b/>
          <w:color w:val="646A73"/>
          <w:sz w:val="22"/>
        </w:rPr>
        <w:t>[竞品调研-法智与豆包回答对比.xlsx]</w:t>
      </w:r>
    </w:p>
    <w:p w14:paraId="100EBF4A">
      <w:pPr>
        <w:spacing w:before="120" w:after="120" w:line="288" w:lineRule="auto"/>
        <w:ind w:left="0"/>
        <w:jc w:val="left"/>
      </w:pPr>
    </w:p>
    <w:p w14:paraId="0F249A3F">
      <w:pPr>
        <w:numPr>
          <w:ilvl w:val="0"/>
          <w:numId w:val="6"/>
        </w:numPr>
        <w:spacing w:before="120" w:after="120" w:line="288" w:lineRule="auto"/>
        <w:ind w:left="0"/>
        <w:jc w:val="left"/>
      </w:pPr>
      <w:r>
        <w:rPr>
          <w:rFonts w:ascii="Arial" w:hAnsi="Arial" w:eastAsia="等线" w:cs="Arial"/>
          <w:sz w:val="22"/>
        </w:rPr>
        <w:t>理想态定义</w:t>
      </w:r>
    </w:p>
    <w:p w14:paraId="5A372428">
      <w:pPr>
        <w:numPr>
          <w:ilvl w:val="0"/>
          <w:numId w:val="7"/>
        </w:numPr>
        <w:spacing w:before="120" w:after="120" w:line="288" w:lineRule="auto"/>
        <w:ind w:left="453"/>
        <w:jc w:val="left"/>
      </w:pPr>
      <w:r>
        <w:rPr>
          <w:rFonts w:ascii="Arial" w:hAnsi="Arial" w:eastAsia="等线" w:cs="Arial"/>
          <w:sz w:val="22"/>
        </w:rPr>
        <w:t>使用场景①：</w:t>
      </w:r>
    </w:p>
    <w:p w14:paraId="33282914">
      <w:pPr>
        <w:spacing w:before="120" w:after="120" w:line="288" w:lineRule="auto"/>
        <w:ind w:left="453" w:firstLine="420"/>
        <w:jc w:val="left"/>
      </w:pPr>
      <w:r>
        <w:rPr>
          <w:rFonts w:ascii="Arial" w:hAnsi="Arial" w:eastAsia="等线" w:cs="Arial"/>
          <w:sz w:val="22"/>
        </w:rPr>
        <w:t>构成要件与归责——针对用户明确的法律争议点，系统需像手术刀一般，迅速从现行法律法规中定位并提取出对应的具体条、款、项原文。</w:t>
      </w:r>
    </w:p>
    <w:p w14:paraId="1B2866F8">
      <w:pPr>
        <w:spacing w:before="120" w:after="120" w:line="288" w:lineRule="auto"/>
        <w:ind w:left="453" w:firstLine="420"/>
        <w:jc w:val="left"/>
      </w:pPr>
      <w:r>
        <w:rPr>
          <w:rFonts w:ascii="Arial" w:hAnsi="Arial" w:eastAsia="等线" w:cs="Arial"/>
          <w:sz w:val="22"/>
        </w:rPr>
        <w:t>理想态回答：绝不绕弯子，首句即直接亮出核心法条的编号与原文。对于专业用户而言，法条本身就是最好的回答，无需过多的前置铺垫。</w:t>
      </w:r>
    </w:p>
    <w:p w14:paraId="7C5B8D20">
      <w:pPr>
        <w:numPr>
          <w:ilvl w:val="0"/>
          <w:numId w:val="8"/>
        </w:numPr>
        <w:spacing w:before="120" w:after="120" w:line="288" w:lineRule="auto"/>
        <w:ind w:left="453"/>
        <w:jc w:val="left"/>
      </w:pPr>
      <w:r>
        <w:rPr>
          <w:rFonts w:ascii="Arial" w:hAnsi="Arial" w:eastAsia="等线" w:cs="Arial"/>
          <w:sz w:val="22"/>
        </w:rPr>
        <w:t>使用场景②：</w:t>
      </w:r>
    </w:p>
    <w:p w14:paraId="19EB59B3">
      <w:pPr>
        <w:spacing w:before="120" w:after="120" w:line="288" w:lineRule="auto"/>
        <w:ind w:left="453" w:firstLine="420"/>
        <w:jc w:val="left"/>
      </w:pPr>
      <w:r>
        <w:rPr>
          <w:rFonts w:ascii="Arial" w:hAnsi="Arial" w:eastAsia="等线" w:cs="Arial"/>
          <w:sz w:val="22"/>
        </w:rPr>
        <w:t>法条精准检索——针对法律实务中存在争议、歧义或边界模糊的法定术语（如“孳息”与“投资收益”），结合法条与法理进行严谨的内涵与外延界定。</w:t>
      </w:r>
    </w:p>
    <w:p w14:paraId="0F151DD0">
      <w:pPr>
        <w:spacing w:before="120" w:after="120" w:line="288" w:lineRule="auto"/>
        <w:ind w:left="453" w:firstLine="420"/>
        <w:jc w:val="left"/>
      </w:pPr>
      <w:r>
        <w:rPr>
          <w:rFonts w:ascii="Arial" w:hAnsi="Arial" w:eastAsia="等线" w:cs="Arial"/>
          <w:sz w:val="22"/>
        </w:rPr>
        <w:t>理想态回答：能够精准抓住概念的核心特征进行释明。理想状态下，能指出该概念在司法实践中的认定标准，并清晰地将其与容易混淆的相似概念区分开来。</w:t>
      </w:r>
    </w:p>
    <w:p w14:paraId="4E292EB1">
      <w:pPr>
        <w:numPr>
          <w:ilvl w:val="0"/>
          <w:numId w:val="9"/>
        </w:numPr>
        <w:spacing w:before="120" w:after="120" w:line="288" w:lineRule="auto"/>
        <w:ind w:left="453"/>
        <w:jc w:val="left"/>
      </w:pPr>
      <w:r>
        <w:rPr>
          <w:rFonts w:ascii="Arial" w:hAnsi="Arial" w:eastAsia="等线" w:cs="Arial"/>
          <w:sz w:val="22"/>
        </w:rPr>
        <w:t>使用场景③：</w:t>
      </w:r>
    </w:p>
    <w:p w14:paraId="3481BCD5">
      <w:pPr>
        <w:spacing w:before="120" w:after="120" w:line="288" w:lineRule="auto"/>
        <w:ind w:left="453" w:firstLine="420"/>
        <w:jc w:val="left"/>
      </w:pPr>
      <w:r>
        <w:rPr>
          <w:rFonts w:ascii="Arial" w:hAnsi="Arial" w:eastAsia="等线" w:cs="Arial"/>
          <w:sz w:val="22"/>
        </w:rPr>
        <w:t>规则冲突与适用——针对特定事实，系统需将复杂的法条拆解为某项法律责任成立所必须具备的各项独立法定要件，并指出归责原则或抗辩事由。</w:t>
      </w:r>
    </w:p>
    <w:p w14:paraId="6E9D4F61">
      <w:pPr>
        <w:spacing w:before="120" w:after="120" w:line="288" w:lineRule="auto"/>
        <w:ind w:left="453" w:firstLine="420"/>
        <w:jc w:val="left"/>
      </w:pPr>
      <w:r>
        <w:rPr>
          <w:rFonts w:ascii="Arial" w:hAnsi="Arial" w:eastAsia="等线" w:cs="Arial"/>
          <w:sz w:val="22"/>
        </w:rPr>
        <w:t>理想态回答：将大段的法条文字转化为逻辑清晰的“清单式”要件（如：主体要件、主观过错、因果关系等）。方便专业人士直接拿着这份清单去比对案件事实和组织证据。</w:t>
      </w:r>
    </w:p>
    <w:p w14:paraId="04D0DA9B">
      <w:pPr>
        <w:numPr>
          <w:ilvl w:val="0"/>
          <w:numId w:val="10"/>
        </w:numPr>
        <w:spacing w:before="120" w:after="120" w:line="288" w:lineRule="auto"/>
        <w:ind w:left="453"/>
        <w:jc w:val="left"/>
      </w:pPr>
      <w:r>
        <w:rPr>
          <w:rFonts w:ascii="Arial" w:hAnsi="Arial" w:eastAsia="等线" w:cs="Arial"/>
          <w:sz w:val="22"/>
        </w:rPr>
        <w:t>使用场景④：</w:t>
      </w:r>
    </w:p>
    <w:p w14:paraId="7227F28F">
      <w:pPr>
        <w:spacing w:before="120" w:after="120" w:line="288" w:lineRule="auto"/>
        <w:ind w:left="453" w:firstLine="420"/>
        <w:jc w:val="left"/>
      </w:pPr>
      <w:r>
        <w:rPr>
          <w:rFonts w:ascii="Arial" w:hAnsi="Arial" w:eastAsia="等线" w:cs="Arial"/>
          <w:sz w:val="22"/>
        </w:rPr>
        <w:t>法律概念界定——当面临一般法与特别法、原则与例外、或者多重法律关系竞合时，系统需指明正确的法律适用顺位。</w:t>
      </w:r>
    </w:p>
    <w:p w14:paraId="0AECDB83">
      <w:pPr>
        <w:spacing w:before="120" w:after="120" w:line="288" w:lineRule="auto"/>
        <w:ind w:left="453" w:firstLine="420"/>
        <w:jc w:val="left"/>
      </w:pPr>
      <w:r>
        <w:rPr>
          <w:rFonts w:ascii="Arial" w:hAnsi="Arial" w:eastAsia="等线" w:cs="Arial"/>
          <w:sz w:val="22"/>
        </w:rPr>
        <w:t>理想态回答：能清晰勾勒出“原则上适用A规则，但在X例外情况下优先适用B规则”的逻辑路径，帮助用户理清错综复杂的适用关系，避免适用法律错误。</w:t>
      </w:r>
    </w:p>
    <w:p w14:paraId="197DD151">
      <w:pPr>
        <w:numPr>
          <w:ilvl w:val="0"/>
          <w:numId w:val="11"/>
        </w:numPr>
        <w:spacing w:before="120" w:after="120" w:line="288" w:lineRule="auto"/>
        <w:ind w:left="0"/>
        <w:jc w:val="left"/>
      </w:pPr>
      <w:r>
        <w:rPr>
          <w:rFonts w:ascii="Arial" w:hAnsi="Arial" w:eastAsia="等线" w:cs="Arial"/>
          <w:sz w:val="22"/>
        </w:rPr>
        <w:t>理想态的评测标准</w:t>
      </w:r>
    </w:p>
    <w:p w14:paraId="635A3912">
      <w:pPr>
        <w:numPr>
          <w:ilvl w:val="0"/>
          <w:numId w:val="12"/>
        </w:numPr>
        <w:spacing w:before="120" w:after="120" w:line="288" w:lineRule="auto"/>
        <w:ind w:left="453"/>
        <w:jc w:val="left"/>
      </w:pPr>
      <w:r>
        <w:rPr>
          <w:rFonts w:ascii="Arial" w:hAnsi="Arial" w:eastAsia="等线" w:cs="Arial"/>
          <w:sz w:val="22"/>
        </w:rPr>
        <w:t>评估方向：</w:t>
      </w:r>
    </w:p>
    <w:p w14:paraId="48A56804">
      <w:pPr>
        <w:spacing w:before="120" w:after="120" w:line="288" w:lineRule="auto"/>
        <w:ind w:left="453" w:firstLine="420"/>
        <w:jc w:val="left"/>
      </w:pPr>
      <w:r>
        <w:rPr>
          <w:rFonts w:ascii="Arial" w:hAnsi="Arial" w:eastAsia="等线" w:cs="Arial"/>
          <w:sz w:val="22"/>
        </w:rPr>
        <w:t>对于理想态的评价，参考用户调研的分析结果，我们从五个维度来衡量：</w:t>
      </w:r>
    </w:p>
    <w:p w14:paraId="2BB9092D">
      <w:pPr>
        <w:numPr>
          <w:ilvl w:val="0"/>
          <w:numId w:val="13"/>
        </w:numPr>
        <w:spacing w:before="120" w:after="120" w:line="288" w:lineRule="auto"/>
        <w:ind w:left="907"/>
        <w:jc w:val="left"/>
      </w:pPr>
      <w:r>
        <w:rPr>
          <w:rFonts w:ascii="Arial" w:hAnsi="Arial" w:eastAsia="等线" w:cs="Arial"/>
          <w:sz w:val="22"/>
        </w:rPr>
        <w:t>准确性：法条引用引用的法律（如《民法典》）是否真实存在且现行有效？</w:t>
      </w:r>
    </w:p>
    <w:p w14:paraId="4C0461E3">
      <w:pPr>
        <w:numPr>
          <w:ilvl w:val="0"/>
          <w:numId w:val="14"/>
        </w:numPr>
        <w:spacing w:before="120" w:after="120" w:line="288" w:lineRule="auto"/>
        <w:ind w:left="907"/>
        <w:jc w:val="left"/>
      </w:pPr>
      <w:r>
        <w:rPr>
          <w:rFonts w:ascii="Arial" w:hAnsi="Arial" w:eastAsia="等线" w:cs="Arial"/>
          <w:sz w:val="22"/>
        </w:rPr>
        <w:t>相关性：与用户问题相关的法条是否罗列？有没有回答问题。</w:t>
      </w:r>
    </w:p>
    <w:p w14:paraId="17D454A0">
      <w:pPr>
        <w:numPr>
          <w:ilvl w:val="0"/>
          <w:numId w:val="15"/>
        </w:numPr>
        <w:spacing w:before="120" w:after="120" w:line="288" w:lineRule="auto"/>
        <w:ind w:left="907"/>
        <w:jc w:val="left"/>
      </w:pPr>
      <w:r>
        <w:rPr>
          <w:rFonts w:ascii="Arial" w:hAnsi="Arial" w:eastAsia="等线" w:cs="Arial"/>
          <w:sz w:val="22"/>
        </w:rPr>
        <w:t>完整性：是否严格按照Prompt的要求输出全部内容？</w:t>
      </w:r>
    </w:p>
    <w:p w14:paraId="5445D222">
      <w:pPr>
        <w:numPr>
          <w:ilvl w:val="0"/>
          <w:numId w:val="16"/>
        </w:numPr>
        <w:spacing w:before="120" w:after="120" w:line="288" w:lineRule="auto"/>
        <w:ind w:left="907"/>
        <w:jc w:val="left"/>
      </w:pPr>
      <w:r>
        <w:rPr>
          <w:rFonts w:ascii="Arial" w:hAnsi="Arial" w:eastAsia="等线" w:cs="Arial"/>
          <w:sz w:val="22"/>
        </w:rPr>
        <w:t>简洁性：是否简化回答，防止过于冗长的回答使用户费解或者降低其使用产品的意愿？</w:t>
      </w:r>
    </w:p>
    <w:p w14:paraId="593CB14A">
      <w:pPr>
        <w:numPr>
          <w:ilvl w:val="0"/>
          <w:numId w:val="17"/>
        </w:numPr>
        <w:spacing w:before="120" w:after="120" w:line="288" w:lineRule="auto"/>
        <w:ind w:left="907"/>
        <w:jc w:val="left"/>
      </w:pPr>
      <w:r>
        <w:rPr>
          <w:rFonts w:ascii="Arial" w:hAnsi="Arial" w:eastAsia="等线" w:cs="Arial"/>
          <w:sz w:val="22"/>
        </w:rPr>
        <w:t>安全性：法律风险是否有免责声明？是否误导用户做出激进决策？是否在依据不全的情况下做出回答？</w:t>
      </w:r>
    </w:p>
    <w:p w14:paraId="11046BA4">
      <w:pPr>
        <w:spacing w:before="120" w:after="120" w:line="288" w:lineRule="auto"/>
        <w:ind w:left="0"/>
        <w:jc w:val="left"/>
      </w:pPr>
      <w:r>
        <w:rPr>
          <w:rFonts w:ascii="Arial" w:hAnsi="Arial" w:eastAsia="等线" w:cs="Arial"/>
          <w:sz w:val="22"/>
        </w:rPr>
        <w:t xml:space="preserve"> </w:t>
      </w:r>
    </w:p>
    <w:p w14:paraId="339AA1A6">
      <w:pPr>
        <w:numPr>
          <w:ilvl w:val="0"/>
          <w:numId w:val="18"/>
        </w:numPr>
        <w:spacing w:before="120" w:after="120" w:line="288" w:lineRule="auto"/>
        <w:ind w:left="453"/>
        <w:jc w:val="left"/>
      </w:pPr>
      <w:r>
        <w:rPr>
          <w:rFonts w:ascii="Arial" w:hAnsi="Arial" w:eastAsia="等线" w:cs="Arial"/>
          <w:sz w:val="22"/>
        </w:rPr>
        <w:t>打分方式：</w:t>
      </w:r>
    </w:p>
    <w:p w14:paraId="367CB97F">
      <w:pPr>
        <w:spacing w:before="120" w:after="120" w:line="288" w:lineRule="auto"/>
        <w:ind w:left="453" w:firstLine="420"/>
        <w:jc w:val="left"/>
      </w:pPr>
      <w:r>
        <w:rPr>
          <w:rFonts w:ascii="Arial" w:hAnsi="Arial" w:eastAsia="等线" w:cs="Arial"/>
          <w:sz w:val="22"/>
        </w:rPr>
        <w:t>打分方式采用Mos打分法（0-2分）</w:t>
      </w:r>
    </w:p>
    <w:p w14:paraId="3EC99866">
      <w:pPr>
        <w:spacing w:before="120" w:after="120" w:line="288" w:lineRule="auto"/>
        <w:ind w:left="453" w:firstLine="420"/>
        <w:jc w:val="left"/>
      </w:pPr>
      <w:r>
        <w:rPr>
          <w:rFonts w:ascii="Arial" w:hAnsi="Arial" w:eastAsia="等线" w:cs="Arial"/>
          <w:sz w:val="22"/>
        </w:rPr>
        <w:t>0分：代表完全不符合</w:t>
      </w:r>
    </w:p>
    <w:p w14:paraId="0E58F5E9">
      <w:pPr>
        <w:spacing w:before="120" w:after="120" w:line="288" w:lineRule="auto"/>
        <w:ind w:left="453" w:firstLine="420"/>
        <w:jc w:val="left"/>
      </w:pPr>
      <w:r>
        <w:rPr>
          <w:rFonts w:ascii="Arial" w:hAnsi="Arial" w:eastAsia="等线" w:cs="Arial"/>
          <w:sz w:val="22"/>
        </w:rPr>
        <w:t>1分：代表基本符合，但有明显的不足</w:t>
      </w:r>
    </w:p>
    <w:p w14:paraId="4A594E82">
      <w:pPr>
        <w:spacing w:before="120" w:after="120" w:line="288" w:lineRule="auto"/>
        <w:ind w:left="453" w:firstLine="420"/>
        <w:jc w:val="left"/>
      </w:pPr>
      <w:r>
        <w:rPr>
          <w:rFonts w:ascii="Arial" w:hAnsi="Arial" w:eastAsia="等线" w:cs="Arial"/>
          <w:sz w:val="22"/>
        </w:rPr>
        <w:t>2分：代表完全符合，甚至能超额解决问题</w:t>
      </w:r>
    </w:p>
    <w:p w14:paraId="23269D71">
      <w:pPr>
        <w:numPr>
          <w:ilvl w:val="0"/>
          <w:numId w:val="19"/>
        </w:numPr>
        <w:spacing w:before="120" w:after="120" w:line="288" w:lineRule="auto"/>
        <w:ind w:left="0"/>
        <w:jc w:val="left"/>
      </w:pPr>
      <w:r>
        <w:rPr>
          <w:rFonts w:ascii="Arial" w:hAnsi="Arial" w:eastAsia="等线" w:cs="Arial"/>
          <w:sz w:val="22"/>
        </w:rPr>
        <w:t>评测集的构建</w:t>
      </w:r>
    </w:p>
    <w:p w14:paraId="73FBA96D">
      <w:pPr>
        <w:numPr>
          <w:ilvl w:val="0"/>
          <w:numId w:val="20"/>
        </w:numPr>
        <w:spacing w:before="120" w:after="120" w:line="288" w:lineRule="auto"/>
        <w:ind w:left="453"/>
        <w:jc w:val="left"/>
      </w:pPr>
      <w:r>
        <w:rPr>
          <w:rFonts w:ascii="Arial" w:hAnsi="Arial" w:eastAsia="等线" w:cs="Arial"/>
          <w:sz w:val="22"/>
        </w:rPr>
        <w:t>Query分类比例</w:t>
      </w:r>
    </w:p>
    <w:p w14:paraId="19439ECA">
      <w:pPr>
        <w:spacing w:before="120" w:after="120" w:line="288" w:lineRule="auto"/>
        <w:ind w:left="453" w:firstLine="420"/>
        <w:jc w:val="left"/>
      </w:pPr>
      <w:r>
        <w:rPr>
          <w:rFonts w:ascii="Arial" w:hAnsi="Arial" w:eastAsia="等线" w:cs="Arial"/>
          <w:sz w:val="22"/>
        </w:rPr>
        <w:t>对于检索召回的效果，以及大模型生成回答的效果，我们通过构建评测集进行标准性评价。我们使用大模型生成20个针对不同法律问题的Query，用显性事实：占比60%、隐性事实：占比25%、可解释推理：占比10%、对抗样本：占比5%的比例生成这20个Query。</w:t>
      </w:r>
    </w:p>
    <w:p w14:paraId="2797BF02">
      <w:pPr>
        <w:numPr>
          <w:ilvl w:val="0"/>
          <w:numId w:val="21"/>
        </w:numPr>
        <w:spacing w:before="120" w:after="120" w:line="288" w:lineRule="auto"/>
        <w:ind w:left="453"/>
        <w:jc w:val="left"/>
      </w:pPr>
      <w:r>
        <w:rPr>
          <w:rFonts w:ascii="Arial" w:hAnsi="Arial" w:eastAsia="等线" w:cs="Arial"/>
          <w:sz w:val="22"/>
        </w:rPr>
        <w:t>寻找相关应召回法条</w:t>
      </w:r>
    </w:p>
    <w:p w14:paraId="01D04501">
      <w:pPr>
        <w:spacing w:before="120" w:after="120" w:line="288" w:lineRule="auto"/>
        <w:ind w:left="453" w:firstLine="420"/>
        <w:jc w:val="left"/>
      </w:pPr>
      <w:r>
        <w:rPr>
          <w:rFonts w:ascii="Arial" w:hAnsi="Arial" w:eastAsia="等线" w:cs="Arial"/>
          <w:sz w:val="22"/>
        </w:rPr>
        <w:t>对于这20个Query，通过之前的使用场景分类，并且备注其应该召回的法条款项。对于所有相关的法条，我们用高性能LLM（Gemini）反推其在民法典内的相关法条，提供我们计算召回率的参照。</w:t>
      </w:r>
    </w:p>
    <w:p w14:paraId="17591706">
      <w:pPr>
        <w:spacing w:before="120" w:after="120" w:line="288" w:lineRule="auto"/>
        <w:ind w:left="453" w:firstLine="0"/>
        <w:jc w:val="left"/>
      </w:pPr>
      <w:r>
        <w:rPr>
          <w:rFonts w:ascii="Arial" w:hAnsi="Arial" w:eastAsia="等线" w:cs="Arial"/>
          <w:sz w:val="22"/>
        </w:rPr>
        <w:t>评测集如下：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15"/>
        <w:gridCol w:w="2175"/>
        <w:gridCol w:w="3390"/>
      </w:tblGrid>
      <w:tr w14:paraId="31FCBD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3FC16380">
            <w:pPr>
              <w:spacing w:before="120" w:after="120" w:line="288" w:lineRule="auto"/>
              <w:ind w:left="0"/>
              <w:jc w:val="left"/>
            </w:pPr>
            <w:r>
              <w:rPr>
                <w:rFonts w:ascii="Arial" w:hAnsi="Arial" w:eastAsia="等线" w:cs="Arial"/>
                <w:sz w:val="22"/>
              </w:rPr>
              <w:t>评测集Query</w:t>
            </w:r>
          </w:p>
        </w:tc>
        <w:tc>
          <w:tcPr>
            <w:tcW w:w="2175" w:type="dxa"/>
            <w:tcMar>
              <w:top w:w="60" w:type="dxa"/>
              <w:left w:w="120" w:type="dxa"/>
              <w:bottom w:w="30" w:type="dxa"/>
              <w:right w:w="120" w:type="dxa"/>
            </w:tcMar>
          </w:tcPr>
          <w:p w14:paraId="7C63A433">
            <w:pPr>
              <w:spacing w:before="120" w:after="120" w:line="288" w:lineRule="auto"/>
              <w:ind w:left="0"/>
              <w:jc w:val="left"/>
            </w:pPr>
            <w:r>
              <w:rPr>
                <w:rFonts w:ascii="Arial" w:hAnsi="Arial" w:eastAsia="等线" w:cs="Arial"/>
                <w:sz w:val="22"/>
              </w:rPr>
              <w:t>场景</w:t>
            </w:r>
          </w:p>
        </w:tc>
        <w:tc>
          <w:tcPr>
            <w:tcW w:w="3390" w:type="dxa"/>
            <w:tcMar>
              <w:top w:w="60" w:type="dxa"/>
              <w:left w:w="120" w:type="dxa"/>
              <w:bottom w:w="30" w:type="dxa"/>
              <w:right w:w="120" w:type="dxa"/>
            </w:tcMar>
          </w:tcPr>
          <w:p w14:paraId="25BBAE03">
            <w:pPr>
              <w:spacing w:before="120" w:after="120" w:line="288" w:lineRule="auto"/>
              <w:ind w:left="0"/>
              <w:jc w:val="left"/>
            </w:pPr>
            <w:r>
              <w:rPr>
                <w:rFonts w:ascii="Arial" w:hAnsi="Arial" w:eastAsia="等线" w:cs="Arial"/>
                <w:sz w:val="22"/>
              </w:rPr>
              <w:t>备注</w:t>
            </w:r>
          </w:p>
        </w:tc>
      </w:tr>
      <w:tr w14:paraId="37A450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34CD217B">
            <w:pPr>
              <w:spacing w:before="120" w:after="120" w:line="288" w:lineRule="auto"/>
              <w:ind w:left="0"/>
              <w:jc w:val="left"/>
            </w:pPr>
            <w:r>
              <w:rPr>
                <w:rFonts w:ascii="Arial" w:hAnsi="Arial" w:eastAsia="等线" w:cs="Arial"/>
                <w:sz w:val="22"/>
              </w:rPr>
              <w:t>一、显性事实：占比60%</w:t>
            </w:r>
          </w:p>
        </w:tc>
        <w:tc>
          <w:tcPr>
            <w:tcW w:w="2175" w:type="dxa"/>
            <w:tcMar>
              <w:top w:w="60" w:type="dxa"/>
              <w:left w:w="120" w:type="dxa"/>
              <w:bottom w:w="30" w:type="dxa"/>
              <w:right w:w="120" w:type="dxa"/>
            </w:tcMar>
          </w:tcPr>
          <w:p w14:paraId="70C8AFB4">
            <w:pPr>
              <w:spacing w:before="120" w:after="120" w:line="288" w:lineRule="auto"/>
              <w:ind w:left="0"/>
              <w:jc w:val="left"/>
            </w:pPr>
            <w:r>
              <w:rPr>
                <w:rFonts w:ascii="Arial" w:hAnsi="Arial" w:eastAsia="等线" w:cs="Arial"/>
                <w:sz w:val="22"/>
              </w:rPr>
              <w:t xml:space="preserve"> </w:t>
            </w:r>
          </w:p>
        </w:tc>
        <w:tc>
          <w:tcPr>
            <w:tcW w:w="3390" w:type="dxa"/>
            <w:tcMar>
              <w:top w:w="60" w:type="dxa"/>
              <w:left w:w="120" w:type="dxa"/>
              <w:bottom w:w="30" w:type="dxa"/>
              <w:right w:w="120" w:type="dxa"/>
            </w:tcMar>
          </w:tcPr>
          <w:p w14:paraId="2E604737">
            <w:pPr>
              <w:spacing w:before="120" w:after="120" w:line="288" w:lineRule="auto"/>
              <w:ind w:left="0"/>
              <w:jc w:val="left"/>
            </w:pPr>
            <w:r>
              <w:rPr>
                <w:rFonts w:ascii="Arial" w:hAnsi="Arial" w:eastAsia="等线" w:cs="Arial"/>
                <w:sz w:val="22"/>
              </w:rPr>
              <w:t xml:space="preserve"> </w:t>
            </w:r>
          </w:p>
        </w:tc>
      </w:tr>
      <w:tr w14:paraId="398777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41CCDF92">
            <w:pPr>
              <w:spacing w:before="120" w:after="120" w:line="288" w:lineRule="auto"/>
              <w:ind w:left="0"/>
              <w:jc w:val="left"/>
            </w:pPr>
            <w:r>
              <w:rPr>
                <w:rFonts w:ascii="Arial" w:hAnsi="Arial" w:eastAsia="等线" w:cs="Arial"/>
                <w:sz w:val="22"/>
              </w:rPr>
              <w:t>营业场所对顾客的安全保障义务的法定标准是什么？</w:t>
            </w:r>
          </w:p>
        </w:tc>
        <w:tc>
          <w:tcPr>
            <w:tcW w:w="2175" w:type="dxa"/>
            <w:tcMar>
              <w:top w:w="60" w:type="dxa"/>
              <w:left w:w="120" w:type="dxa"/>
              <w:bottom w:w="30" w:type="dxa"/>
              <w:right w:w="120" w:type="dxa"/>
            </w:tcMar>
          </w:tcPr>
          <w:p w14:paraId="31B6C020">
            <w:pPr>
              <w:spacing w:before="120" w:after="120" w:line="288" w:lineRule="auto"/>
              <w:ind w:left="0"/>
              <w:jc w:val="left"/>
            </w:pPr>
            <w:r>
              <w:rPr>
                <w:rFonts w:ascii="Arial" w:hAnsi="Arial" w:eastAsia="等线" w:cs="Arial"/>
                <w:sz w:val="22"/>
              </w:rPr>
              <w:t>构成要件与归责</w:t>
            </w:r>
          </w:p>
        </w:tc>
        <w:tc>
          <w:tcPr>
            <w:tcW w:w="3390" w:type="dxa"/>
            <w:tcMar>
              <w:top w:w="60" w:type="dxa"/>
              <w:left w:w="120" w:type="dxa"/>
              <w:bottom w:w="30" w:type="dxa"/>
              <w:right w:w="120" w:type="dxa"/>
            </w:tcMar>
          </w:tcPr>
          <w:p w14:paraId="5F8D0F3A">
            <w:pPr>
              <w:spacing w:before="120" w:after="120" w:line="288" w:lineRule="auto"/>
              <w:ind w:left="0"/>
              <w:jc w:val="left"/>
            </w:pPr>
            <w:r>
              <w:rPr>
                <w:rFonts w:ascii="Arial" w:hAnsi="Arial" w:eastAsia="等线" w:cs="Arial"/>
                <w:sz w:val="22"/>
              </w:rPr>
              <w:t>召回第1198条，解释“合理限度范围”的界定。</w:t>
            </w:r>
          </w:p>
        </w:tc>
      </w:tr>
      <w:tr w14:paraId="0063EF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27519138">
            <w:pPr>
              <w:spacing w:before="120" w:after="120" w:line="288" w:lineRule="auto"/>
              <w:ind w:left="0"/>
              <w:jc w:val="left"/>
            </w:pPr>
            <w:r>
              <w:rPr>
                <w:rFonts w:ascii="Arial" w:hAnsi="Arial" w:eastAsia="等线" w:cs="Arial"/>
                <w:sz w:val="22"/>
              </w:rPr>
              <w:t>建设工程未经竣工验收，发包人擅自使用的，承包人保修责任如何认定？</w:t>
            </w:r>
          </w:p>
        </w:tc>
        <w:tc>
          <w:tcPr>
            <w:tcW w:w="2175" w:type="dxa"/>
            <w:tcMar>
              <w:top w:w="60" w:type="dxa"/>
              <w:left w:w="120" w:type="dxa"/>
              <w:bottom w:w="30" w:type="dxa"/>
              <w:right w:w="120" w:type="dxa"/>
            </w:tcMar>
          </w:tcPr>
          <w:p w14:paraId="3210B02D">
            <w:pPr>
              <w:spacing w:before="120" w:after="120" w:line="288" w:lineRule="auto"/>
              <w:ind w:left="0"/>
              <w:jc w:val="left"/>
            </w:pPr>
            <w:r>
              <w:rPr>
                <w:rFonts w:ascii="Arial" w:hAnsi="Arial" w:eastAsia="等线" w:cs="Arial"/>
                <w:sz w:val="22"/>
              </w:rPr>
              <w:t>构成要件与归责</w:t>
            </w:r>
          </w:p>
          <w:p w14:paraId="34186EE3">
            <w:pPr>
              <w:spacing w:before="120" w:after="120" w:line="288" w:lineRule="auto"/>
              <w:ind w:left="0"/>
              <w:jc w:val="left"/>
            </w:pPr>
          </w:p>
        </w:tc>
        <w:tc>
          <w:tcPr>
            <w:tcW w:w="3390" w:type="dxa"/>
            <w:tcMar>
              <w:top w:w="60" w:type="dxa"/>
              <w:left w:w="120" w:type="dxa"/>
              <w:bottom w:w="30" w:type="dxa"/>
              <w:right w:w="120" w:type="dxa"/>
            </w:tcMar>
          </w:tcPr>
          <w:p w14:paraId="057F53DA">
            <w:pPr>
              <w:spacing w:before="120" w:after="120" w:line="288" w:lineRule="auto"/>
              <w:ind w:left="0"/>
              <w:jc w:val="left"/>
            </w:pPr>
            <w:r>
              <w:rPr>
                <w:rFonts w:ascii="Arial" w:hAnsi="Arial" w:eastAsia="等线" w:cs="Arial"/>
                <w:sz w:val="22"/>
              </w:rPr>
              <w:t>召回第806条及建工司法解释，解释“擅自使用”对质量争议的效力阻却。</w:t>
            </w:r>
          </w:p>
        </w:tc>
      </w:tr>
      <w:tr w14:paraId="67B938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3BC60D37">
            <w:pPr>
              <w:spacing w:before="120" w:after="120" w:line="288" w:lineRule="auto"/>
              <w:ind w:left="0"/>
              <w:jc w:val="left"/>
            </w:pPr>
            <w:r>
              <w:rPr>
                <w:rFonts w:ascii="Arial" w:hAnsi="Arial" w:eastAsia="等线" w:cs="Arial"/>
                <w:sz w:val="22"/>
              </w:rPr>
              <w:t>相邻关系中，关于截水、排水的法定原则是什么？</w:t>
            </w:r>
          </w:p>
        </w:tc>
        <w:tc>
          <w:tcPr>
            <w:tcW w:w="2175" w:type="dxa"/>
            <w:tcMar>
              <w:top w:w="60" w:type="dxa"/>
              <w:left w:w="120" w:type="dxa"/>
              <w:bottom w:w="30" w:type="dxa"/>
              <w:right w:w="120" w:type="dxa"/>
            </w:tcMar>
          </w:tcPr>
          <w:p w14:paraId="7ACF806A">
            <w:pPr>
              <w:spacing w:before="120" w:after="120" w:line="288" w:lineRule="auto"/>
              <w:ind w:left="0"/>
              <w:jc w:val="left"/>
            </w:pPr>
            <w:r>
              <w:rPr>
                <w:rFonts w:ascii="Arial" w:hAnsi="Arial" w:eastAsia="等线" w:cs="Arial"/>
                <w:sz w:val="22"/>
              </w:rPr>
              <w:t>法条精准检索</w:t>
            </w:r>
          </w:p>
        </w:tc>
        <w:tc>
          <w:tcPr>
            <w:tcW w:w="3390" w:type="dxa"/>
            <w:tcMar>
              <w:top w:w="60" w:type="dxa"/>
              <w:left w:w="120" w:type="dxa"/>
              <w:bottom w:w="30" w:type="dxa"/>
              <w:right w:w="120" w:type="dxa"/>
            </w:tcMar>
          </w:tcPr>
          <w:p w14:paraId="69B93C22">
            <w:pPr>
              <w:spacing w:before="120" w:after="120" w:line="288" w:lineRule="auto"/>
              <w:ind w:left="0"/>
              <w:jc w:val="left"/>
            </w:pPr>
            <w:r>
              <w:rPr>
                <w:rFonts w:ascii="Arial" w:hAnsi="Arial" w:eastAsia="等线" w:cs="Arial"/>
                <w:sz w:val="22"/>
              </w:rPr>
              <w:t>召回第290条，解释“自然流水”的容忍义务。</w:t>
            </w:r>
          </w:p>
        </w:tc>
      </w:tr>
      <w:tr w14:paraId="117311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5BD642D9">
            <w:pPr>
              <w:spacing w:before="120" w:after="120" w:line="288" w:lineRule="auto"/>
              <w:ind w:left="0"/>
              <w:jc w:val="left"/>
            </w:pPr>
            <w:r>
              <w:rPr>
                <w:rFonts w:ascii="Arial" w:hAnsi="Arial" w:eastAsia="等线" w:cs="Arial"/>
                <w:sz w:val="22"/>
              </w:rPr>
              <w:t>格式条款与非格式条款不一致时，法律规定优先适用哪一种？</w:t>
            </w:r>
          </w:p>
        </w:tc>
        <w:tc>
          <w:tcPr>
            <w:tcW w:w="2175" w:type="dxa"/>
            <w:tcMar>
              <w:top w:w="60" w:type="dxa"/>
              <w:left w:w="120" w:type="dxa"/>
              <w:bottom w:w="30" w:type="dxa"/>
              <w:right w:w="120" w:type="dxa"/>
            </w:tcMar>
          </w:tcPr>
          <w:p w14:paraId="79D11D04">
            <w:pPr>
              <w:spacing w:before="120" w:after="120" w:line="288" w:lineRule="auto"/>
              <w:ind w:left="0"/>
              <w:jc w:val="left"/>
            </w:pPr>
            <w:r>
              <w:rPr>
                <w:rFonts w:ascii="Arial" w:hAnsi="Arial" w:eastAsia="等线" w:cs="Arial"/>
                <w:sz w:val="22"/>
              </w:rPr>
              <w:t>规则冲突与适用</w:t>
            </w:r>
          </w:p>
        </w:tc>
        <w:tc>
          <w:tcPr>
            <w:tcW w:w="3390" w:type="dxa"/>
            <w:tcMar>
              <w:top w:w="60" w:type="dxa"/>
              <w:left w:w="120" w:type="dxa"/>
              <w:bottom w:w="30" w:type="dxa"/>
              <w:right w:w="120" w:type="dxa"/>
            </w:tcMar>
          </w:tcPr>
          <w:p w14:paraId="458A9A38">
            <w:pPr>
              <w:spacing w:before="120" w:after="120" w:line="288" w:lineRule="auto"/>
              <w:ind w:left="0"/>
              <w:jc w:val="left"/>
            </w:pPr>
            <w:r>
              <w:rPr>
                <w:rFonts w:ascii="Arial" w:hAnsi="Arial" w:eastAsia="等线" w:cs="Arial"/>
                <w:sz w:val="22"/>
              </w:rPr>
              <w:t>召回第498条，解释非格式条款优先的法理逻辑。</w:t>
            </w:r>
          </w:p>
        </w:tc>
      </w:tr>
      <w:tr w14:paraId="061460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714BC236">
            <w:pPr>
              <w:spacing w:before="120" w:after="120" w:line="288" w:lineRule="auto"/>
              <w:ind w:left="0"/>
              <w:jc w:val="left"/>
            </w:pPr>
            <w:r>
              <w:rPr>
                <w:rFonts w:ascii="Arial" w:hAnsi="Arial" w:eastAsia="等线" w:cs="Arial"/>
                <w:sz w:val="22"/>
              </w:rPr>
              <w:t>债权人行使代位权的法定构成要件有哪些？</w:t>
            </w:r>
          </w:p>
        </w:tc>
        <w:tc>
          <w:tcPr>
            <w:tcW w:w="2175" w:type="dxa"/>
            <w:tcMar>
              <w:top w:w="60" w:type="dxa"/>
              <w:left w:w="120" w:type="dxa"/>
              <w:bottom w:w="30" w:type="dxa"/>
              <w:right w:w="120" w:type="dxa"/>
            </w:tcMar>
          </w:tcPr>
          <w:p w14:paraId="287B82DF">
            <w:pPr>
              <w:spacing w:before="120" w:after="120" w:line="288" w:lineRule="auto"/>
              <w:ind w:left="0"/>
              <w:jc w:val="left"/>
            </w:pPr>
            <w:r>
              <w:rPr>
                <w:rFonts w:ascii="Arial" w:hAnsi="Arial" w:eastAsia="等线" w:cs="Arial"/>
                <w:sz w:val="22"/>
              </w:rPr>
              <w:t>构成要件与归责</w:t>
            </w:r>
          </w:p>
        </w:tc>
        <w:tc>
          <w:tcPr>
            <w:tcW w:w="3390" w:type="dxa"/>
            <w:tcMar>
              <w:top w:w="60" w:type="dxa"/>
              <w:left w:w="120" w:type="dxa"/>
              <w:bottom w:w="30" w:type="dxa"/>
              <w:right w:w="120" w:type="dxa"/>
            </w:tcMar>
          </w:tcPr>
          <w:p w14:paraId="2FAD5336">
            <w:pPr>
              <w:spacing w:before="120" w:after="120" w:line="288" w:lineRule="auto"/>
              <w:ind w:left="0"/>
              <w:jc w:val="left"/>
            </w:pPr>
            <w:r>
              <w:rPr>
                <w:rFonts w:ascii="Arial" w:hAnsi="Arial" w:eastAsia="等线" w:cs="Arial"/>
                <w:sz w:val="22"/>
              </w:rPr>
              <w:t>召回第535条，拆解“怠于行使”、“到期债权”等要件。</w:t>
            </w:r>
          </w:p>
        </w:tc>
      </w:tr>
      <w:tr w14:paraId="30C627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45DC6F3D">
            <w:pPr>
              <w:spacing w:before="120" w:after="120" w:line="288" w:lineRule="auto"/>
              <w:ind w:left="0"/>
              <w:jc w:val="left"/>
            </w:pPr>
            <w:r>
              <w:rPr>
                <w:rFonts w:ascii="Arial" w:hAnsi="Arial" w:eastAsia="等线" w:cs="Arial"/>
                <w:sz w:val="22"/>
              </w:rPr>
              <w:t>遗嘱执行人未指定且无继承人时，民法典规定由谁担任遗产管理人？</w:t>
            </w:r>
          </w:p>
        </w:tc>
        <w:tc>
          <w:tcPr>
            <w:tcW w:w="2175" w:type="dxa"/>
            <w:tcMar>
              <w:top w:w="60" w:type="dxa"/>
              <w:left w:w="120" w:type="dxa"/>
              <w:bottom w:w="30" w:type="dxa"/>
              <w:right w:w="120" w:type="dxa"/>
            </w:tcMar>
          </w:tcPr>
          <w:p w14:paraId="5A2993EA">
            <w:pPr>
              <w:spacing w:before="120" w:after="120" w:line="288" w:lineRule="auto"/>
              <w:ind w:left="0"/>
              <w:jc w:val="left"/>
            </w:pPr>
            <w:r>
              <w:rPr>
                <w:rFonts w:ascii="Arial" w:hAnsi="Arial" w:eastAsia="等线" w:cs="Arial"/>
                <w:sz w:val="22"/>
              </w:rPr>
              <w:t>法条精准检索</w:t>
            </w:r>
          </w:p>
        </w:tc>
        <w:tc>
          <w:tcPr>
            <w:tcW w:w="3390" w:type="dxa"/>
            <w:tcMar>
              <w:top w:w="60" w:type="dxa"/>
              <w:left w:w="120" w:type="dxa"/>
              <w:bottom w:w="30" w:type="dxa"/>
              <w:right w:w="120" w:type="dxa"/>
            </w:tcMar>
          </w:tcPr>
          <w:p w14:paraId="27FCE83F">
            <w:pPr>
              <w:spacing w:before="120" w:after="120" w:line="288" w:lineRule="auto"/>
              <w:ind w:left="0"/>
              <w:jc w:val="left"/>
            </w:pPr>
            <w:r>
              <w:rPr>
                <w:rFonts w:ascii="Arial" w:hAnsi="Arial" w:eastAsia="等线" w:cs="Arial"/>
                <w:sz w:val="22"/>
              </w:rPr>
              <w:t>召回第1145条，明确民政部门或村委会的法定兜底职责。</w:t>
            </w:r>
          </w:p>
        </w:tc>
      </w:tr>
      <w:tr w14:paraId="782FBE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0A407B55">
            <w:pPr>
              <w:spacing w:before="120" w:after="120" w:line="288" w:lineRule="auto"/>
              <w:ind w:left="0"/>
              <w:jc w:val="left"/>
            </w:pPr>
            <w:r>
              <w:rPr>
                <w:rFonts w:ascii="Arial" w:hAnsi="Arial" w:eastAsia="等线" w:cs="Arial"/>
                <w:sz w:val="22"/>
              </w:rPr>
              <w:t>合伙人执行合伙事务的报酬请求权是否有法定依据？</w:t>
            </w:r>
          </w:p>
        </w:tc>
        <w:tc>
          <w:tcPr>
            <w:tcW w:w="2175" w:type="dxa"/>
            <w:tcMar>
              <w:top w:w="60" w:type="dxa"/>
              <w:left w:w="120" w:type="dxa"/>
              <w:bottom w:w="30" w:type="dxa"/>
              <w:right w:w="120" w:type="dxa"/>
            </w:tcMar>
          </w:tcPr>
          <w:p w14:paraId="1A0906D9">
            <w:pPr>
              <w:spacing w:before="120" w:after="120" w:line="288" w:lineRule="auto"/>
              <w:ind w:left="0"/>
              <w:jc w:val="left"/>
            </w:pPr>
            <w:r>
              <w:rPr>
                <w:rFonts w:ascii="Arial" w:hAnsi="Arial" w:eastAsia="等线" w:cs="Arial"/>
                <w:sz w:val="22"/>
              </w:rPr>
              <w:t>法条精准检索</w:t>
            </w:r>
          </w:p>
        </w:tc>
        <w:tc>
          <w:tcPr>
            <w:tcW w:w="3390" w:type="dxa"/>
            <w:tcMar>
              <w:top w:w="60" w:type="dxa"/>
              <w:left w:w="120" w:type="dxa"/>
              <w:bottom w:w="30" w:type="dxa"/>
              <w:right w:w="120" w:type="dxa"/>
            </w:tcMar>
          </w:tcPr>
          <w:p w14:paraId="73C94C66">
            <w:pPr>
              <w:spacing w:before="120" w:after="120" w:line="288" w:lineRule="auto"/>
              <w:ind w:left="0"/>
              <w:jc w:val="left"/>
            </w:pPr>
            <w:r>
              <w:rPr>
                <w:rFonts w:ascii="Arial" w:hAnsi="Arial" w:eastAsia="等线" w:cs="Arial"/>
                <w:sz w:val="22"/>
              </w:rPr>
              <w:t>召回第971条，解释“原则上无报酬，另有约定除外”。</w:t>
            </w:r>
          </w:p>
        </w:tc>
      </w:tr>
      <w:tr w14:paraId="740A6E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7F586A0F">
            <w:pPr>
              <w:spacing w:before="120" w:after="120" w:line="288" w:lineRule="auto"/>
              <w:ind w:left="0"/>
              <w:jc w:val="left"/>
            </w:pPr>
            <w:r>
              <w:rPr>
                <w:rFonts w:ascii="Arial" w:hAnsi="Arial" w:eastAsia="等线" w:cs="Arial"/>
                <w:sz w:val="22"/>
              </w:rPr>
              <w:t>承揽人在完成工作过程中造成第三人损害的，定作人是否承担侵权责任？</w:t>
            </w:r>
          </w:p>
        </w:tc>
        <w:tc>
          <w:tcPr>
            <w:tcW w:w="2175" w:type="dxa"/>
            <w:tcMar>
              <w:top w:w="60" w:type="dxa"/>
              <w:left w:w="120" w:type="dxa"/>
              <w:bottom w:w="30" w:type="dxa"/>
              <w:right w:w="120" w:type="dxa"/>
            </w:tcMar>
          </w:tcPr>
          <w:p w14:paraId="56F1246D">
            <w:pPr>
              <w:spacing w:before="120" w:after="120" w:line="288" w:lineRule="auto"/>
              <w:ind w:left="0"/>
              <w:jc w:val="left"/>
            </w:pPr>
            <w:r>
              <w:rPr>
                <w:rFonts w:ascii="Arial" w:hAnsi="Arial" w:eastAsia="等线" w:cs="Arial"/>
                <w:sz w:val="22"/>
              </w:rPr>
              <w:t>构成要件与归责</w:t>
            </w:r>
          </w:p>
        </w:tc>
        <w:tc>
          <w:tcPr>
            <w:tcW w:w="3390" w:type="dxa"/>
            <w:tcMar>
              <w:top w:w="60" w:type="dxa"/>
              <w:left w:w="120" w:type="dxa"/>
              <w:bottom w:w="30" w:type="dxa"/>
              <w:right w:w="120" w:type="dxa"/>
            </w:tcMar>
          </w:tcPr>
          <w:p w14:paraId="6DBB79F9">
            <w:pPr>
              <w:spacing w:before="120" w:after="120" w:line="288" w:lineRule="auto"/>
              <w:ind w:left="0"/>
              <w:jc w:val="left"/>
            </w:pPr>
            <w:r>
              <w:rPr>
                <w:rFonts w:ascii="Arial" w:hAnsi="Arial" w:eastAsia="等线" w:cs="Arial"/>
                <w:sz w:val="22"/>
              </w:rPr>
              <w:t>召回第1193条，解释定作人“定作、指示或选任有过错”的例外担责情形。</w:t>
            </w:r>
          </w:p>
        </w:tc>
      </w:tr>
      <w:tr w14:paraId="74EAAE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35A4A31F">
            <w:pPr>
              <w:spacing w:before="120" w:after="120" w:line="288" w:lineRule="auto"/>
              <w:ind w:left="0"/>
              <w:jc w:val="left"/>
            </w:pPr>
            <w:r>
              <w:rPr>
                <w:rFonts w:ascii="Arial" w:hAnsi="Arial" w:eastAsia="等线" w:cs="Arial"/>
                <w:sz w:val="22"/>
              </w:rPr>
              <w:t>保证合同中没有约定保证期间的，法定保证期间是多长？</w:t>
            </w:r>
          </w:p>
        </w:tc>
        <w:tc>
          <w:tcPr>
            <w:tcW w:w="2175" w:type="dxa"/>
            <w:tcMar>
              <w:top w:w="60" w:type="dxa"/>
              <w:left w:w="120" w:type="dxa"/>
              <w:bottom w:w="30" w:type="dxa"/>
              <w:right w:w="120" w:type="dxa"/>
            </w:tcMar>
          </w:tcPr>
          <w:p w14:paraId="0DC905B1">
            <w:pPr>
              <w:spacing w:before="120" w:after="120" w:line="288" w:lineRule="auto"/>
              <w:ind w:left="0"/>
              <w:jc w:val="left"/>
            </w:pPr>
            <w:r>
              <w:rPr>
                <w:rFonts w:ascii="Arial" w:hAnsi="Arial" w:eastAsia="等线" w:cs="Arial"/>
                <w:sz w:val="22"/>
              </w:rPr>
              <w:t>法条精准检索</w:t>
            </w:r>
          </w:p>
        </w:tc>
        <w:tc>
          <w:tcPr>
            <w:tcW w:w="3390" w:type="dxa"/>
            <w:tcMar>
              <w:top w:w="60" w:type="dxa"/>
              <w:left w:w="120" w:type="dxa"/>
              <w:bottom w:w="30" w:type="dxa"/>
              <w:right w:w="120" w:type="dxa"/>
            </w:tcMar>
          </w:tcPr>
          <w:p w14:paraId="498DBB2E">
            <w:pPr>
              <w:spacing w:before="120" w:after="120" w:line="288" w:lineRule="auto"/>
              <w:ind w:left="0"/>
              <w:jc w:val="left"/>
            </w:pPr>
            <w:r>
              <w:rPr>
                <w:rFonts w:ascii="Arial" w:hAnsi="Arial" w:eastAsia="等线" w:cs="Arial"/>
                <w:sz w:val="22"/>
              </w:rPr>
              <w:t>召回第692条，明确“主债务履行期限届满之日起六个月”。</w:t>
            </w:r>
          </w:p>
        </w:tc>
      </w:tr>
      <w:tr w14:paraId="7391BD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78BA1A5D">
            <w:pPr>
              <w:spacing w:before="120" w:after="120" w:line="288" w:lineRule="auto"/>
              <w:ind w:left="0"/>
              <w:jc w:val="left"/>
            </w:pPr>
            <w:r>
              <w:rPr>
                <w:rFonts w:ascii="Arial" w:hAnsi="Arial" w:eastAsia="等线" w:cs="Arial"/>
                <w:sz w:val="22"/>
              </w:rPr>
              <w:t>连带债务人之一破产的，债权人申报债权的法定规则是什么？</w:t>
            </w:r>
          </w:p>
        </w:tc>
        <w:tc>
          <w:tcPr>
            <w:tcW w:w="2175" w:type="dxa"/>
            <w:tcMar>
              <w:top w:w="60" w:type="dxa"/>
              <w:left w:w="120" w:type="dxa"/>
              <w:bottom w:w="30" w:type="dxa"/>
              <w:right w:w="120" w:type="dxa"/>
            </w:tcMar>
          </w:tcPr>
          <w:p w14:paraId="19D54736">
            <w:pPr>
              <w:spacing w:before="120" w:after="120" w:line="288" w:lineRule="auto"/>
              <w:ind w:left="0"/>
              <w:jc w:val="left"/>
            </w:pPr>
            <w:r>
              <w:rPr>
                <w:rFonts w:ascii="Arial" w:hAnsi="Arial" w:eastAsia="等线" w:cs="Arial"/>
                <w:sz w:val="22"/>
              </w:rPr>
              <w:t>法条精准检索</w:t>
            </w:r>
          </w:p>
        </w:tc>
        <w:tc>
          <w:tcPr>
            <w:tcW w:w="3390" w:type="dxa"/>
            <w:tcMar>
              <w:top w:w="60" w:type="dxa"/>
              <w:left w:w="120" w:type="dxa"/>
              <w:bottom w:w="30" w:type="dxa"/>
              <w:right w:w="120" w:type="dxa"/>
            </w:tcMar>
          </w:tcPr>
          <w:p w14:paraId="6D13B613">
            <w:pPr>
              <w:spacing w:before="120" w:after="120" w:line="288" w:lineRule="auto"/>
              <w:ind w:left="0"/>
              <w:jc w:val="left"/>
            </w:pPr>
            <w:r>
              <w:rPr>
                <w:rFonts w:ascii="Arial" w:hAnsi="Arial" w:eastAsia="等线" w:cs="Arial"/>
                <w:sz w:val="22"/>
              </w:rPr>
              <w:t>召回第520条及破产法相关规定，解释全额申报原则。</w:t>
            </w:r>
          </w:p>
        </w:tc>
      </w:tr>
      <w:tr w14:paraId="51A42A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15F436B9">
            <w:pPr>
              <w:spacing w:before="120" w:after="120" w:line="288" w:lineRule="auto"/>
              <w:ind w:left="0"/>
              <w:jc w:val="left"/>
            </w:pPr>
            <w:r>
              <w:rPr>
                <w:rFonts w:ascii="Arial" w:hAnsi="Arial" w:eastAsia="等线" w:cs="Arial"/>
                <w:sz w:val="22"/>
              </w:rPr>
              <w:t>悬赏广告的法律性质及报酬请求权成立的法定要件是什么？</w:t>
            </w:r>
          </w:p>
        </w:tc>
        <w:tc>
          <w:tcPr>
            <w:tcW w:w="2175" w:type="dxa"/>
            <w:tcMar>
              <w:top w:w="60" w:type="dxa"/>
              <w:left w:w="120" w:type="dxa"/>
              <w:bottom w:w="30" w:type="dxa"/>
              <w:right w:w="120" w:type="dxa"/>
            </w:tcMar>
          </w:tcPr>
          <w:p w14:paraId="6316675D">
            <w:pPr>
              <w:spacing w:before="120" w:after="120" w:line="288" w:lineRule="auto"/>
              <w:ind w:left="0"/>
              <w:jc w:val="left"/>
            </w:pPr>
            <w:r>
              <w:rPr>
                <w:rFonts w:ascii="Arial" w:hAnsi="Arial" w:eastAsia="等线" w:cs="Arial"/>
                <w:sz w:val="22"/>
              </w:rPr>
              <w:t>法律概念界定</w:t>
            </w:r>
          </w:p>
        </w:tc>
        <w:tc>
          <w:tcPr>
            <w:tcW w:w="3390" w:type="dxa"/>
            <w:tcMar>
              <w:top w:w="60" w:type="dxa"/>
              <w:left w:w="120" w:type="dxa"/>
              <w:bottom w:w="30" w:type="dxa"/>
              <w:right w:w="120" w:type="dxa"/>
            </w:tcMar>
          </w:tcPr>
          <w:p w14:paraId="477AFF41">
            <w:pPr>
              <w:spacing w:before="120" w:after="120" w:line="288" w:lineRule="auto"/>
              <w:ind w:left="0"/>
              <w:jc w:val="left"/>
            </w:pPr>
            <w:r>
              <w:rPr>
                <w:rFonts w:ascii="Arial" w:hAnsi="Arial" w:eastAsia="等线" w:cs="Arial"/>
                <w:sz w:val="22"/>
              </w:rPr>
              <w:t>召回第499条，解释单方允诺的效力及完成特定行为的认定。</w:t>
            </w:r>
          </w:p>
        </w:tc>
      </w:tr>
      <w:tr w14:paraId="3B0E12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3FEBB758">
            <w:pPr>
              <w:spacing w:before="120" w:after="120" w:line="288" w:lineRule="auto"/>
              <w:ind w:left="0"/>
              <w:jc w:val="left"/>
            </w:pPr>
            <w:r>
              <w:rPr>
                <w:rFonts w:ascii="Arial" w:hAnsi="Arial" w:eastAsia="等线" w:cs="Arial"/>
                <w:sz w:val="22"/>
              </w:rPr>
              <w:t>民法典中关于“居住权”设立的法定形式及生效要件是什么？</w:t>
            </w:r>
          </w:p>
        </w:tc>
        <w:tc>
          <w:tcPr>
            <w:tcW w:w="2175" w:type="dxa"/>
            <w:tcMar>
              <w:top w:w="60" w:type="dxa"/>
              <w:left w:w="120" w:type="dxa"/>
              <w:bottom w:w="30" w:type="dxa"/>
              <w:right w:w="120" w:type="dxa"/>
            </w:tcMar>
          </w:tcPr>
          <w:p w14:paraId="4AA13FF4">
            <w:pPr>
              <w:spacing w:before="120" w:after="120" w:line="288" w:lineRule="auto"/>
              <w:ind w:left="0"/>
              <w:jc w:val="left"/>
            </w:pPr>
            <w:r>
              <w:rPr>
                <w:rFonts w:ascii="Arial" w:hAnsi="Arial" w:eastAsia="等线" w:cs="Arial"/>
                <w:sz w:val="22"/>
              </w:rPr>
              <w:t>法律概念界定</w:t>
            </w:r>
          </w:p>
        </w:tc>
        <w:tc>
          <w:tcPr>
            <w:tcW w:w="3390" w:type="dxa"/>
            <w:tcMar>
              <w:top w:w="60" w:type="dxa"/>
              <w:left w:w="120" w:type="dxa"/>
              <w:bottom w:w="30" w:type="dxa"/>
              <w:right w:w="120" w:type="dxa"/>
            </w:tcMar>
          </w:tcPr>
          <w:p w14:paraId="23F2E3D5">
            <w:pPr>
              <w:spacing w:before="120" w:after="120" w:line="288" w:lineRule="auto"/>
              <w:ind w:left="0"/>
              <w:jc w:val="left"/>
            </w:pPr>
            <w:r>
              <w:rPr>
                <w:rFonts w:ascii="Arial" w:hAnsi="Arial" w:eastAsia="等线" w:cs="Arial"/>
                <w:sz w:val="22"/>
              </w:rPr>
              <w:t>召回第367、368条，解释“书面合同+登记生效”的双重强制要求。</w:t>
            </w:r>
          </w:p>
        </w:tc>
      </w:tr>
      <w:tr w14:paraId="7A0843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6776A37C">
            <w:pPr>
              <w:spacing w:before="120" w:after="120" w:line="288" w:lineRule="auto"/>
              <w:ind w:left="0"/>
              <w:jc w:val="left"/>
            </w:pPr>
            <w:r>
              <w:rPr>
                <w:rFonts w:ascii="Arial" w:hAnsi="Arial" w:eastAsia="等线" w:cs="Arial"/>
                <w:sz w:val="22"/>
              </w:rPr>
              <w:t>二、隐性事实：占比25%</w:t>
            </w:r>
          </w:p>
        </w:tc>
        <w:tc>
          <w:tcPr>
            <w:tcW w:w="2175" w:type="dxa"/>
            <w:tcMar>
              <w:top w:w="60" w:type="dxa"/>
              <w:left w:w="120" w:type="dxa"/>
              <w:bottom w:w="30" w:type="dxa"/>
              <w:right w:w="120" w:type="dxa"/>
            </w:tcMar>
          </w:tcPr>
          <w:p w14:paraId="7D1172D3">
            <w:pPr>
              <w:spacing w:before="120" w:after="120" w:line="288" w:lineRule="auto"/>
              <w:ind w:left="0"/>
              <w:jc w:val="left"/>
            </w:pPr>
            <w:r>
              <w:rPr>
                <w:rFonts w:ascii="Arial" w:hAnsi="Arial" w:eastAsia="等线" w:cs="Arial"/>
                <w:sz w:val="22"/>
              </w:rPr>
              <w:t xml:space="preserve"> </w:t>
            </w:r>
          </w:p>
        </w:tc>
        <w:tc>
          <w:tcPr>
            <w:tcW w:w="3390" w:type="dxa"/>
            <w:tcMar>
              <w:top w:w="60" w:type="dxa"/>
              <w:left w:w="120" w:type="dxa"/>
              <w:bottom w:w="30" w:type="dxa"/>
              <w:right w:w="120" w:type="dxa"/>
            </w:tcMar>
          </w:tcPr>
          <w:p w14:paraId="349742CB">
            <w:pPr>
              <w:spacing w:before="120" w:after="120" w:line="288" w:lineRule="auto"/>
              <w:ind w:left="0"/>
              <w:jc w:val="left"/>
            </w:pPr>
            <w:r>
              <w:rPr>
                <w:rFonts w:ascii="Arial" w:hAnsi="Arial" w:eastAsia="等线" w:cs="Arial"/>
                <w:sz w:val="22"/>
              </w:rPr>
              <w:t xml:space="preserve"> </w:t>
            </w:r>
          </w:p>
        </w:tc>
      </w:tr>
      <w:tr w14:paraId="54C6D9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6B967E7E">
            <w:pPr>
              <w:spacing w:before="120" w:after="120" w:line="288" w:lineRule="auto"/>
              <w:ind w:left="0"/>
              <w:jc w:val="left"/>
            </w:pPr>
            <w:r>
              <w:rPr>
                <w:rFonts w:ascii="Arial" w:hAnsi="Arial" w:eastAsia="等线" w:cs="Arial"/>
                <w:sz w:val="22"/>
              </w:rPr>
              <w:t>员工在上下班途中驾驶私人车辆发生交通事故，用人单位承担雇主责任的法律依据是什么？</w:t>
            </w:r>
          </w:p>
        </w:tc>
        <w:tc>
          <w:tcPr>
            <w:tcW w:w="2175" w:type="dxa"/>
            <w:tcMar>
              <w:top w:w="60" w:type="dxa"/>
              <w:left w:w="120" w:type="dxa"/>
              <w:bottom w:w="30" w:type="dxa"/>
              <w:right w:w="120" w:type="dxa"/>
            </w:tcMar>
          </w:tcPr>
          <w:p w14:paraId="119B6737">
            <w:pPr>
              <w:spacing w:before="120" w:after="120" w:line="288" w:lineRule="auto"/>
              <w:ind w:left="0"/>
              <w:jc w:val="left"/>
            </w:pPr>
            <w:r>
              <w:rPr>
                <w:rFonts w:ascii="Arial" w:hAnsi="Arial" w:eastAsia="等线" w:cs="Arial"/>
                <w:sz w:val="22"/>
              </w:rPr>
              <w:t>构成要件与归责</w:t>
            </w:r>
          </w:p>
        </w:tc>
        <w:tc>
          <w:tcPr>
            <w:tcW w:w="3390" w:type="dxa"/>
            <w:tcMar>
              <w:top w:w="60" w:type="dxa"/>
              <w:left w:w="120" w:type="dxa"/>
              <w:bottom w:w="30" w:type="dxa"/>
              <w:right w:w="120" w:type="dxa"/>
            </w:tcMar>
          </w:tcPr>
          <w:p w14:paraId="0CA17DBF">
            <w:pPr>
              <w:spacing w:before="120" w:after="120" w:line="288" w:lineRule="auto"/>
              <w:ind w:left="0"/>
              <w:jc w:val="left"/>
            </w:pPr>
            <w:r>
              <w:rPr>
                <w:rFonts w:ascii="Arial" w:hAnsi="Arial" w:eastAsia="等线" w:cs="Arial"/>
                <w:sz w:val="22"/>
              </w:rPr>
              <w:t>召回第1191条，需解释“执行工作任务”的内涵及上下班途中的除外情形。</w:t>
            </w:r>
          </w:p>
        </w:tc>
      </w:tr>
      <w:tr w14:paraId="778043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3E13210A">
            <w:pPr>
              <w:spacing w:before="120" w:after="120" w:line="288" w:lineRule="auto"/>
              <w:ind w:left="0"/>
              <w:jc w:val="left"/>
            </w:pPr>
            <w:r>
              <w:rPr>
                <w:rFonts w:ascii="Arial" w:hAnsi="Arial" w:eastAsia="等线" w:cs="Arial"/>
                <w:sz w:val="22"/>
              </w:rPr>
              <w:t>建筑设计图纸存在缺陷导致工程返工，施工方能否越过发包人直接向设计方主张违约？</w:t>
            </w:r>
          </w:p>
        </w:tc>
        <w:tc>
          <w:tcPr>
            <w:tcW w:w="2175" w:type="dxa"/>
            <w:tcMar>
              <w:top w:w="60" w:type="dxa"/>
              <w:left w:w="120" w:type="dxa"/>
              <w:bottom w:w="30" w:type="dxa"/>
              <w:right w:w="120" w:type="dxa"/>
            </w:tcMar>
          </w:tcPr>
          <w:p w14:paraId="5425BA2B">
            <w:pPr>
              <w:spacing w:before="120" w:after="120" w:line="288" w:lineRule="auto"/>
              <w:ind w:left="0"/>
              <w:jc w:val="left"/>
            </w:pPr>
            <w:r>
              <w:rPr>
                <w:rFonts w:ascii="Arial" w:hAnsi="Arial" w:eastAsia="等线" w:cs="Arial"/>
                <w:sz w:val="22"/>
              </w:rPr>
              <w:t>规则冲突与适用</w:t>
            </w:r>
          </w:p>
        </w:tc>
        <w:tc>
          <w:tcPr>
            <w:tcW w:w="3390" w:type="dxa"/>
            <w:tcMar>
              <w:top w:w="60" w:type="dxa"/>
              <w:left w:w="120" w:type="dxa"/>
              <w:bottom w:w="30" w:type="dxa"/>
              <w:right w:w="120" w:type="dxa"/>
            </w:tcMar>
          </w:tcPr>
          <w:p w14:paraId="3E85D619">
            <w:pPr>
              <w:spacing w:before="120" w:after="120" w:line="288" w:lineRule="auto"/>
              <w:ind w:left="0"/>
              <w:jc w:val="left"/>
            </w:pPr>
            <w:r>
              <w:rPr>
                <w:rFonts w:ascii="Arial" w:hAnsi="Arial" w:eastAsia="等线" w:cs="Arial"/>
                <w:sz w:val="22"/>
              </w:rPr>
              <w:t>召回第465条、第807条，解释“合同相对性”原则及其突破的严格限制。</w:t>
            </w:r>
          </w:p>
        </w:tc>
      </w:tr>
      <w:tr w14:paraId="4C25ED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15D113E0">
            <w:pPr>
              <w:spacing w:before="120" w:after="120" w:line="288" w:lineRule="auto"/>
              <w:ind w:left="0"/>
              <w:jc w:val="left"/>
            </w:pPr>
            <w:r>
              <w:rPr>
                <w:rFonts w:ascii="Arial" w:hAnsi="Arial" w:eastAsia="等线" w:cs="Arial"/>
                <w:sz w:val="22"/>
              </w:rPr>
              <w:t>婚前个人全款购买的房屋，婚后用于出租产生的租金收益，在法定财产制下归属如何界定？</w:t>
            </w:r>
          </w:p>
        </w:tc>
        <w:tc>
          <w:tcPr>
            <w:tcW w:w="2175" w:type="dxa"/>
            <w:tcMar>
              <w:top w:w="60" w:type="dxa"/>
              <w:left w:w="120" w:type="dxa"/>
              <w:bottom w:w="30" w:type="dxa"/>
              <w:right w:w="120" w:type="dxa"/>
            </w:tcMar>
          </w:tcPr>
          <w:p w14:paraId="5DD44C3C">
            <w:pPr>
              <w:spacing w:before="120" w:after="120" w:line="288" w:lineRule="auto"/>
              <w:ind w:left="0"/>
              <w:jc w:val="left"/>
            </w:pPr>
            <w:r>
              <w:rPr>
                <w:rFonts w:ascii="Arial" w:hAnsi="Arial" w:eastAsia="等线" w:cs="Arial"/>
                <w:sz w:val="22"/>
              </w:rPr>
              <w:t>法律概念界定</w:t>
            </w:r>
          </w:p>
        </w:tc>
        <w:tc>
          <w:tcPr>
            <w:tcW w:w="3390" w:type="dxa"/>
            <w:tcMar>
              <w:top w:w="60" w:type="dxa"/>
              <w:left w:w="120" w:type="dxa"/>
              <w:bottom w:w="30" w:type="dxa"/>
              <w:right w:w="120" w:type="dxa"/>
            </w:tcMar>
          </w:tcPr>
          <w:p w14:paraId="69C43939">
            <w:pPr>
              <w:spacing w:before="120" w:after="120" w:line="288" w:lineRule="auto"/>
              <w:ind w:left="0"/>
              <w:jc w:val="left"/>
            </w:pPr>
            <w:r>
              <w:rPr>
                <w:rFonts w:ascii="Arial" w:hAnsi="Arial" w:eastAsia="等线" w:cs="Arial"/>
                <w:sz w:val="22"/>
              </w:rPr>
              <w:t>召回第1062条及婚姻编司法解释，界定“投资收益”与“天然孳息”的区别。</w:t>
            </w:r>
          </w:p>
        </w:tc>
      </w:tr>
      <w:tr w14:paraId="0AA7B3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61876075">
            <w:pPr>
              <w:spacing w:before="120" w:after="120" w:line="288" w:lineRule="auto"/>
              <w:ind w:left="0"/>
              <w:jc w:val="left"/>
            </w:pPr>
            <w:r>
              <w:rPr>
                <w:rFonts w:ascii="Arial" w:hAnsi="Arial" w:eastAsia="等线" w:cs="Arial"/>
                <w:sz w:val="22"/>
              </w:rPr>
              <w:t>未经授权收集并使用企业公开的非敏感数据进行商业变现，构成侵权的法律依据是什么？</w:t>
            </w:r>
          </w:p>
        </w:tc>
        <w:tc>
          <w:tcPr>
            <w:tcW w:w="2175" w:type="dxa"/>
            <w:tcMar>
              <w:top w:w="60" w:type="dxa"/>
              <w:left w:w="120" w:type="dxa"/>
              <w:bottom w:w="30" w:type="dxa"/>
              <w:right w:w="120" w:type="dxa"/>
            </w:tcMar>
          </w:tcPr>
          <w:p w14:paraId="150989DA">
            <w:pPr>
              <w:spacing w:before="120" w:after="120" w:line="288" w:lineRule="auto"/>
              <w:ind w:left="0"/>
              <w:jc w:val="left"/>
            </w:pPr>
            <w:r>
              <w:rPr>
                <w:rFonts w:ascii="Arial" w:hAnsi="Arial" w:eastAsia="等线" w:cs="Arial"/>
                <w:sz w:val="22"/>
              </w:rPr>
              <w:t>构成要件与归责</w:t>
            </w:r>
          </w:p>
        </w:tc>
        <w:tc>
          <w:tcPr>
            <w:tcW w:w="3390" w:type="dxa"/>
            <w:tcMar>
              <w:top w:w="60" w:type="dxa"/>
              <w:left w:w="120" w:type="dxa"/>
              <w:bottom w:w="30" w:type="dxa"/>
              <w:right w:w="120" w:type="dxa"/>
            </w:tcMar>
          </w:tcPr>
          <w:p w14:paraId="6426CA1A">
            <w:pPr>
              <w:spacing w:before="120" w:after="120" w:line="288" w:lineRule="auto"/>
              <w:ind w:left="0"/>
              <w:jc w:val="left"/>
            </w:pPr>
            <w:r>
              <w:rPr>
                <w:rFonts w:ascii="Arial" w:hAnsi="Arial" w:eastAsia="等线" w:cs="Arial"/>
                <w:sz w:val="22"/>
              </w:rPr>
              <w:t>召回反不正当竞争法第2条及民法典数据保护条款，解释数据权益的边界。</w:t>
            </w:r>
          </w:p>
        </w:tc>
      </w:tr>
      <w:tr w14:paraId="4A46C2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6317E87D">
            <w:pPr>
              <w:spacing w:before="120" w:after="120" w:line="288" w:lineRule="auto"/>
              <w:ind w:left="0"/>
              <w:jc w:val="left"/>
            </w:pPr>
            <w:r>
              <w:rPr>
                <w:rFonts w:ascii="Arial" w:hAnsi="Arial" w:eastAsia="等线" w:cs="Arial"/>
                <w:sz w:val="22"/>
              </w:rPr>
              <w:t>医疗机构泄露患者病历资料但未造成实际财产损失，患者主张精神损害赔偿的法律依据是什么？</w:t>
            </w:r>
          </w:p>
        </w:tc>
        <w:tc>
          <w:tcPr>
            <w:tcW w:w="2175" w:type="dxa"/>
            <w:tcMar>
              <w:top w:w="60" w:type="dxa"/>
              <w:left w:w="120" w:type="dxa"/>
              <w:bottom w:w="30" w:type="dxa"/>
              <w:right w:w="120" w:type="dxa"/>
            </w:tcMar>
          </w:tcPr>
          <w:p w14:paraId="1A05E7ED">
            <w:pPr>
              <w:spacing w:before="120" w:after="120" w:line="288" w:lineRule="auto"/>
              <w:ind w:left="0"/>
              <w:jc w:val="left"/>
            </w:pPr>
            <w:r>
              <w:rPr>
                <w:rFonts w:ascii="Arial" w:hAnsi="Arial" w:eastAsia="等线" w:cs="Arial"/>
                <w:sz w:val="22"/>
              </w:rPr>
              <w:t>构成要件与归责</w:t>
            </w:r>
          </w:p>
        </w:tc>
        <w:tc>
          <w:tcPr>
            <w:tcW w:w="3390" w:type="dxa"/>
            <w:tcMar>
              <w:top w:w="60" w:type="dxa"/>
              <w:left w:w="120" w:type="dxa"/>
              <w:bottom w:w="30" w:type="dxa"/>
              <w:right w:w="120" w:type="dxa"/>
            </w:tcMar>
          </w:tcPr>
          <w:p w14:paraId="4D025FA0">
            <w:pPr>
              <w:spacing w:before="120" w:after="120" w:line="288" w:lineRule="auto"/>
              <w:ind w:left="0"/>
              <w:jc w:val="left"/>
            </w:pPr>
            <w:r>
              <w:rPr>
                <w:rFonts w:ascii="Arial" w:hAnsi="Arial" w:eastAsia="等线" w:cs="Arial"/>
                <w:sz w:val="22"/>
              </w:rPr>
              <w:t>召回第1226条、第1183条，解释隐私权受侵害与“严重精神损害”的判定。</w:t>
            </w:r>
          </w:p>
        </w:tc>
      </w:tr>
      <w:tr w14:paraId="155A38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70053028">
            <w:pPr>
              <w:spacing w:before="120" w:after="120" w:line="288" w:lineRule="auto"/>
              <w:ind w:left="0"/>
              <w:jc w:val="left"/>
            </w:pPr>
            <w:r>
              <w:rPr>
                <w:rFonts w:ascii="Arial" w:hAnsi="Arial" w:eastAsia="等线" w:cs="Arial"/>
                <w:sz w:val="22"/>
              </w:rPr>
              <w:t>三、可解释推理：占比10%</w:t>
            </w:r>
          </w:p>
        </w:tc>
        <w:tc>
          <w:tcPr>
            <w:tcW w:w="2175" w:type="dxa"/>
            <w:tcMar>
              <w:top w:w="60" w:type="dxa"/>
              <w:left w:w="120" w:type="dxa"/>
              <w:bottom w:w="30" w:type="dxa"/>
              <w:right w:w="120" w:type="dxa"/>
            </w:tcMar>
          </w:tcPr>
          <w:p w14:paraId="79E65FAA">
            <w:pPr>
              <w:spacing w:before="120" w:after="120" w:line="288" w:lineRule="auto"/>
              <w:ind w:left="0"/>
              <w:jc w:val="left"/>
            </w:pPr>
            <w:r>
              <w:rPr>
                <w:rFonts w:ascii="Arial" w:hAnsi="Arial" w:eastAsia="等线" w:cs="Arial"/>
                <w:sz w:val="22"/>
              </w:rPr>
              <w:t xml:space="preserve"> </w:t>
            </w:r>
          </w:p>
        </w:tc>
        <w:tc>
          <w:tcPr>
            <w:tcW w:w="3390" w:type="dxa"/>
            <w:tcMar>
              <w:top w:w="60" w:type="dxa"/>
              <w:left w:w="120" w:type="dxa"/>
              <w:bottom w:w="30" w:type="dxa"/>
              <w:right w:w="120" w:type="dxa"/>
            </w:tcMar>
          </w:tcPr>
          <w:p w14:paraId="6BC42CC9">
            <w:pPr>
              <w:spacing w:before="120" w:after="120" w:line="288" w:lineRule="auto"/>
              <w:ind w:left="0"/>
              <w:jc w:val="left"/>
            </w:pPr>
            <w:r>
              <w:rPr>
                <w:rFonts w:ascii="Arial" w:hAnsi="Arial" w:eastAsia="等线" w:cs="Arial"/>
                <w:sz w:val="22"/>
              </w:rPr>
              <w:t xml:space="preserve"> </w:t>
            </w:r>
          </w:p>
        </w:tc>
      </w:tr>
      <w:tr w14:paraId="158986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0103C6EA">
            <w:pPr>
              <w:spacing w:before="120" w:after="120" w:line="288" w:lineRule="auto"/>
              <w:ind w:left="0"/>
              <w:jc w:val="left"/>
            </w:pPr>
            <w:r>
              <w:rPr>
                <w:rFonts w:ascii="Arial" w:hAnsi="Arial" w:eastAsia="等线" w:cs="Arial"/>
                <w:sz w:val="22"/>
              </w:rPr>
              <w:t>房屋买卖合同被确认无效后，买受人的占有使用费与出卖人的资金占用费在相互返还时如何适用法律？</w:t>
            </w:r>
          </w:p>
        </w:tc>
        <w:tc>
          <w:tcPr>
            <w:tcW w:w="2175" w:type="dxa"/>
            <w:tcMar>
              <w:top w:w="60" w:type="dxa"/>
              <w:left w:w="120" w:type="dxa"/>
              <w:bottom w:w="30" w:type="dxa"/>
              <w:right w:w="120" w:type="dxa"/>
            </w:tcMar>
          </w:tcPr>
          <w:p w14:paraId="58630106">
            <w:pPr>
              <w:spacing w:before="120" w:after="120" w:line="288" w:lineRule="auto"/>
              <w:ind w:left="0"/>
              <w:jc w:val="left"/>
            </w:pPr>
            <w:r>
              <w:rPr>
                <w:rFonts w:ascii="Arial" w:hAnsi="Arial" w:eastAsia="等线" w:cs="Arial"/>
                <w:sz w:val="22"/>
              </w:rPr>
              <w:t>规则冲突与适用</w:t>
            </w:r>
          </w:p>
        </w:tc>
        <w:tc>
          <w:tcPr>
            <w:tcW w:w="3390" w:type="dxa"/>
            <w:tcMar>
              <w:top w:w="60" w:type="dxa"/>
              <w:left w:w="120" w:type="dxa"/>
              <w:bottom w:w="30" w:type="dxa"/>
              <w:right w:w="120" w:type="dxa"/>
            </w:tcMar>
          </w:tcPr>
          <w:p w14:paraId="3AD417D7">
            <w:pPr>
              <w:spacing w:before="120" w:after="120" w:line="288" w:lineRule="auto"/>
              <w:ind w:left="0"/>
              <w:jc w:val="left"/>
            </w:pPr>
            <w:r>
              <w:rPr>
                <w:rFonts w:ascii="Arial" w:hAnsi="Arial" w:eastAsia="等线" w:cs="Arial"/>
                <w:sz w:val="22"/>
              </w:rPr>
              <w:t>召回第157条。Agent 需解释无效合同的“恢复原状”与“过错相抵”的实务抵扣逻辑。</w:t>
            </w:r>
          </w:p>
        </w:tc>
      </w:tr>
      <w:tr w14:paraId="6B35FD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4E42690F">
            <w:pPr>
              <w:spacing w:before="120" w:after="120" w:line="288" w:lineRule="auto"/>
              <w:ind w:left="0"/>
              <w:jc w:val="left"/>
            </w:pPr>
            <w:r>
              <w:rPr>
                <w:rFonts w:ascii="Arial" w:hAnsi="Arial" w:eastAsia="等线" w:cs="Arial"/>
                <w:sz w:val="22"/>
              </w:rPr>
              <w:t>债务人以不合理低价转让财产给近亲属，债权人行使撤销权时的举证责任和主观恶意如何认定？</w:t>
            </w:r>
          </w:p>
        </w:tc>
        <w:tc>
          <w:tcPr>
            <w:tcW w:w="2175" w:type="dxa"/>
            <w:tcMar>
              <w:top w:w="60" w:type="dxa"/>
              <w:left w:w="120" w:type="dxa"/>
              <w:bottom w:w="30" w:type="dxa"/>
              <w:right w:w="120" w:type="dxa"/>
            </w:tcMar>
          </w:tcPr>
          <w:p w14:paraId="558C2757">
            <w:pPr>
              <w:spacing w:before="120" w:after="120" w:line="288" w:lineRule="auto"/>
              <w:ind w:left="0"/>
              <w:jc w:val="left"/>
            </w:pPr>
            <w:r>
              <w:rPr>
                <w:rFonts w:ascii="Arial" w:hAnsi="Arial" w:eastAsia="等线" w:cs="Arial"/>
                <w:sz w:val="22"/>
              </w:rPr>
              <w:t>构成要件与归责</w:t>
            </w:r>
          </w:p>
        </w:tc>
        <w:tc>
          <w:tcPr>
            <w:tcW w:w="3390" w:type="dxa"/>
            <w:tcMar>
              <w:top w:w="60" w:type="dxa"/>
              <w:left w:w="120" w:type="dxa"/>
              <w:bottom w:w="30" w:type="dxa"/>
              <w:right w:w="120" w:type="dxa"/>
            </w:tcMar>
          </w:tcPr>
          <w:p w14:paraId="31095387">
            <w:pPr>
              <w:spacing w:before="120" w:after="120" w:line="288" w:lineRule="auto"/>
              <w:ind w:left="0"/>
              <w:jc w:val="left"/>
            </w:pPr>
            <w:r>
              <w:rPr>
                <w:rFonts w:ascii="Arial" w:hAnsi="Arial" w:eastAsia="等线" w:cs="Arial"/>
                <w:sz w:val="22"/>
              </w:rPr>
              <w:t>召回第538条、第539条。需联动解释受让人“知道或者应当知道”的推定逻辑。</w:t>
            </w:r>
          </w:p>
        </w:tc>
      </w:tr>
      <w:tr w14:paraId="1E52FF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103C7466">
            <w:pPr>
              <w:spacing w:before="120" w:after="120" w:line="288" w:lineRule="auto"/>
              <w:ind w:left="0"/>
              <w:jc w:val="left"/>
            </w:pPr>
            <w:r>
              <w:rPr>
                <w:rFonts w:ascii="Arial" w:hAnsi="Arial" w:eastAsia="等线" w:cs="Arial"/>
                <w:sz w:val="22"/>
              </w:rPr>
              <w:t>四、对抗样本：占比5%</w:t>
            </w:r>
          </w:p>
        </w:tc>
        <w:tc>
          <w:tcPr>
            <w:tcW w:w="2175" w:type="dxa"/>
            <w:tcMar>
              <w:top w:w="60" w:type="dxa"/>
              <w:left w:w="120" w:type="dxa"/>
              <w:bottom w:w="30" w:type="dxa"/>
              <w:right w:w="120" w:type="dxa"/>
            </w:tcMar>
          </w:tcPr>
          <w:p w14:paraId="4F1B7EAA">
            <w:pPr>
              <w:spacing w:before="120" w:after="120" w:line="288" w:lineRule="auto"/>
              <w:ind w:left="0"/>
              <w:jc w:val="left"/>
            </w:pPr>
            <w:r>
              <w:rPr>
                <w:rFonts w:ascii="Arial" w:hAnsi="Arial" w:eastAsia="等线" w:cs="Arial"/>
                <w:sz w:val="22"/>
              </w:rPr>
              <w:t xml:space="preserve"> </w:t>
            </w:r>
          </w:p>
        </w:tc>
        <w:tc>
          <w:tcPr>
            <w:tcW w:w="3390" w:type="dxa"/>
            <w:tcMar>
              <w:top w:w="60" w:type="dxa"/>
              <w:left w:w="120" w:type="dxa"/>
              <w:bottom w:w="30" w:type="dxa"/>
              <w:right w:w="120" w:type="dxa"/>
            </w:tcMar>
          </w:tcPr>
          <w:p w14:paraId="6A38F04F">
            <w:pPr>
              <w:spacing w:before="120" w:after="120" w:line="288" w:lineRule="auto"/>
              <w:ind w:left="0"/>
              <w:jc w:val="left"/>
            </w:pPr>
            <w:r>
              <w:rPr>
                <w:rFonts w:ascii="Arial" w:hAnsi="Arial" w:eastAsia="等线" w:cs="Arial"/>
                <w:sz w:val="22"/>
              </w:rPr>
              <w:t xml:space="preserve"> </w:t>
            </w:r>
          </w:p>
        </w:tc>
      </w:tr>
      <w:tr w14:paraId="1714B1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15" w:type="dxa"/>
            <w:tcMar>
              <w:top w:w="60" w:type="dxa"/>
              <w:left w:w="120" w:type="dxa"/>
              <w:bottom w:w="30" w:type="dxa"/>
              <w:right w:w="120" w:type="dxa"/>
            </w:tcMar>
          </w:tcPr>
          <w:p w14:paraId="2EAB4DFD">
            <w:pPr>
              <w:spacing w:before="120" w:after="120" w:line="288" w:lineRule="auto"/>
              <w:ind w:left="0"/>
              <w:jc w:val="left"/>
            </w:pPr>
            <w:r>
              <w:rPr>
                <w:rFonts w:ascii="Arial" w:hAnsi="Arial" w:eastAsia="等线" w:cs="Arial"/>
                <w:sz w:val="22"/>
              </w:rPr>
              <w:t>民法典中关于“分居满两年自动离婚”的具体条款规定在第几条？</w:t>
            </w:r>
          </w:p>
        </w:tc>
        <w:tc>
          <w:tcPr>
            <w:tcW w:w="2175" w:type="dxa"/>
            <w:tcMar>
              <w:top w:w="60" w:type="dxa"/>
              <w:left w:w="120" w:type="dxa"/>
              <w:bottom w:w="30" w:type="dxa"/>
              <w:right w:w="120" w:type="dxa"/>
            </w:tcMar>
          </w:tcPr>
          <w:p w14:paraId="7A6B6D97">
            <w:pPr>
              <w:spacing w:before="120" w:after="120" w:line="288" w:lineRule="auto"/>
              <w:ind w:left="0"/>
              <w:jc w:val="left"/>
            </w:pPr>
            <w:r>
              <w:rPr>
                <w:rFonts w:ascii="Arial" w:hAnsi="Arial" w:eastAsia="等线" w:cs="Arial"/>
                <w:sz w:val="22"/>
              </w:rPr>
              <w:t>法条精准检索</w:t>
            </w:r>
          </w:p>
        </w:tc>
        <w:tc>
          <w:tcPr>
            <w:tcW w:w="3390" w:type="dxa"/>
            <w:tcMar>
              <w:top w:w="60" w:type="dxa"/>
              <w:left w:w="120" w:type="dxa"/>
              <w:bottom w:w="30" w:type="dxa"/>
              <w:right w:w="120" w:type="dxa"/>
            </w:tcMar>
          </w:tcPr>
          <w:p w14:paraId="76F765E4">
            <w:pPr>
              <w:spacing w:before="120" w:after="120" w:line="288" w:lineRule="auto"/>
              <w:ind w:left="0"/>
              <w:jc w:val="left"/>
            </w:pPr>
            <w:r>
              <w:rPr>
                <w:rFonts w:ascii="Arial" w:hAnsi="Arial" w:eastAsia="等线" w:cs="Arial"/>
                <w:b/>
                <w:sz w:val="22"/>
              </w:rPr>
              <w:t>防坑测试</w:t>
            </w:r>
            <w:r>
              <w:rPr>
                <w:rFonts w:ascii="Arial" w:hAnsi="Arial" w:eastAsia="等线" w:cs="Arial"/>
                <w:sz w:val="22"/>
              </w:rPr>
              <w:t>。Agent 需指出不存在“自动离婚”条款，并召回第1079条解释诉讼离婚中分居满两年的法定适用条件。</w:t>
            </w:r>
          </w:p>
        </w:tc>
      </w:tr>
    </w:tbl>
    <w:p w14:paraId="72EFB070">
      <w:pPr>
        <w:spacing w:before="120" w:after="120" w:line="288" w:lineRule="auto"/>
        <w:ind w:left="0"/>
        <w:jc w:val="left"/>
      </w:pPr>
      <w:r>
        <w:rPr>
          <w:rFonts w:ascii="Arial" w:hAnsi="Arial" w:eastAsia="等线" w:cs="Arial"/>
          <w:sz w:val="22"/>
        </w:rPr>
        <w:t xml:space="preserve"> </w:t>
      </w:r>
    </w:p>
    <w:p w14:paraId="77067C23">
      <w:pPr>
        <w:numPr>
          <w:ilvl w:val="0"/>
          <w:numId w:val="22"/>
        </w:numPr>
        <w:spacing w:before="120" w:after="120" w:line="288" w:lineRule="auto"/>
        <w:ind w:left="0"/>
        <w:jc w:val="left"/>
      </w:pPr>
      <w:r>
        <w:rPr>
          <w:rFonts w:ascii="Arial" w:hAnsi="Arial" w:eastAsia="等线" w:cs="Arial"/>
          <w:sz w:val="22"/>
        </w:rPr>
        <w:t>策略调优</w:t>
      </w:r>
    </w:p>
    <w:p w14:paraId="78F2CA60">
      <w:pPr>
        <w:spacing w:before="120" w:after="120" w:line="288" w:lineRule="auto"/>
        <w:ind w:left="0" w:firstLine="420"/>
        <w:jc w:val="left"/>
      </w:pPr>
      <w:r>
        <w:rPr>
          <w:rFonts w:ascii="Arial" w:hAnsi="Arial" w:eastAsia="等线" w:cs="Arial"/>
          <w:sz w:val="22"/>
        </w:rPr>
        <w:t>关于策略调优，使用控制变量法探索最适合法律条文问答助手的模型策略。默认的召回策略如下：</w:t>
      </w:r>
    </w:p>
    <w:p w14:paraId="73B72B06">
      <w:pPr>
        <w:spacing w:before="120" w:after="120" w:line="288" w:lineRule="auto"/>
        <w:ind w:left="0" w:firstLine="420"/>
        <w:jc w:val="left"/>
      </w:pPr>
      <w:r>
        <w:rPr>
          <w:rFonts w:ascii="Arial" w:hAnsi="Arial" w:eastAsia="等线" w:cs="Arial"/>
          <w:sz w:val="22"/>
        </w:rPr>
        <w:t>切片方式：长度（500）</w:t>
      </w:r>
    </w:p>
    <w:p w14:paraId="31F3BD85">
      <w:pPr>
        <w:spacing w:before="120" w:after="120" w:line="288" w:lineRule="auto"/>
        <w:ind w:left="0" w:firstLine="420"/>
        <w:jc w:val="left"/>
      </w:pPr>
      <w:r>
        <w:rPr>
          <w:rFonts w:ascii="Arial" w:hAnsi="Arial" w:eastAsia="等线" w:cs="Arial"/>
          <w:sz w:val="22"/>
        </w:rPr>
        <w:t>Embedding模型：Doubao-embedding+关键词模型（非large）</w:t>
      </w:r>
    </w:p>
    <w:p w14:paraId="401CF99F">
      <w:pPr>
        <w:spacing w:before="120" w:after="120" w:line="288" w:lineRule="auto"/>
        <w:ind w:left="0" w:firstLine="420"/>
        <w:jc w:val="left"/>
      </w:pPr>
      <w:r>
        <w:rPr>
          <w:rFonts w:ascii="Arial" w:hAnsi="Arial" w:eastAsia="等线" w:cs="Arial"/>
          <w:sz w:val="22"/>
        </w:rPr>
        <w:t>召回数量：10</w:t>
      </w:r>
    </w:p>
    <w:p w14:paraId="20ED6D34">
      <w:pPr>
        <w:spacing w:before="120" w:after="120" w:line="288" w:lineRule="auto"/>
        <w:ind w:left="0" w:firstLine="420"/>
        <w:jc w:val="left"/>
      </w:pPr>
      <w:r>
        <w:rPr>
          <w:rFonts w:ascii="Arial" w:hAnsi="Arial" w:eastAsia="等线" w:cs="Arial"/>
          <w:sz w:val="22"/>
        </w:rPr>
        <w:t>召回检索阈值：0.1</w:t>
      </w:r>
    </w:p>
    <w:p w14:paraId="02F448E3">
      <w:pPr>
        <w:spacing w:before="120" w:after="120" w:line="288" w:lineRule="auto"/>
        <w:ind w:left="0" w:firstLine="420"/>
        <w:jc w:val="left"/>
      </w:pPr>
      <w:r>
        <w:rPr>
          <w:rFonts w:ascii="Arial" w:hAnsi="Arial" w:eastAsia="等线" w:cs="Arial"/>
          <w:sz w:val="22"/>
        </w:rPr>
        <w:t>对于生成模型，我们的找回策略使用默认策略，分别尝试使用DeepSeek V3.1、Doubao-32K、Doubao-1.5-pro-32K生成答案进行比较，打分方式采用Mos打分法（0-2），从准确度、易懂性、完整性、安全性四个维度评分。</w:t>
      </w:r>
    </w:p>
    <w:p w14:paraId="7B860ABB">
      <w:pPr>
        <w:spacing w:before="120" w:after="120" w:line="288" w:lineRule="auto"/>
        <w:ind w:left="0" w:firstLine="420"/>
        <w:jc w:val="left"/>
      </w:pPr>
      <w:r>
        <w:rPr>
          <w:rFonts w:ascii="Arial" w:hAnsi="Arial" w:eastAsia="等线" w:cs="Arial"/>
          <w:sz w:val="22"/>
        </w:rPr>
        <w:t>策略调优的结果详表《策略调优》</w:t>
      </w:r>
    </w:p>
    <w:p w14:paraId="7E91F2BE">
      <w:pPr>
        <w:spacing w:before="120" w:after="120" w:line="288" w:lineRule="auto"/>
        <w:ind w:left="0"/>
        <w:jc w:val="left"/>
      </w:pPr>
      <w:r>
        <w:rPr>
          <w:rFonts w:ascii="Arial" w:hAnsi="Arial" w:eastAsia="等线" w:cs="Arial"/>
          <w:b/>
          <w:color w:val="646A73"/>
          <w:sz w:val="22"/>
        </w:rPr>
        <w:t>[策略调优.xlsx]</w:t>
      </w:r>
    </w:p>
    <w:p w14:paraId="4725B517">
      <w:pPr>
        <w:spacing w:before="120" w:after="120" w:line="288" w:lineRule="auto"/>
        <w:ind w:left="0"/>
        <w:jc w:val="left"/>
      </w:pPr>
    </w:p>
    <w:p w14:paraId="03A0D31C">
      <w:pPr>
        <w:numPr>
          <w:ilvl w:val="0"/>
          <w:numId w:val="23"/>
        </w:numPr>
        <w:spacing w:before="120" w:after="120" w:line="288" w:lineRule="auto"/>
        <w:ind w:left="0"/>
        <w:jc w:val="left"/>
      </w:pPr>
      <w:r>
        <w:rPr>
          <w:rFonts w:ascii="Arial" w:hAnsi="Arial" w:eastAsia="等线" w:cs="Arial"/>
          <w:sz w:val="22"/>
        </w:rPr>
        <w:t>Bad case及归因</w:t>
      </w:r>
    </w:p>
    <w:p w14:paraId="0CAF6278">
      <w:pPr>
        <w:spacing w:before="120" w:after="120" w:line="288" w:lineRule="auto"/>
        <w:ind w:left="0" w:firstLine="420"/>
        <w:jc w:val="left"/>
      </w:pPr>
      <w:r>
        <w:rPr>
          <w:rFonts w:ascii="Arial" w:hAnsi="Arial" w:eastAsia="等线" w:cs="Arial"/>
          <w:sz w:val="22"/>
        </w:rPr>
        <w:t>对于模型输出的Bad case 我们通过分类的方式收集，并从模型策略调优的角度探求其可能的原因，通过调整参数重新输出的方式加以验证。</w:t>
      </w:r>
    </w:p>
    <w:p w14:paraId="66329796">
      <w:pPr>
        <w:numPr>
          <w:ilvl w:val="0"/>
          <w:numId w:val="24"/>
        </w:numPr>
        <w:spacing w:before="120" w:after="120" w:line="288" w:lineRule="auto"/>
        <w:ind w:left="453"/>
        <w:jc w:val="left"/>
      </w:pPr>
      <w:r>
        <w:rPr>
          <w:rFonts w:ascii="Arial" w:hAnsi="Arial" w:eastAsia="等线" w:cs="Arial"/>
          <w:sz w:val="22"/>
        </w:rPr>
        <w:t>召回方面：</w:t>
      </w:r>
    </w:p>
    <w:p w14:paraId="10ECAF88">
      <w:pPr>
        <w:spacing w:before="120" w:after="120" w:line="288" w:lineRule="auto"/>
        <w:ind w:left="453" w:firstLine="420"/>
        <w:jc w:val="left"/>
      </w:pPr>
      <w:r>
        <w:rPr>
          <w:rFonts w:ascii="Arial" w:hAnsi="Arial" w:eastAsia="等线" w:cs="Arial"/>
          <w:sz w:val="22"/>
        </w:rPr>
        <w:t>BC1：在不同召回策略下精确率和召回率都比较低。</w:t>
      </w:r>
    </w:p>
    <w:p w14:paraId="1A57A432">
      <w:pPr>
        <w:spacing w:before="120" w:after="120" w:line="288" w:lineRule="auto"/>
        <w:ind w:left="907" w:firstLine="0"/>
        <w:jc w:val="left"/>
      </w:pPr>
      <w:r>
        <w:rPr>
          <w:rFonts w:ascii="Arial" w:hAnsi="Arial" w:eastAsia="等线" w:cs="Arial"/>
          <w:sz w:val="22"/>
        </w:rPr>
        <w:t>原因：由于用户使用输入的Query对于定位相关度最高的核心相关法条能力较好，但寻找弱相关法条的能力较弱，所以在返还chunk结果的过程中抓不住重点。</w:t>
      </w:r>
    </w:p>
    <w:p w14:paraId="37E595F0">
      <w:pPr>
        <w:spacing w:before="120" w:after="120" w:line="288" w:lineRule="auto"/>
        <w:ind w:left="907" w:firstLine="0"/>
        <w:jc w:val="left"/>
      </w:pPr>
      <w:r>
        <w:rPr>
          <w:rFonts w:ascii="Arial" w:hAnsi="Arial" w:eastAsia="等线" w:cs="Arial"/>
          <w:sz w:val="22"/>
        </w:rPr>
        <w:t>解决方案：对于此类问题，应加入Query重写模型，使得检索模型能够更容易的理解query所相关的法条。</w:t>
      </w:r>
    </w:p>
    <w:p w14:paraId="159F85E3">
      <w:pPr>
        <w:spacing w:before="120" w:after="120" w:line="288" w:lineRule="auto"/>
        <w:ind w:left="907"/>
        <w:jc w:val="left"/>
      </w:pPr>
      <w:r>
        <w:rPr>
          <w:rFonts w:ascii="Arial" w:hAnsi="Arial" w:eastAsia="等线" w:cs="Arial"/>
          <w:sz w:val="22"/>
        </w:rPr>
        <w:t>BC2：精确率低，其他表现合格</w:t>
      </w:r>
    </w:p>
    <w:p w14:paraId="0C763999">
      <w:pPr>
        <w:spacing w:before="120" w:after="120" w:line="288" w:lineRule="auto"/>
        <w:ind w:left="907"/>
        <w:jc w:val="left"/>
      </w:pPr>
      <w:r>
        <w:rPr>
          <w:rFonts w:ascii="Arial" w:hAnsi="Arial" w:eastAsia="等线" w:cs="Arial"/>
          <w:sz w:val="22"/>
        </w:rPr>
        <w:t>原因：相关法条的数量并不多，召回10条和7条在很多情况下并不能很好的命中应该返回的chunk，并返回大料召回分数较低的chunk。</w:t>
      </w:r>
    </w:p>
    <w:p w14:paraId="37BD4260">
      <w:pPr>
        <w:spacing w:before="120" w:after="120" w:line="288" w:lineRule="auto"/>
        <w:ind w:left="907"/>
        <w:jc w:val="left"/>
      </w:pPr>
      <w:r>
        <w:rPr>
          <w:rFonts w:ascii="Arial" w:hAnsi="Arial" w:eastAsia="等线" w:cs="Arial"/>
          <w:sz w:val="22"/>
        </w:rPr>
        <w:t>解决方案：调整召回数量到召回四条，或者提高召回阈值，提高命中率。</w:t>
      </w:r>
    </w:p>
    <w:p w14:paraId="4BD44104">
      <w:pPr>
        <w:spacing w:before="120" w:after="120" w:line="288" w:lineRule="auto"/>
        <w:ind w:left="907"/>
        <w:jc w:val="left"/>
      </w:pPr>
      <w:r>
        <w:rPr>
          <w:rFonts w:ascii="Arial" w:hAnsi="Arial" w:eastAsia="等线" w:cs="Arial"/>
          <w:sz w:val="22"/>
        </w:rPr>
        <w:t>BC3：无结果返回</w:t>
      </w:r>
    </w:p>
    <w:p w14:paraId="4D4D4B96">
      <w:pPr>
        <w:spacing w:before="120" w:after="120" w:line="288" w:lineRule="auto"/>
        <w:ind w:left="907"/>
        <w:jc w:val="left"/>
      </w:pPr>
      <w:r>
        <w:rPr>
          <w:rFonts w:ascii="Arial" w:hAnsi="Arial" w:eastAsia="等线" w:cs="Arial"/>
          <w:sz w:val="22"/>
        </w:rPr>
        <w:t>原因：1.模型没能理解用户query所需要的法条内容，检索不到；2.chunk切分时将同一条法条切分至不同的chunk，导致检索困难。3.ORC过程出现问题，没能完美还原《民法典》内容。</w:t>
      </w:r>
    </w:p>
    <w:p w14:paraId="7E44915A">
      <w:pPr>
        <w:spacing w:before="120" w:after="120" w:line="288" w:lineRule="auto"/>
        <w:ind w:left="907"/>
        <w:jc w:val="left"/>
      </w:pPr>
      <w:r>
        <w:rPr>
          <w:rFonts w:ascii="Arial" w:hAnsi="Arial" w:eastAsia="等线" w:cs="Arial"/>
          <w:sz w:val="22"/>
        </w:rPr>
        <w:t>解决方案:适1.加入Query重写模型，增强模型理解。2.查找未能检索到的片段所在的chunk，排查是否是切分导致的问题，如果是应该调整切分策略。3.使用更高效能的ORC模型。</w:t>
      </w:r>
    </w:p>
    <w:p w14:paraId="103D3D30">
      <w:pPr>
        <w:spacing w:before="120" w:after="120" w:line="288" w:lineRule="auto"/>
        <w:ind w:left="907"/>
        <w:jc w:val="left"/>
      </w:pPr>
      <w:r>
        <w:rPr>
          <w:rFonts w:ascii="Arial" w:hAnsi="Arial" w:eastAsia="等线" w:cs="Arial"/>
          <w:sz w:val="22"/>
        </w:rPr>
        <w:t xml:space="preserve">召回过程中产生的Bad case详见表《召回过程Badcase》(红色标注) </w:t>
      </w:r>
    </w:p>
    <w:p w14:paraId="5DD72987">
      <w:pPr>
        <w:spacing w:before="120" w:after="120" w:line="288" w:lineRule="auto"/>
        <w:ind w:left="0"/>
        <w:jc w:val="left"/>
      </w:pPr>
      <w:r>
        <w:rPr>
          <w:rFonts w:ascii="Arial" w:hAnsi="Arial" w:eastAsia="等线" w:cs="Arial"/>
          <w:b/>
          <w:color w:val="646A73"/>
          <w:sz w:val="22"/>
        </w:rPr>
        <w:t>[召回Badcase归因总结.xlsx]</w:t>
      </w:r>
    </w:p>
    <w:p w14:paraId="6EA0E567">
      <w:pPr>
        <w:spacing w:before="120" w:after="120" w:line="288" w:lineRule="auto"/>
        <w:ind w:left="907"/>
        <w:jc w:val="left"/>
      </w:pPr>
    </w:p>
    <w:p w14:paraId="56BEA218">
      <w:pPr>
        <w:numPr>
          <w:ilvl w:val="0"/>
          <w:numId w:val="25"/>
        </w:numPr>
        <w:spacing w:before="120" w:after="120" w:line="288" w:lineRule="auto"/>
        <w:ind w:left="453"/>
        <w:jc w:val="left"/>
      </w:pPr>
      <w:r>
        <w:rPr>
          <w:rFonts w:ascii="Arial" w:hAnsi="Arial" w:eastAsia="等线" w:cs="Arial"/>
          <w:sz w:val="22"/>
        </w:rPr>
        <w:t>问答结果方面</w:t>
      </w:r>
    </w:p>
    <w:p w14:paraId="0D3CBFBC">
      <w:pPr>
        <w:spacing w:before="120" w:after="120" w:line="288" w:lineRule="auto"/>
        <w:ind w:left="907" w:firstLine="420"/>
        <w:jc w:val="left"/>
      </w:pPr>
      <w:r>
        <w:rPr>
          <w:rFonts w:ascii="Arial" w:hAnsi="Arial" w:eastAsia="等线" w:cs="Arial"/>
          <w:sz w:val="22"/>
        </w:rPr>
        <w:t>DeepSeek V3.1、豆包-Lite-32K、豆包-1.5-pro-32K的平均Mos评分分别为1.35、1.64、1.67。</w:t>
      </w:r>
    </w:p>
    <w:p w14:paraId="3AF289FD">
      <w:pPr>
        <w:spacing w:before="120" w:after="120" w:line="288" w:lineRule="auto"/>
        <w:ind w:left="907"/>
        <w:jc w:val="left"/>
      </w:pPr>
      <w:r>
        <w:rPr>
          <w:rFonts w:ascii="Arial" w:hAnsi="Arial" w:eastAsia="等线" w:cs="Arial"/>
          <w:sz w:val="22"/>
        </w:rPr>
        <w:t xml:space="preserve"> </w:t>
      </w:r>
    </w:p>
    <w:tbl>
      <w:tblPr>
        <w:tblStyle w:val="2"/>
        <w:tblW w:w="0" w:type="auto"/>
        <w:tblInd w:w="907"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1500"/>
        <w:gridCol w:w="1500"/>
        <w:gridCol w:w="1500"/>
      </w:tblGrid>
      <w:tr w14:paraId="02394F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6B60F857">
            <w:pPr>
              <w:spacing w:before="120" w:after="120" w:line="288" w:lineRule="auto"/>
              <w:ind w:left="0"/>
              <w:jc w:val="left"/>
            </w:pPr>
            <w:r>
              <w:rPr>
                <w:rFonts w:ascii="Arial" w:hAnsi="Arial" w:eastAsia="等线" w:cs="Arial"/>
                <w:sz w:val="22"/>
              </w:rPr>
              <w:t>BC类型/模型名称</w:t>
            </w:r>
          </w:p>
        </w:tc>
        <w:tc>
          <w:tcPr>
            <w:tcW w:w="1500" w:type="dxa"/>
            <w:tcMar>
              <w:top w:w="60" w:type="dxa"/>
              <w:left w:w="120" w:type="dxa"/>
              <w:bottom w:w="30" w:type="dxa"/>
              <w:right w:w="120" w:type="dxa"/>
            </w:tcMar>
          </w:tcPr>
          <w:p w14:paraId="1516AA2D">
            <w:pPr>
              <w:spacing w:before="120" w:after="120" w:line="288" w:lineRule="auto"/>
              <w:ind w:left="0"/>
              <w:jc w:val="left"/>
            </w:pPr>
            <w:r>
              <w:rPr>
                <w:rFonts w:ascii="Arial" w:hAnsi="Arial" w:eastAsia="等线" w:cs="Arial"/>
                <w:sz w:val="22"/>
              </w:rPr>
              <w:t>DeepSeek V3.1</w:t>
            </w:r>
          </w:p>
        </w:tc>
        <w:tc>
          <w:tcPr>
            <w:tcW w:w="1500" w:type="dxa"/>
            <w:tcMar>
              <w:top w:w="60" w:type="dxa"/>
              <w:left w:w="120" w:type="dxa"/>
              <w:bottom w:w="30" w:type="dxa"/>
              <w:right w:w="120" w:type="dxa"/>
            </w:tcMar>
          </w:tcPr>
          <w:p w14:paraId="79C86F71">
            <w:pPr>
              <w:spacing w:before="120" w:after="120" w:line="288" w:lineRule="auto"/>
              <w:ind w:left="0"/>
              <w:jc w:val="left"/>
            </w:pPr>
            <w:r>
              <w:rPr>
                <w:rFonts w:ascii="Arial" w:hAnsi="Arial" w:eastAsia="等线" w:cs="Arial"/>
                <w:sz w:val="22"/>
              </w:rPr>
              <w:t>豆包-Lite-32K</w:t>
            </w:r>
          </w:p>
        </w:tc>
        <w:tc>
          <w:tcPr>
            <w:tcW w:w="1500" w:type="dxa"/>
            <w:tcMar>
              <w:top w:w="60" w:type="dxa"/>
              <w:left w:w="120" w:type="dxa"/>
              <w:bottom w:w="30" w:type="dxa"/>
              <w:right w:w="120" w:type="dxa"/>
            </w:tcMar>
          </w:tcPr>
          <w:p w14:paraId="556F1BE0">
            <w:pPr>
              <w:spacing w:before="120" w:after="120" w:line="288" w:lineRule="auto"/>
              <w:ind w:left="0"/>
              <w:jc w:val="left"/>
            </w:pPr>
            <w:r>
              <w:rPr>
                <w:rFonts w:ascii="Arial" w:hAnsi="Arial" w:eastAsia="等线" w:cs="Arial"/>
                <w:sz w:val="22"/>
              </w:rPr>
              <w:t>豆包-1.5-pro-32K</w:t>
            </w:r>
          </w:p>
        </w:tc>
      </w:tr>
      <w:tr w14:paraId="245263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572D3FA9">
            <w:pPr>
              <w:spacing w:before="120" w:after="120" w:line="288" w:lineRule="auto"/>
              <w:ind w:left="0"/>
              <w:jc w:val="left"/>
            </w:pPr>
            <w:r>
              <w:rPr>
                <w:rFonts w:ascii="Arial" w:hAnsi="Arial" w:eastAsia="等线" w:cs="Arial"/>
                <w:sz w:val="22"/>
              </w:rPr>
              <w:t>拒绝回答</w:t>
            </w:r>
          </w:p>
        </w:tc>
        <w:tc>
          <w:tcPr>
            <w:tcW w:w="1500" w:type="dxa"/>
            <w:tcMar>
              <w:top w:w="60" w:type="dxa"/>
              <w:left w:w="120" w:type="dxa"/>
              <w:bottom w:w="30" w:type="dxa"/>
              <w:right w:w="120" w:type="dxa"/>
            </w:tcMar>
          </w:tcPr>
          <w:p w14:paraId="342AD5FA">
            <w:pPr>
              <w:spacing w:before="120" w:after="120" w:line="288" w:lineRule="auto"/>
              <w:ind w:left="0"/>
              <w:jc w:val="left"/>
            </w:pPr>
            <w:r>
              <w:rPr>
                <w:rFonts w:ascii="Arial" w:hAnsi="Arial" w:eastAsia="等线" w:cs="Arial"/>
                <w:sz w:val="22"/>
              </w:rPr>
              <w:t>6</w:t>
            </w:r>
          </w:p>
        </w:tc>
        <w:tc>
          <w:tcPr>
            <w:tcW w:w="1500" w:type="dxa"/>
            <w:tcMar>
              <w:top w:w="60" w:type="dxa"/>
              <w:left w:w="120" w:type="dxa"/>
              <w:bottom w:w="30" w:type="dxa"/>
              <w:right w:w="120" w:type="dxa"/>
            </w:tcMar>
          </w:tcPr>
          <w:p w14:paraId="0A7C08B1">
            <w:pPr>
              <w:spacing w:before="120" w:after="120" w:line="288" w:lineRule="auto"/>
              <w:ind w:left="0"/>
              <w:jc w:val="left"/>
            </w:pPr>
            <w:r>
              <w:rPr>
                <w:rFonts w:ascii="Arial" w:hAnsi="Arial" w:eastAsia="等线" w:cs="Arial"/>
                <w:sz w:val="22"/>
              </w:rPr>
              <w:t>0</w:t>
            </w:r>
          </w:p>
        </w:tc>
        <w:tc>
          <w:tcPr>
            <w:tcW w:w="1500" w:type="dxa"/>
            <w:tcMar>
              <w:top w:w="60" w:type="dxa"/>
              <w:left w:w="120" w:type="dxa"/>
              <w:bottom w:w="30" w:type="dxa"/>
              <w:right w:w="120" w:type="dxa"/>
            </w:tcMar>
          </w:tcPr>
          <w:p w14:paraId="30C51718">
            <w:pPr>
              <w:spacing w:before="120" w:after="120" w:line="288" w:lineRule="auto"/>
              <w:ind w:left="0"/>
              <w:jc w:val="left"/>
            </w:pPr>
            <w:r>
              <w:rPr>
                <w:rFonts w:ascii="Arial" w:hAnsi="Arial" w:eastAsia="等线" w:cs="Arial"/>
                <w:sz w:val="22"/>
              </w:rPr>
              <w:t>1</w:t>
            </w:r>
          </w:p>
        </w:tc>
      </w:tr>
      <w:tr w14:paraId="2008A6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0E40C7BF">
            <w:pPr>
              <w:spacing w:before="120" w:after="120" w:line="288" w:lineRule="auto"/>
              <w:ind w:left="0"/>
              <w:jc w:val="left"/>
            </w:pPr>
            <w:r>
              <w:rPr>
                <w:rFonts w:ascii="Arial" w:hAnsi="Arial" w:eastAsia="等线" w:cs="Arial"/>
                <w:sz w:val="22"/>
              </w:rPr>
              <w:t>低分回答（&lt;=1.6）</w:t>
            </w:r>
          </w:p>
        </w:tc>
        <w:tc>
          <w:tcPr>
            <w:tcW w:w="1500" w:type="dxa"/>
            <w:tcMar>
              <w:top w:w="60" w:type="dxa"/>
              <w:left w:w="120" w:type="dxa"/>
              <w:bottom w:w="30" w:type="dxa"/>
              <w:right w:w="120" w:type="dxa"/>
            </w:tcMar>
          </w:tcPr>
          <w:p w14:paraId="41D7AFDF">
            <w:pPr>
              <w:spacing w:before="120" w:after="120" w:line="288" w:lineRule="auto"/>
              <w:ind w:left="0"/>
              <w:jc w:val="left"/>
            </w:pPr>
            <w:r>
              <w:rPr>
                <w:rFonts w:ascii="Arial" w:hAnsi="Arial" w:eastAsia="等线" w:cs="Arial"/>
                <w:sz w:val="22"/>
              </w:rPr>
              <w:t>7</w:t>
            </w:r>
          </w:p>
        </w:tc>
        <w:tc>
          <w:tcPr>
            <w:tcW w:w="1500" w:type="dxa"/>
            <w:tcMar>
              <w:top w:w="60" w:type="dxa"/>
              <w:left w:w="120" w:type="dxa"/>
              <w:bottom w:w="30" w:type="dxa"/>
              <w:right w:w="120" w:type="dxa"/>
            </w:tcMar>
          </w:tcPr>
          <w:p w14:paraId="267ADFA7">
            <w:pPr>
              <w:spacing w:before="120" w:after="120" w:line="288" w:lineRule="auto"/>
              <w:ind w:left="0"/>
              <w:jc w:val="left"/>
            </w:pPr>
            <w:r>
              <w:rPr>
                <w:rFonts w:ascii="Arial" w:hAnsi="Arial" w:eastAsia="等线" w:cs="Arial"/>
                <w:sz w:val="22"/>
              </w:rPr>
              <w:t>6</w:t>
            </w:r>
          </w:p>
        </w:tc>
        <w:tc>
          <w:tcPr>
            <w:tcW w:w="1500" w:type="dxa"/>
            <w:tcMar>
              <w:top w:w="60" w:type="dxa"/>
              <w:left w:w="120" w:type="dxa"/>
              <w:bottom w:w="30" w:type="dxa"/>
              <w:right w:w="120" w:type="dxa"/>
            </w:tcMar>
          </w:tcPr>
          <w:p w14:paraId="391290DA">
            <w:pPr>
              <w:spacing w:before="120" w:after="120" w:line="288" w:lineRule="auto"/>
              <w:ind w:left="0"/>
              <w:jc w:val="left"/>
            </w:pPr>
            <w:r>
              <w:rPr>
                <w:rFonts w:ascii="Arial" w:hAnsi="Arial" w:eastAsia="等线" w:cs="Arial"/>
                <w:sz w:val="22"/>
              </w:rPr>
              <w:t>3</w:t>
            </w:r>
          </w:p>
        </w:tc>
      </w:tr>
      <w:tr w14:paraId="2957FE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AAF1C95">
            <w:pPr>
              <w:spacing w:before="120" w:after="120" w:line="288" w:lineRule="auto"/>
              <w:ind w:left="0"/>
              <w:jc w:val="left"/>
            </w:pPr>
            <w:r>
              <w:rPr>
                <w:rFonts w:ascii="Arial" w:hAnsi="Arial" w:eastAsia="等线" w:cs="Arial"/>
                <w:sz w:val="22"/>
              </w:rPr>
              <w:t>无根据回答（生成回答但准确率为0）</w:t>
            </w:r>
          </w:p>
        </w:tc>
        <w:tc>
          <w:tcPr>
            <w:tcW w:w="1500" w:type="dxa"/>
            <w:tcMar>
              <w:top w:w="60" w:type="dxa"/>
              <w:left w:w="120" w:type="dxa"/>
              <w:bottom w:w="30" w:type="dxa"/>
              <w:right w:w="120" w:type="dxa"/>
            </w:tcMar>
          </w:tcPr>
          <w:p w14:paraId="48C17DFA">
            <w:pPr>
              <w:spacing w:before="120" w:after="120" w:line="288" w:lineRule="auto"/>
              <w:ind w:left="0"/>
              <w:jc w:val="left"/>
            </w:pPr>
            <w:r>
              <w:rPr>
                <w:rFonts w:ascii="Arial" w:hAnsi="Arial" w:eastAsia="等线" w:cs="Arial"/>
                <w:sz w:val="22"/>
              </w:rPr>
              <w:t>0</w:t>
            </w:r>
          </w:p>
        </w:tc>
        <w:tc>
          <w:tcPr>
            <w:tcW w:w="1500" w:type="dxa"/>
            <w:tcMar>
              <w:top w:w="60" w:type="dxa"/>
              <w:left w:w="120" w:type="dxa"/>
              <w:bottom w:w="30" w:type="dxa"/>
              <w:right w:w="120" w:type="dxa"/>
            </w:tcMar>
          </w:tcPr>
          <w:p w14:paraId="6E435D86">
            <w:pPr>
              <w:spacing w:before="120" w:after="120" w:line="288" w:lineRule="auto"/>
              <w:ind w:left="0"/>
              <w:jc w:val="left"/>
            </w:pPr>
            <w:r>
              <w:rPr>
                <w:rFonts w:ascii="Arial" w:hAnsi="Arial" w:eastAsia="等线" w:cs="Arial"/>
                <w:sz w:val="22"/>
              </w:rPr>
              <w:t>2</w:t>
            </w:r>
          </w:p>
        </w:tc>
        <w:tc>
          <w:tcPr>
            <w:tcW w:w="1500" w:type="dxa"/>
            <w:tcMar>
              <w:top w:w="60" w:type="dxa"/>
              <w:left w:w="120" w:type="dxa"/>
              <w:bottom w:w="30" w:type="dxa"/>
              <w:right w:w="120" w:type="dxa"/>
            </w:tcMar>
          </w:tcPr>
          <w:p w14:paraId="65A86008">
            <w:pPr>
              <w:spacing w:before="120" w:after="120" w:line="288" w:lineRule="auto"/>
              <w:ind w:left="0"/>
              <w:jc w:val="left"/>
            </w:pPr>
            <w:r>
              <w:rPr>
                <w:rFonts w:ascii="Arial" w:hAnsi="Arial" w:eastAsia="等线" w:cs="Arial"/>
                <w:sz w:val="22"/>
              </w:rPr>
              <w:t>1</w:t>
            </w:r>
          </w:p>
        </w:tc>
      </w:tr>
    </w:tbl>
    <w:p w14:paraId="07761F03">
      <w:pPr>
        <w:spacing w:before="120" w:after="120" w:line="288" w:lineRule="auto"/>
        <w:ind w:left="907"/>
        <w:jc w:val="left"/>
      </w:pPr>
      <w:r>
        <w:rPr>
          <w:rFonts w:ascii="Arial" w:hAnsi="Arial" w:eastAsia="等线" w:cs="Arial"/>
          <w:sz w:val="22"/>
        </w:rPr>
        <w:t xml:space="preserve"> </w:t>
      </w:r>
    </w:p>
    <w:p w14:paraId="3BFC8609">
      <w:pPr>
        <w:spacing w:before="120" w:after="120" w:line="288" w:lineRule="auto"/>
        <w:ind w:left="907" w:firstLine="420"/>
        <w:jc w:val="left"/>
      </w:pPr>
      <w:r>
        <w:rPr>
          <w:rFonts w:ascii="Arial" w:hAnsi="Arial" w:eastAsia="等线" w:cs="Arial"/>
          <w:sz w:val="22"/>
        </w:rPr>
        <w:t>由上表可见，综合得分情况来讲，DeepSeek V3.1最差，豆包-1.5-pro-32K略好于豆包-Lite-32K。</w:t>
      </w:r>
    </w:p>
    <w:p w14:paraId="647315F3">
      <w:pPr>
        <w:spacing w:before="120" w:after="120" w:line="288" w:lineRule="auto"/>
        <w:ind w:left="907" w:firstLine="420"/>
        <w:jc w:val="left"/>
      </w:pPr>
      <w:r>
        <w:rPr>
          <w:rFonts w:ascii="Arial" w:hAnsi="Arial" w:eastAsia="等线" w:cs="Arial"/>
          <w:sz w:val="22"/>
        </w:rPr>
        <w:t>DeepSeekV3.1拒绝回答的概率超过25%，代表此模型对于检索的依赖最为严重，一部分由于检索未返回结果，一部分由于检索返回的结果无法使用，因此其低分回答的情况也是最多的。但此模型无根据回答的比率为0，所以生成的回答可靠度很高。</w:t>
      </w:r>
    </w:p>
    <w:p w14:paraId="3A550E29">
      <w:pPr>
        <w:spacing w:before="120" w:after="120" w:line="288" w:lineRule="auto"/>
        <w:ind w:left="907" w:firstLine="420"/>
        <w:jc w:val="left"/>
      </w:pPr>
      <w:r>
        <w:rPr>
          <w:rFonts w:ascii="Arial" w:hAnsi="Arial" w:eastAsia="等线" w:cs="Arial"/>
          <w:sz w:val="22"/>
        </w:rPr>
        <w:t>解决方案：如使用此模型，需要极大的加强知识库的检索效果，从而提升可靠性。</w:t>
      </w:r>
    </w:p>
    <w:p w14:paraId="79B76E91">
      <w:pPr>
        <w:spacing w:before="120" w:after="120" w:line="288" w:lineRule="auto"/>
        <w:ind w:left="907" w:firstLine="420"/>
        <w:jc w:val="left"/>
      </w:pPr>
      <w:r>
        <w:rPr>
          <w:rFonts w:ascii="Arial" w:hAnsi="Arial" w:eastAsia="等线" w:cs="Arial"/>
          <w:sz w:val="22"/>
        </w:rPr>
        <w:t>豆包-Lite-32K 对于每一个Query都生成了回答，但生成低分回答的比率很大，即便知识库没有检索到能使用的内容，此模型依然生成了回答。这样的结果导致其极大的提高了误导用户的可能性。</w:t>
      </w:r>
    </w:p>
    <w:p w14:paraId="63A4B81F">
      <w:pPr>
        <w:spacing w:before="120" w:after="120" w:line="288" w:lineRule="auto"/>
        <w:ind w:left="907" w:firstLine="420"/>
        <w:jc w:val="left"/>
      </w:pPr>
      <w:r>
        <w:rPr>
          <w:rFonts w:ascii="Arial" w:hAnsi="Arial" w:eastAsia="等线" w:cs="Arial"/>
          <w:sz w:val="22"/>
        </w:rPr>
        <w:t>解决方案：通过加强Prompt书写的方式，提高知识库对于回答生成的约束力。</w:t>
      </w:r>
    </w:p>
    <w:p w14:paraId="3295CA51">
      <w:pPr>
        <w:spacing w:before="120" w:after="120" w:line="288" w:lineRule="auto"/>
        <w:ind w:left="907" w:firstLine="420"/>
        <w:jc w:val="left"/>
      </w:pPr>
      <w:r>
        <w:rPr>
          <w:rFonts w:ascii="Arial" w:hAnsi="Arial" w:eastAsia="等线" w:cs="Arial"/>
          <w:sz w:val="22"/>
        </w:rPr>
        <w:t>豆包-1.5-pro-32K 有一个拒绝回答的BC，但此回答其他模型都能正常回答，且检索知识库有正常结果返回。此模型生成回答质量偏高，总体性能优于前两个模型。</w:t>
      </w:r>
    </w:p>
    <w:p w14:paraId="6538F2BB">
      <w:pPr>
        <w:spacing w:before="120" w:after="120" w:line="288" w:lineRule="auto"/>
        <w:ind w:left="907" w:firstLine="420"/>
        <w:jc w:val="left"/>
      </w:pPr>
      <w:r>
        <w:rPr>
          <w:rFonts w:ascii="Arial" w:hAnsi="Arial" w:eastAsia="等线" w:cs="Arial"/>
          <w:sz w:val="22"/>
        </w:rPr>
        <w:t>解决方案：对于此模型回答的异常点，可以试着提高模型温度，通过给予模型更高自由度的方式，尝试让其利用检索到的法条。</w:t>
      </w:r>
    </w:p>
    <w:p w14:paraId="7D6F2B9B">
      <w:pPr>
        <w:spacing w:before="120" w:after="120" w:line="288" w:lineRule="auto"/>
        <w:ind w:left="907" w:firstLine="420"/>
        <w:jc w:val="left"/>
      </w:pPr>
      <w:r>
        <w:rPr>
          <w:rFonts w:ascii="Arial" w:hAnsi="Arial" w:eastAsia="等线" w:cs="Arial"/>
          <w:sz w:val="22"/>
        </w:rPr>
        <w:t>问答结果及Bad case标注详见表《模型回答对比》</w:t>
      </w:r>
    </w:p>
    <w:p w14:paraId="28BFBE39">
      <w:pPr>
        <w:spacing w:before="120" w:after="120" w:line="288" w:lineRule="auto"/>
        <w:ind w:left="0"/>
        <w:jc w:val="left"/>
      </w:pPr>
      <w:r>
        <w:rPr>
          <w:rFonts w:ascii="Arial" w:hAnsi="Arial" w:eastAsia="等线" w:cs="Arial"/>
          <w:b/>
          <w:color w:val="646A73"/>
          <w:sz w:val="22"/>
        </w:rPr>
        <w:t>[模型回答对比.xlsx]</w:t>
      </w:r>
    </w:p>
    <w:p w14:paraId="46633A47">
      <w:pPr>
        <w:spacing w:before="120" w:after="120" w:line="288" w:lineRule="auto"/>
        <w:ind w:left="0"/>
        <w:jc w:val="left"/>
      </w:pPr>
      <w:r>
        <w:rPr>
          <w:rFonts w:ascii="Arial" w:hAnsi="Arial" w:eastAsia="等线" w:cs="Arial"/>
          <w:sz w:val="22"/>
        </w:rPr>
        <w:t xml:space="preserve"> </w:t>
      </w:r>
    </w:p>
    <w:p w14:paraId="7D1DA569">
      <w:pPr>
        <w:numPr>
          <w:ilvl w:val="0"/>
          <w:numId w:val="26"/>
        </w:numPr>
        <w:spacing w:before="120" w:after="120" w:line="288" w:lineRule="auto"/>
        <w:ind w:left="0"/>
        <w:jc w:val="left"/>
      </w:pPr>
      <w:r>
        <w:rPr>
          <w:rFonts w:ascii="Arial" w:hAnsi="Arial" w:eastAsia="等线" w:cs="Arial"/>
          <w:sz w:val="22"/>
        </w:rPr>
        <w:t>Agnetic RAG</w:t>
      </w:r>
    </w:p>
    <w:p w14:paraId="299B1A59">
      <w:pPr>
        <w:numPr>
          <w:ilvl w:val="0"/>
          <w:numId w:val="27"/>
        </w:numPr>
        <w:spacing w:before="120" w:after="120" w:line="288" w:lineRule="auto"/>
        <w:ind w:left="453"/>
        <w:jc w:val="left"/>
      </w:pPr>
      <w:r>
        <w:rPr>
          <w:rFonts w:ascii="Arial" w:hAnsi="Arial" w:eastAsia="等线" w:cs="Arial"/>
          <w:sz w:val="22"/>
        </w:rPr>
        <w:t>产品概述：</w:t>
      </w:r>
    </w:p>
    <w:p w14:paraId="442A59B3">
      <w:pPr>
        <w:spacing w:before="120" w:after="120" w:line="288" w:lineRule="auto"/>
        <w:ind w:left="453" w:firstLine="420"/>
        <w:jc w:val="left"/>
      </w:pPr>
      <w:r>
        <w:rPr>
          <w:rFonts w:ascii="Arial" w:hAnsi="Arial" w:eastAsia="等线" w:cs="Arial"/>
          <w:sz w:val="22"/>
        </w:rPr>
        <w:t>RAG的检索召回策略已稳定，为了适应更多元化的应用场景，通过创建法律条文查询助手Agent，提供给用户直观简洁的使用产品。</w:t>
      </w:r>
    </w:p>
    <w:p w14:paraId="6A0FFC35">
      <w:pPr>
        <w:numPr>
          <w:ilvl w:val="0"/>
          <w:numId w:val="28"/>
        </w:numPr>
        <w:spacing w:before="120" w:after="120" w:line="288" w:lineRule="auto"/>
        <w:ind w:left="453"/>
        <w:jc w:val="left"/>
      </w:pPr>
      <w:r>
        <w:rPr>
          <w:rFonts w:ascii="Arial" w:hAnsi="Arial" w:eastAsia="等线" w:cs="Arial"/>
          <w:sz w:val="22"/>
        </w:rPr>
        <w:t>Agent策略：</w:t>
      </w:r>
    </w:p>
    <w:p w14:paraId="5A3DAC02">
      <w:pPr>
        <w:numPr>
          <w:ilvl w:val="0"/>
          <w:numId w:val="29"/>
        </w:numPr>
        <w:spacing w:before="120" w:after="120" w:line="288" w:lineRule="auto"/>
        <w:ind w:left="907"/>
        <w:jc w:val="left"/>
      </w:pPr>
      <w:r>
        <w:rPr>
          <w:rFonts w:ascii="Arial" w:hAnsi="Arial" w:eastAsia="等线" w:cs="Arial"/>
          <w:sz w:val="22"/>
        </w:rPr>
        <w:t>单代理Agent，通过意图识别模型判断场景，任务拆解模型规划检索策略，生成模型根据信息进行回答。</w:t>
      </w:r>
    </w:p>
    <w:p w14:paraId="11670ACE">
      <w:pPr>
        <w:numPr>
          <w:ilvl w:val="0"/>
          <w:numId w:val="30"/>
        </w:numPr>
        <w:spacing w:before="120" w:after="120" w:line="288" w:lineRule="auto"/>
        <w:ind w:left="907"/>
        <w:jc w:val="left"/>
      </w:pPr>
      <w:r>
        <w:rPr>
          <w:rFonts w:ascii="Arial" w:hAnsi="Arial" w:eastAsia="等线" w:cs="Arial"/>
          <w:sz w:val="22"/>
        </w:rPr>
        <w:t>四个平行的生成模型，针对不同场景做不同的回答。</w:t>
      </w:r>
    </w:p>
    <w:p w14:paraId="776F2CFA">
      <w:pPr>
        <w:numPr>
          <w:ilvl w:val="0"/>
          <w:numId w:val="31"/>
        </w:numPr>
        <w:spacing w:before="120" w:after="120" w:line="288" w:lineRule="auto"/>
        <w:ind w:left="907"/>
        <w:jc w:val="left"/>
      </w:pPr>
      <w:r>
        <w:rPr>
          <w:rFonts w:ascii="Arial" w:hAnsi="Arial" w:eastAsia="等线" w:cs="Arial"/>
          <w:sz w:val="22"/>
        </w:rPr>
        <w:t>通过数据导入历史资料库，支持多轮对话。</w:t>
      </w:r>
    </w:p>
    <w:p w14:paraId="03EAFBE0">
      <w:pPr>
        <w:spacing w:before="120" w:after="120" w:line="288" w:lineRule="auto"/>
        <w:ind w:left="453"/>
        <w:jc w:val="center"/>
      </w:pPr>
      <w:r>
        <w:drawing>
          <wp:inline distT="0" distB="0" distL="0" distR="0">
            <wp:extent cx="5257800" cy="20859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085975"/>
                    </a:xfrm>
                    <a:prstGeom prst="rect">
                      <a:avLst/>
                    </a:prstGeom>
                  </pic:spPr>
                </pic:pic>
              </a:graphicData>
            </a:graphic>
          </wp:inline>
        </w:drawing>
      </w:r>
    </w:p>
    <w:p w14:paraId="151EF511">
      <w:pPr>
        <w:numPr>
          <w:ilvl w:val="0"/>
          <w:numId w:val="32"/>
        </w:numPr>
        <w:spacing w:before="120" w:after="120" w:line="288" w:lineRule="auto"/>
        <w:ind w:left="453"/>
        <w:jc w:val="left"/>
      </w:pPr>
      <w:r>
        <w:rPr>
          <w:rFonts w:ascii="Arial" w:hAnsi="Arial" w:eastAsia="等线" w:cs="Arial"/>
          <w:sz w:val="22"/>
        </w:rPr>
        <w:t>模型评测：</w:t>
      </w:r>
    </w:p>
    <w:p w14:paraId="356E362E">
      <w:pPr>
        <w:numPr>
          <w:ilvl w:val="0"/>
          <w:numId w:val="33"/>
        </w:numPr>
        <w:spacing w:before="120" w:after="120" w:line="288" w:lineRule="auto"/>
        <w:ind w:left="907"/>
        <w:jc w:val="left"/>
      </w:pPr>
      <w:r>
        <w:rPr>
          <w:rFonts w:ascii="Arial" w:hAnsi="Arial" w:eastAsia="等线" w:cs="Arial"/>
          <w:sz w:val="22"/>
        </w:rPr>
        <w:t>断点评测集：</w:t>
      </w:r>
    </w:p>
    <w:p w14:paraId="48E1C902">
      <w:pPr>
        <w:numPr>
          <w:ilvl w:val="0"/>
          <w:numId w:val="34"/>
        </w:numPr>
        <w:spacing w:before="120" w:after="120" w:line="288" w:lineRule="auto"/>
        <w:ind w:left="1360"/>
        <w:jc w:val="left"/>
      </w:pPr>
      <w:r>
        <w:rPr>
          <w:rFonts w:ascii="Arial" w:hAnsi="Arial" w:eastAsia="等线" w:cs="Arial"/>
          <w:sz w:val="22"/>
        </w:rPr>
        <w:t>任务拆解模型：</w:t>
      </w:r>
    </w:p>
    <w:p w14:paraId="0E02B7EC">
      <w:pPr>
        <w:numPr>
          <w:ilvl w:val="0"/>
          <w:numId w:val="35"/>
        </w:numPr>
        <w:spacing w:before="120" w:after="120" w:line="288" w:lineRule="auto"/>
        <w:ind w:left="1814"/>
        <w:jc w:val="left"/>
      </w:pPr>
      <w:r>
        <w:rPr>
          <w:rFonts w:ascii="Arial" w:hAnsi="Arial" w:eastAsia="等线" w:cs="Arial"/>
          <w:sz w:val="22"/>
        </w:rPr>
        <w:t>单轮对话，25个测试集</w:t>
      </w:r>
    </w:p>
    <w:p w14:paraId="776450A8">
      <w:pPr>
        <w:numPr>
          <w:ilvl w:val="0"/>
          <w:numId w:val="36"/>
        </w:numPr>
        <w:spacing w:before="120" w:after="120" w:line="288" w:lineRule="auto"/>
        <w:ind w:left="1814"/>
        <w:jc w:val="left"/>
      </w:pPr>
      <w:r>
        <w:rPr>
          <w:rFonts w:ascii="Arial" w:hAnsi="Arial" w:eastAsia="等线" w:cs="Arial"/>
          <w:sz w:val="22"/>
        </w:rPr>
        <w:t>多轮对话，25个测试集</w:t>
      </w:r>
    </w:p>
    <w:p w14:paraId="7265667F">
      <w:pPr>
        <w:spacing w:before="120" w:after="120" w:line="288" w:lineRule="auto"/>
        <w:ind w:left="1814"/>
        <w:jc w:val="left"/>
      </w:pPr>
      <w:r>
        <w:rPr>
          <w:rFonts w:ascii="Arial" w:hAnsi="Arial" w:eastAsia="等线" w:cs="Arial"/>
          <w:sz w:val="22"/>
        </w:rPr>
        <w:t>评价标准：Search_q_set质量（重复、高效、相关）；思考的轮数</w:t>
      </w:r>
    </w:p>
    <w:p w14:paraId="09131D8D">
      <w:pPr>
        <w:numPr>
          <w:ilvl w:val="0"/>
          <w:numId w:val="37"/>
        </w:numPr>
        <w:spacing w:before="120" w:after="120" w:line="288" w:lineRule="auto"/>
        <w:ind w:left="1360"/>
        <w:jc w:val="left"/>
      </w:pPr>
      <w:r>
        <w:rPr>
          <w:rFonts w:ascii="Arial" w:hAnsi="Arial" w:eastAsia="等线" w:cs="Arial"/>
          <w:sz w:val="22"/>
        </w:rPr>
        <w:t>生成模型：</w:t>
      </w:r>
    </w:p>
    <w:p w14:paraId="4C460A3B">
      <w:pPr>
        <w:numPr>
          <w:ilvl w:val="0"/>
          <w:numId w:val="38"/>
        </w:numPr>
        <w:spacing w:before="120" w:after="120" w:line="288" w:lineRule="auto"/>
        <w:ind w:left="1814"/>
        <w:jc w:val="left"/>
      </w:pPr>
      <w:r>
        <w:rPr>
          <w:rFonts w:ascii="Arial" w:hAnsi="Arial" w:eastAsia="等线" w:cs="Arial"/>
          <w:sz w:val="22"/>
        </w:rPr>
        <w:t>单轮对话，25个测试集</w:t>
      </w:r>
    </w:p>
    <w:p w14:paraId="131B52BB">
      <w:pPr>
        <w:numPr>
          <w:ilvl w:val="0"/>
          <w:numId w:val="39"/>
        </w:numPr>
        <w:spacing w:before="120" w:after="120" w:line="288" w:lineRule="auto"/>
        <w:ind w:left="1814"/>
        <w:jc w:val="left"/>
      </w:pPr>
      <w:r>
        <w:rPr>
          <w:rFonts w:ascii="Arial" w:hAnsi="Arial" w:eastAsia="等线" w:cs="Arial"/>
          <w:sz w:val="22"/>
        </w:rPr>
        <w:t>多轮对话，25个测试集</w:t>
      </w:r>
    </w:p>
    <w:p w14:paraId="73982011">
      <w:pPr>
        <w:spacing w:before="120" w:after="120" w:line="288" w:lineRule="auto"/>
        <w:ind w:left="1814"/>
        <w:jc w:val="left"/>
      </w:pPr>
      <w:r>
        <w:rPr>
          <w:rFonts w:ascii="Arial" w:hAnsi="Arial" w:eastAsia="等线" w:cs="Arial"/>
          <w:sz w:val="22"/>
        </w:rPr>
        <w:t>评价标准：生成回答质量（准确性、相关性、全面性、一致性、安全性）</w:t>
      </w:r>
    </w:p>
    <w:p w14:paraId="236D3B40">
      <w:pPr>
        <w:numPr>
          <w:ilvl w:val="0"/>
          <w:numId w:val="40"/>
        </w:numPr>
        <w:spacing w:before="120" w:after="120" w:line="288" w:lineRule="auto"/>
        <w:ind w:left="907"/>
        <w:jc w:val="left"/>
      </w:pPr>
      <w:r>
        <w:rPr>
          <w:rFonts w:ascii="Arial" w:hAnsi="Arial" w:eastAsia="等线" w:cs="Arial"/>
          <w:sz w:val="22"/>
        </w:rPr>
        <w:t>Agent内设置四个平行的生成模型，针对不同场景做不同的回答。</w:t>
      </w:r>
    </w:p>
    <w:p w14:paraId="4ECAEFC5">
      <w:pPr>
        <w:numPr>
          <w:ilvl w:val="0"/>
          <w:numId w:val="41"/>
        </w:numPr>
        <w:spacing w:before="120" w:after="120" w:line="288" w:lineRule="auto"/>
        <w:ind w:left="907"/>
        <w:jc w:val="left"/>
      </w:pPr>
      <w:r>
        <w:rPr>
          <w:rFonts w:ascii="Arial" w:hAnsi="Arial" w:eastAsia="等线" w:cs="Arial"/>
          <w:sz w:val="22"/>
        </w:rPr>
        <w:t>通过数据导入历史资料库，支持多轮对话。</w:t>
      </w:r>
    </w:p>
    <w:p w14:paraId="5530734D">
      <w:pPr>
        <w:numPr>
          <w:ilvl w:val="0"/>
          <w:numId w:val="42"/>
        </w:numPr>
        <w:spacing w:before="120" w:after="120" w:line="288" w:lineRule="auto"/>
        <w:ind w:left="453"/>
        <w:jc w:val="left"/>
      </w:pPr>
      <w:r>
        <w:rPr>
          <w:rFonts w:ascii="Arial" w:hAnsi="Arial" w:eastAsia="等线" w:cs="Arial"/>
          <w:sz w:val="22"/>
        </w:rPr>
        <w:t>策略调优：</w:t>
      </w:r>
    </w:p>
    <w:p w14:paraId="227B2904">
      <w:pPr>
        <w:numPr>
          <w:ilvl w:val="0"/>
          <w:numId w:val="43"/>
        </w:numPr>
        <w:spacing w:before="120" w:after="120" w:line="288" w:lineRule="auto"/>
        <w:ind w:left="907"/>
        <w:jc w:val="left"/>
      </w:pPr>
      <w:r>
        <w:rPr>
          <w:rFonts w:ascii="Arial" w:hAnsi="Arial" w:eastAsia="等线" w:cs="Arial"/>
          <w:sz w:val="22"/>
        </w:rPr>
        <w:t>调整prompt：通过prompt工程固定不同节点的模型角色，完成特定任务</w:t>
      </w:r>
    </w:p>
    <w:p w14:paraId="47BBD0A3">
      <w:pPr>
        <w:numPr>
          <w:ilvl w:val="0"/>
          <w:numId w:val="44"/>
        </w:numPr>
        <w:spacing w:before="120" w:after="120" w:line="288" w:lineRule="auto"/>
        <w:ind w:left="907"/>
        <w:jc w:val="left"/>
      </w:pPr>
      <w:r>
        <w:rPr>
          <w:rFonts w:ascii="Arial" w:hAnsi="Arial" w:eastAsia="等线" w:cs="Arial"/>
          <w:sz w:val="22"/>
        </w:rPr>
        <w:t>任务拆解模型选型：2模型（包含推理功能）</w:t>
      </w:r>
    </w:p>
    <w:p w14:paraId="7438B0FD">
      <w:pPr>
        <w:numPr>
          <w:ilvl w:val="0"/>
          <w:numId w:val="45"/>
        </w:numPr>
        <w:spacing w:before="120" w:after="120" w:line="288" w:lineRule="auto"/>
        <w:ind w:left="1360"/>
        <w:jc w:val="left"/>
      </w:pPr>
      <w:r>
        <w:rPr>
          <w:rFonts w:ascii="Arial" w:hAnsi="Arial" w:eastAsia="等线" w:cs="Arial"/>
          <w:sz w:val="22"/>
        </w:rPr>
        <w:t>模型一（doubao-1.8-pro-深度思考）选型原因：doubao模型的升级版，强化了深度思考功能，是目前市场上主流使用的大模型。</w:t>
      </w:r>
    </w:p>
    <w:p w14:paraId="3941D704">
      <w:pPr>
        <w:numPr>
          <w:ilvl w:val="0"/>
          <w:numId w:val="46"/>
        </w:numPr>
        <w:spacing w:before="120" w:after="120" w:line="288" w:lineRule="auto"/>
        <w:ind w:left="1360"/>
        <w:jc w:val="left"/>
      </w:pPr>
      <w:r>
        <w:rPr>
          <w:rFonts w:ascii="Arial" w:hAnsi="Arial" w:eastAsia="等线" w:cs="Arial"/>
          <w:sz w:val="22"/>
        </w:rPr>
        <w:t>模型二（智谱4.7）选型原因：智谱公司推出，和主要使用的doubao形成对照组，对话质量较高，官方给出了提高了对智能体应用的质量。</w:t>
      </w:r>
    </w:p>
    <w:p w14:paraId="4412DAC8">
      <w:pPr>
        <w:numPr>
          <w:ilvl w:val="0"/>
          <w:numId w:val="47"/>
        </w:numPr>
        <w:spacing w:before="120" w:after="120" w:line="288" w:lineRule="auto"/>
        <w:ind w:left="907"/>
        <w:jc w:val="left"/>
      </w:pPr>
      <w:r>
        <w:rPr>
          <w:rFonts w:ascii="Arial" w:hAnsi="Arial" w:eastAsia="等线" w:cs="Arial"/>
          <w:sz w:val="22"/>
        </w:rPr>
        <w:t>生成模型选型：3模型（1不包含推理功能，2、3包含推理功能）</w:t>
      </w:r>
    </w:p>
    <w:p w14:paraId="5F7926D9">
      <w:pPr>
        <w:numPr>
          <w:ilvl w:val="0"/>
          <w:numId w:val="48"/>
        </w:numPr>
        <w:spacing w:before="120" w:after="120" w:line="288" w:lineRule="auto"/>
        <w:ind w:left="1360"/>
        <w:jc w:val="left"/>
      </w:pPr>
      <w:r>
        <w:rPr>
          <w:rFonts w:ascii="Arial" w:hAnsi="Arial" w:eastAsia="等线" w:cs="Arial"/>
          <w:sz w:val="22"/>
        </w:rPr>
        <w:t>模型一（doubao-1.8-pro-深度思考）选型原因：doubao模型的升级版，强化了深度思考功能。</w:t>
      </w:r>
    </w:p>
    <w:p w14:paraId="2FB98381">
      <w:pPr>
        <w:numPr>
          <w:ilvl w:val="0"/>
          <w:numId w:val="49"/>
        </w:numPr>
        <w:spacing w:before="120" w:after="120" w:line="288" w:lineRule="auto"/>
        <w:ind w:left="1360"/>
        <w:jc w:val="left"/>
      </w:pPr>
      <w:r>
        <w:rPr>
          <w:rFonts w:ascii="Arial" w:hAnsi="Arial" w:eastAsia="等线" w:cs="Arial"/>
          <w:sz w:val="22"/>
        </w:rPr>
        <w:t>模型二（doubao-通用-lite）选型原因：doubao通用版，没标注有推理功能，作为基底对照使用。</w:t>
      </w:r>
    </w:p>
    <w:p w14:paraId="6222D312">
      <w:pPr>
        <w:numPr>
          <w:ilvl w:val="0"/>
          <w:numId w:val="50"/>
        </w:numPr>
        <w:spacing w:before="120" w:after="120" w:line="288" w:lineRule="auto"/>
        <w:ind w:left="1360"/>
        <w:jc w:val="left"/>
      </w:pPr>
      <w:r>
        <w:rPr>
          <w:rFonts w:ascii="Arial" w:hAnsi="Arial" w:eastAsia="等线" w:cs="Arial"/>
          <w:sz w:val="22"/>
        </w:rPr>
        <w:t>模型三（doubao-2.0-pro）选型原因：doubao模型的最新版，但并未单独强化推深度思考能力。</w:t>
      </w:r>
    </w:p>
    <w:p w14:paraId="66CDAB9A">
      <w:pPr>
        <w:spacing w:before="120" w:after="120" w:line="288" w:lineRule="auto"/>
        <w:ind w:left="1360"/>
        <w:jc w:val="left"/>
      </w:pPr>
      <w:r>
        <w:rPr>
          <w:rFonts w:ascii="Arial" w:hAnsi="Arial" w:eastAsia="等线" w:cs="Arial"/>
          <w:sz w:val="22"/>
        </w:rPr>
        <w:t>任务拆解模型，生成模型，与策略调优（任务拆解模型选型、生成模型选型）评价集及评测结果如下表：</w:t>
      </w:r>
    </w:p>
    <w:p w14:paraId="6F917D26">
      <w:pPr>
        <w:spacing w:before="120" w:after="120" w:line="288" w:lineRule="auto"/>
        <w:ind w:left="0"/>
        <w:jc w:val="left"/>
      </w:pPr>
      <w:r>
        <w:rPr>
          <w:rFonts w:ascii="Arial" w:hAnsi="Arial" w:eastAsia="等线" w:cs="Arial"/>
          <w:b/>
          <w:color w:val="646A73"/>
          <w:sz w:val="22"/>
        </w:rPr>
        <w:t>[Agent-任务拆解模型、生成模型测试集.xlsx]</w:t>
      </w:r>
    </w:p>
    <w:p w14:paraId="6E624D65">
      <w:pPr>
        <w:spacing w:before="120" w:after="120" w:line="288" w:lineRule="auto"/>
        <w:ind w:left="0"/>
        <w:jc w:val="left"/>
      </w:pPr>
      <w:r>
        <w:rPr>
          <w:rFonts w:ascii="Arial" w:hAnsi="Arial" w:eastAsia="等线" w:cs="Arial"/>
          <w:sz w:val="22"/>
        </w:rPr>
        <w:t xml:space="preserve"> 任务拆解模型评测（doubao-1.8-pro-深度思考）：</w:t>
      </w:r>
    </w:p>
    <w:p w14:paraId="1E57B0DD">
      <w:pPr>
        <w:spacing w:before="120" w:after="120" w:line="288" w:lineRule="auto"/>
        <w:ind w:left="0" w:firstLine="420"/>
        <w:jc w:val="left"/>
      </w:pPr>
      <w:r>
        <w:rPr>
          <w:rFonts w:ascii="Arial" w:hAnsi="Arial" w:eastAsia="等线" w:cs="Arial"/>
          <w:sz w:val="22"/>
        </w:rPr>
        <w:t>优点：自然语言理解能力佳，可以比较高效的生成我们规定的“法言法语”；在当前的搜索词无法匹配整体搜索要求时，基本能做到输出下一步检索词，全面地返回需搜索内容。</w:t>
      </w:r>
    </w:p>
    <w:p w14:paraId="024EEE68">
      <w:pPr>
        <w:spacing w:before="120" w:after="120" w:line="288" w:lineRule="auto"/>
        <w:ind w:left="0" w:firstLine="420"/>
        <w:jc w:val="left"/>
      </w:pPr>
      <w:r>
        <w:rPr>
          <w:rFonts w:ascii="Arial" w:hAnsi="Arial" w:eastAsia="等线" w:cs="Arial"/>
          <w:sz w:val="22"/>
        </w:rPr>
        <w:t>缺点：根据少数bad case的表现可知，有时候会出现模型产出的检索语句不精确，导致重复无意义内容的情况，极大的降低了检索效率和准确性，比如第一个多轮对话产生了无检索内容返回的情况。主要原因是由于用户输入的Query过于白话，模型理解不了诸如“老赖”这样的词语，没法顺利转化成标准语言。</w:t>
      </w:r>
    </w:p>
    <w:p w14:paraId="28924C7C">
      <w:pPr>
        <w:spacing w:before="120" w:after="120" w:line="288" w:lineRule="auto"/>
        <w:ind w:left="0"/>
        <w:jc w:val="left"/>
      </w:pPr>
    </w:p>
    <w:p w14:paraId="5D785C86">
      <w:pPr>
        <w:spacing w:before="120" w:after="120" w:line="288" w:lineRule="auto"/>
        <w:ind w:left="0"/>
        <w:jc w:val="left"/>
      </w:pPr>
      <w:r>
        <w:rPr>
          <w:rFonts w:ascii="Arial" w:hAnsi="Arial" w:eastAsia="等线" w:cs="Arial"/>
          <w:sz w:val="22"/>
        </w:rPr>
        <w:t>生成模型（doubao-1.8-pro-深度思考）：</w:t>
      </w:r>
    </w:p>
    <w:p w14:paraId="323688D8">
      <w:pPr>
        <w:spacing w:before="120" w:after="120" w:line="288" w:lineRule="auto"/>
        <w:ind w:left="0" w:firstLine="420"/>
        <w:jc w:val="left"/>
      </w:pPr>
      <w:r>
        <w:rPr>
          <w:rFonts w:ascii="Arial" w:hAnsi="Arial" w:eastAsia="等线" w:cs="Arial"/>
          <w:sz w:val="22"/>
        </w:rPr>
        <w:t>优点：1.检索准确度极高，输出的回答总是能确切的解决用户的提问，甚至给出的建议大多也很清晰合理。2.严格遵循要求进行分段回答，三段式回答结构清晰。3.保持中立，保证安全性的同时合理输出内容与建议，保持了法律相关严肃认真的风格。</w:t>
      </w:r>
    </w:p>
    <w:p w14:paraId="3DB268F3">
      <w:pPr>
        <w:spacing w:before="120" w:after="120" w:line="288" w:lineRule="auto"/>
        <w:ind w:left="0" w:firstLine="420"/>
        <w:jc w:val="left"/>
      </w:pPr>
      <w:r>
        <w:rPr>
          <w:rFonts w:ascii="Arial" w:hAnsi="Arial" w:eastAsia="等线" w:cs="Arial"/>
          <w:sz w:val="22"/>
        </w:rPr>
        <w:t>缺点：生成回答偏专业，输出内容较长，普通用户理解或许存在困难。后续应调整prompt，改进生成答案的风格。</w:t>
      </w:r>
    </w:p>
    <w:p w14:paraId="24ACC5D4">
      <w:pPr>
        <w:spacing w:before="120" w:after="120" w:line="288" w:lineRule="auto"/>
        <w:ind w:left="0"/>
        <w:jc w:val="left"/>
      </w:pPr>
    </w:p>
    <w:p w14:paraId="0658457C">
      <w:pPr>
        <w:spacing w:before="120" w:after="120" w:line="288" w:lineRule="auto"/>
        <w:ind w:left="0" w:firstLine="420"/>
        <w:jc w:val="left"/>
      </w:pPr>
    </w:p>
    <w:p w14:paraId="78C45662">
      <w:pPr>
        <w:spacing w:before="120" w:after="120" w:line="288" w:lineRule="auto"/>
        <w:ind w:left="0" w:firstLine="420"/>
        <w:jc w:val="left"/>
      </w:pPr>
    </w:p>
    <w:p w14:paraId="6725F5BA">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DB04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EAEA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decimal"/>
      <w:lvlText w:val="%1."/>
      <w:lvlJc w:val="left"/>
      <w:rPr>
        <w:color w:val="3370FF"/>
      </w:rPr>
    </w:lvl>
  </w:abstractNum>
  <w:abstractNum w:abstractNumId="1">
    <w:nsid w:val="845B5372"/>
    <w:multiLevelType w:val="singleLevel"/>
    <w:tmpl w:val="845B5372"/>
    <w:lvl w:ilvl="0" w:tentative="0">
      <w:start w:val="1"/>
      <w:numFmt w:val="decimal"/>
      <w:lvlText w:val="%1."/>
      <w:lvlJc w:val="left"/>
      <w:rPr>
        <w:color w:val="3370FF"/>
      </w:rPr>
    </w:lvl>
  </w:abstractNum>
  <w:abstractNum w:abstractNumId="2">
    <w:nsid w:val="8461FADE"/>
    <w:multiLevelType w:val="singleLevel"/>
    <w:tmpl w:val="8461FADE"/>
    <w:lvl w:ilvl="0" w:tentative="0">
      <w:start w:val="3"/>
      <w:numFmt w:val="lowerRoman"/>
      <w:lvlText w:val="%1."/>
      <w:lvlJc w:val="left"/>
      <w:rPr>
        <w:color w:val="3370FF"/>
      </w:rPr>
    </w:lvl>
  </w:abstractNum>
  <w:abstractNum w:abstractNumId="3">
    <w:nsid w:val="8CAEB125"/>
    <w:multiLevelType w:val="singleLevel"/>
    <w:tmpl w:val="8CAEB125"/>
    <w:lvl w:ilvl="0" w:tentative="0">
      <w:start w:val="3"/>
      <w:numFmt w:val="lowerRoman"/>
      <w:lvlText w:val="%1."/>
      <w:lvlJc w:val="left"/>
      <w:rPr>
        <w:color w:val="3370FF"/>
      </w:rPr>
    </w:lvl>
  </w:abstractNum>
  <w:abstractNum w:abstractNumId="4">
    <w:nsid w:val="91995D4F"/>
    <w:multiLevelType w:val="singleLevel"/>
    <w:tmpl w:val="91995D4F"/>
    <w:lvl w:ilvl="0" w:tentative="0">
      <w:start w:val="4"/>
      <w:numFmt w:val="lowerLetter"/>
      <w:lvlText w:val="%1."/>
      <w:lvlJc w:val="left"/>
      <w:rPr>
        <w:color w:val="3370FF"/>
      </w:rPr>
    </w:lvl>
  </w:abstractNum>
  <w:abstractNum w:abstractNumId="5">
    <w:nsid w:val="9239341B"/>
    <w:multiLevelType w:val="singleLevel"/>
    <w:tmpl w:val="9239341B"/>
    <w:lvl w:ilvl="0" w:tentative="0">
      <w:start w:val="4"/>
      <w:numFmt w:val="lowerLetter"/>
      <w:lvlText w:val="%1."/>
      <w:lvlJc w:val="left"/>
      <w:rPr>
        <w:color w:val="3370FF"/>
      </w:rPr>
    </w:lvl>
  </w:abstractNum>
  <w:abstractNum w:abstractNumId="6">
    <w:nsid w:val="9288B902"/>
    <w:multiLevelType w:val="singleLevel"/>
    <w:tmpl w:val="9288B902"/>
    <w:lvl w:ilvl="0" w:tentative="0">
      <w:start w:val="1"/>
      <w:numFmt w:val="lowerRoman"/>
      <w:lvlText w:val="%1."/>
      <w:lvlJc w:val="left"/>
      <w:rPr>
        <w:color w:val="3370FF"/>
      </w:rPr>
    </w:lvl>
  </w:abstractNum>
  <w:abstractNum w:abstractNumId="7">
    <w:nsid w:val="9C8AC8EF"/>
    <w:multiLevelType w:val="singleLevel"/>
    <w:tmpl w:val="9C8AC8EF"/>
    <w:lvl w:ilvl="0" w:tentative="0">
      <w:start w:val="6"/>
      <w:numFmt w:val="decimal"/>
      <w:lvlText w:val="%1."/>
      <w:lvlJc w:val="left"/>
      <w:rPr>
        <w:color w:val="3370FF"/>
      </w:rPr>
    </w:lvl>
  </w:abstractNum>
  <w:abstractNum w:abstractNumId="8">
    <w:nsid w:val="B0F1ACD9"/>
    <w:multiLevelType w:val="singleLevel"/>
    <w:tmpl w:val="B0F1ACD9"/>
    <w:lvl w:ilvl="0" w:tentative="0">
      <w:start w:val="1"/>
      <w:numFmt w:val="lowerLetter"/>
      <w:lvlText w:val="%1."/>
      <w:lvlJc w:val="left"/>
      <w:rPr>
        <w:color w:val="3370FF"/>
      </w:rPr>
    </w:lvl>
  </w:abstractNum>
  <w:abstractNum w:abstractNumId="9">
    <w:nsid w:val="B5E306ED"/>
    <w:multiLevelType w:val="singleLevel"/>
    <w:tmpl w:val="B5E306ED"/>
    <w:lvl w:ilvl="0" w:tentative="0">
      <w:start w:val="3"/>
      <w:numFmt w:val="decimal"/>
      <w:lvlText w:val="%1."/>
      <w:lvlJc w:val="left"/>
      <w:rPr>
        <w:color w:val="3370FF"/>
      </w:rPr>
    </w:lvl>
  </w:abstractNum>
  <w:abstractNum w:abstractNumId="10">
    <w:nsid w:val="B8CEF35B"/>
    <w:multiLevelType w:val="singleLevel"/>
    <w:tmpl w:val="B8CEF35B"/>
    <w:lvl w:ilvl="0" w:tentative="0">
      <w:start w:val="1"/>
      <w:numFmt w:val="lowerRoman"/>
      <w:lvlText w:val="%1."/>
      <w:lvlJc w:val="left"/>
      <w:rPr>
        <w:color w:val="3370FF"/>
      </w:rPr>
    </w:lvl>
  </w:abstractNum>
  <w:abstractNum w:abstractNumId="11">
    <w:nsid w:val="BB64CFA9"/>
    <w:multiLevelType w:val="singleLevel"/>
    <w:tmpl w:val="BB64CFA9"/>
    <w:lvl w:ilvl="0" w:tentative="0">
      <w:start w:val="3"/>
      <w:numFmt w:val="lowerRoman"/>
      <w:lvlText w:val="%1."/>
      <w:lvlJc w:val="left"/>
      <w:rPr>
        <w:color w:val="3370FF"/>
      </w:rPr>
    </w:lvl>
  </w:abstractNum>
  <w:abstractNum w:abstractNumId="12">
    <w:nsid w:val="BE923771"/>
    <w:multiLevelType w:val="singleLevel"/>
    <w:tmpl w:val="BE923771"/>
    <w:lvl w:ilvl="0" w:tentative="0">
      <w:start w:val="1"/>
      <w:numFmt w:val="lowerLetter"/>
      <w:lvlText w:val="%1."/>
      <w:lvlJc w:val="left"/>
      <w:rPr>
        <w:color w:val="3370FF"/>
      </w:rPr>
    </w:lvl>
  </w:abstractNum>
  <w:abstractNum w:abstractNumId="13">
    <w:nsid w:val="BF205925"/>
    <w:multiLevelType w:val="singleLevel"/>
    <w:tmpl w:val="BF205925"/>
    <w:lvl w:ilvl="0" w:tentative="0">
      <w:start w:val="2"/>
      <w:numFmt w:val="lowerLetter"/>
      <w:lvlText w:val="%1."/>
      <w:lvlJc w:val="left"/>
      <w:rPr>
        <w:color w:val="3370FF"/>
      </w:rPr>
    </w:lvl>
  </w:abstractNum>
  <w:abstractNum w:abstractNumId="14">
    <w:nsid w:val="C8879AEF"/>
    <w:multiLevelType w:val="singleLevel"/>
    <w:tmpl w:val="C8879AEF"/>
    <w:lvl w:ilvl="0" w:tentative="0">
      <w:start w:val="1"/>
      <w:numFmt w:val="lowerRoman"/>
      <w:lvlText w:val="%1."/>
      <w:lvlJc w:val="left"/>
      <w:rPr>
        <w:color w:val="3370FF"/>
      </w:rPr>
    </w:lvl>
  </w:abstractNum>
  <w:abstractNum w:abstractNumId="15">
    <w:nsid w:val="CF092B84"/>
    <w:multiLevelType w:val="singleLevel"/>
    <w:tmpl w:val="CF092B84"/>
    <w:lvl w:ilvl="0" w:tentative="0">
      <w:start w:val="2"/>
      <w:numFmt w:val="decimal"/>
      <w:lvlText w:val="%1."/>
      <w:lvlJc w:val="left"/>
      <w:rPr>
        <w:color w:val="3370FF"/>
      </w:rPr>
    </w:lvl>
  </w:abstractNum>
  <w:abstractNum w:abstractNumId="16">
    <w:nsid w:val="D7F9FE59"/>
    <w:multiLevelType w:val="singleLevel"/>
    <w:tmpl w:val="D7F9FE59"/>
    <w:lvl w:ilvl="0" w:tentative="0">
      <w:start w:val="2"/>
      <w:numFmt w:val="lowerLetter"/>
      <w:lvlText w:val="%1."/>
      <w:lvlJc w:val="left"/>
      <w:rPr>
        <w:color w:val="3370FF"/>
      </w:rPr>
    </w:lvl>
  </w:abstractNum>
  <w:abstractNum w:abstractNumId="17">
    <w:nsid w:val="DCBA6B53"/>
    <w:multiLevelType w:val="singleLevel"/>
    <w:tmpl w:val="DCBA6B53"/>
    <w:lvl w:ilvl="0" w:tentative="0">
      <w:start w:val="5"/>
      <w:numFmt w:val="lowerRoman"/>
      <w:lvlText w:val="%1."/>
      <w:lvlJc w:val="left"/>
      <w:rPr>
        <w:color w:val="3370FF"/>
      </w:rPr>
    </w:lvl>
  </w:abstractNum>
  <w:abstractNum w:abstractNumId="18">
    <w:nsid w:val="E093A4B0"/>
    <w:multiLevelType w:val="singleLevel"/>
    <w:tmpl w:val="E093A4B0"/>
    <w:lvl w:ilvl="0" w:tentative="0">
      <w:start w:val="1"/>
      <w:numFmt w:val="lowerLetter"/>
      <w:lvlText w:val="%1."/>
      <w:lvlJc w:val="left"/>
      <w:rPr>
        <w:color w:val="3370FF"/>
      </w:rPr>
    </w:lvl>
  </w:abstractNum>
  <w:abstractNum w:abstractNumId="19">
    <w:nsid w:val="F4B5D9F5"/>
    <w:multiLevelType w:val="singleLevel"/>
    <w:tmpl w:val="F4B5D9F5"/>
    <w:lvl w:ilvl="0" w:tentative="0">
      <w:start w:val="3"/>
      <w:numFmt w:val="lowerRoman"/>
      <w:lvlText w:val="%1."/>
      <w:lvlJc w:val="left"/>
      <w:rPr>
        <w:color w:val="3370FF"/>
      </w:rPr>
    </w:lvl>
  </w:abstractNum>
  <w:abstractNum w:abstractNumId="20">
    <w:nsid w:val="F7735DC9"/>
    <w:multiLevelType w:val="singleLevel"/>
    <w:tmpl w:val="F7735DC9"/>
    <w:lvl w:ilvl="0" w:tentative="0">
      <w:start w:val="2"/>
      <w:numFmt w:val="decimal"/>
      <w:lvlText w:val="%1."/>
      <w:lvlJc w:val="left"/>
      <w:rPr>
        <w:color w:val="3370FF"/>
      </w:rPr>
    </w:lvl>
  </w:abstractNum>
  <w:abstractNum w:abstractNumId="21">
    <w:nsid w:val="0053208E"/>
    <w:multiLevelType w:val="singleLevel"/>
    <w:tmpl w:val="0053208E"/>
    <w:lvl w:ilvl="0" w:tentative="0">
      <w:start w:val="1"/>
      <w:numFmt w:val="decimal"/>
      <w:lvlText w:val="%1."/>
      <w:lvlJc w:val="left"/>
      <w:rPr>
        <w:color w:val="3370FF"/>
      </w:rPr>
    </w:lvl>
  </w:abstractNum>
  <w:abstractNum w:abstractNumId="22">
    <w:nsid w:val="0248C179"/>
    <w:multiLevelType w:val="singleLevel"/>
    <w:tmpl w:val="0248C179"/>
    <w:lvl w:ilvl="0" w:tentative="0">
      <w:start w:val="3"/>
      <w:numFmt w:val="lowerLetter"/>
      <w:lvlText w:val="%1."/>
      <w:lvlJc w:val="left"/>
      <w:rPr>
        <w:color w:val="3370FF"/>
      </w:rPr>
    </w:lvl>
  </w:abstractNum>
  <w:abstractNum w:abstractNumId="23">
    <w:nsid w:val="03D62ECE"/>
    <w:multiLevelType w:val="singleLevel"/>
    <w:tmpl w:val="03D62ECE"/>
    <w:lvl w:ilvl="0" w:tentative="0">
      <w:start w:val="4"/>
      <w:numFmt w:val="decimal"/>
      <w:lvlText w:val="%1."/>
      <w:lvlJc w:val="left"/>
      <w:rPr>
        <w:color w:val="3370FF"/>
      </w:rPr>
    </w:lvl>
  </w:abstractNum>
  <w:abstractNum w:abstractNumId="24">
    <w:nsid w:val="0E640482"/>
    <w:multiLevelType w:val="singleLevel"/>
    <w:tmpl w:val="0E640482"/>
    <w:lvl w:ilvl="0" w:tentative="0">
      <w:start w:val="7"/>
      <w:numFmt w:val="decimal"/>
      <w:lvlText w:val="%1."/>
      <w:lvlJc w:val="left"/>
      <w:rPr>
        <w:color w:val="3370FF"/>
      </w:rPr>
    </w:lvl>
  </w:abstractNum>
  <w:abstractNum w:abstractNumId="25">
    <w:nsid w:val="1ACDE60F"/>
    <w:multiLevelType w:val="singleLevel"/>
    <w:tmpl w:val="1ACDE60F"/>
    <w:lvl w:ilvl="0" w:tentative="0">
      <w:start w:val="2"/>
      <w:numFmt w:val="decimal"/>
      <w:lvlText w:val="%1."/>
      <w:lvlJc w:val="left"/>
      <w:rPr>
        <w:color w:val="3370FF"/>
      </w:rPr>
    </w:lvl>
  </w:abstractNum>
  <w:abstractNum w:abstractNumId="26">
    <w:nsid w:val="243FCF68"/>
    <w:multiLevelType w:val="singleLevel"/>
    <w:tmpl w:val="243FCF68"/>
    <w:lvl w:ilvl="0" w:tentative="0">
      <w:start w:val="1"/>
      <w:numFmt w:val="lowerLetter"/>
      <w:lvlText w:val="%1."/>
      <w:lvlJc w:val="left"/>
      <w:rPr>
        <w:color w:val="3370FF"/>
      </w:rPr>
    </w:lvl>
  </w:abstractNum>
  <w:abstractNum w:abstractNumId="27">
    <w:nsid w:val="2470EC97"/>
    <w:multiLevelType w:val="singleLevel"/>
    <w:tmpl w:val="2470EC97"/>
    <w:lvl w:ilvl="0" w:tentative="0">
      <w:start w:val="4"/>
      <w:numFmt w:val="lowerRoman"/>
      <w:lvlText w:val="%1."/>
      <w:lvlJc w:val="left"/>
      <w:rPr>
        <w:color w:val="3370FF"/>
      </w:rPr>
    </w:lvl>
  </w:abstractNum>
  <w:abstractNum w:abstractNumId="28">
    <w:nsid w:val="25B654F3"/>
    <w:multiLevelType w:val="singleLevel"/>
    <w:tmpl w:val="25B654F3"/>
    <w:lvl w:ilvl="0" w:tentative="0">
      <w:start w:val="1"/>
      <w:numFmt w:val="lowerLetter"/>
      <w:lvlText w:val="%1."/>
      <w:lvlJc w:val="left"/>
      <w:rPr>
        <w:color w:val="3370FF"/>
      </w:rPr>
    </w:lvl>
  </w:abstractNum>
  <w:abstractNum w:abstractNumId="29">
    <w:nsid w:val="2A8F537B"/>
    <w:multiLevelType w:val="singleLevel"/>
    <w:tmpl w:val="2A8F537B"/>
    <w:lvl w:ilvl="0" w:tentative="0">
      <w:start w:val="5"/>
      <w:numFmt w:val="decimal"/>
      <w:lvlText w:val="%1."/>
      <w:lvlJc w:val="left"/>
      <w:rPr>
        <w:color w:val="3370FF"/>
      </w:rPr>
    </w:lvl>
  </w:abstractNum>
  <w:abstractNum w:abstractNumId="30">
    <w:nsid w:val="30FC5B15"/>
    <w:multiLevelType w:val="singleLevel"/>
    <w:tmpl w:val="30FC5B15"/>
    <w:lvl w:ilvl="0" w:tentative="0">
      <w:start w:val="2"/>
      <w:numFmt w:val="lowerLetter"/>
      <w:lvlText w:val="%1."/>
      <w:lvlJc w:val="left"/>
      <w:rPr>
        <w:color w:val="3370FF"/>
      </w:rPr>
    </w:lvl>
  </w:abstractNum>
  <w:abstractNum w:abstractNumId="31">
    <w:nsid w:val="39A0D9AC"/>
    <w:multiLevelType w:val="singleLevel"/>
    <w:tmpl w:val="39A0D9AC"/>
    <w:lvl w:ilvl="0" w:tentative="0">
      <w:start w:val="2"/>
      <w:numFmt w:val="lowerRoman"/>
      <w:lvlText w:val="%1."/>
      <w:lvlJc w:val="left"/>
      <w:rPr>
        <w:color w:val="3370FF"/>
      </w:rPr>
    </w:lvl>
  </w:abstractNum>
  <w:abstractNum w:abstractNumId="32">
    <w:nsid w:val="46A08BB8"/>
    <w:multiLevelType w:val="singleLevel"/>
    <w:tmpl w:val="46A08BB8"/>
    <w:lvl w:ilvl="0" w:tentative="0">
      <w:start w:val="8"/>
      <w:numFmt w:val="decimal"/>
      <w:lvlText w:val="%1."/>
      <w:lvlJc w:val="left"/>
      <w:rPr>
        <w:color w:val="3370FF"/>
      </w:rPr>
    </w:lvl>
  </w:abstractNum>
  <w:abstractNum w:abstractNumId="33">
    <w:nsid w:val="4C1BAE26"/>
    <w:multiLevelType w:val="singleLevel"/>
    <w:tmpl w:val="4C1BAE26"/>
    <w:lvl w:ilvl="0" w:tentative="0">
      <w:start w:val="1"/>
      <w:numFmt w:val="lowerLetter"/>
      <w:lvlText w:val="%1."/>
      <w:lvlJc w:val="left"/>
      <w:rPr>
        <w:color w:val="3370FF"/>
      </w:rPr>
    </w:lvl>
  </w:abstractNum>
  <w:abstractNum w:abstractNumId="34">
    <w:nsid w:val="4C3D7A74"/>
    <w:multiLevelType w:val="singleLevel"/>
    <w:tmpl w:val="4C3D7A74"/>
    <w:lvl w:ilvl="0" w:tentative="0">
      <w:start w:val="3"/>
      <w:numFmt w:val="decimal"/>
      <w:lvlText w:val="%1."/>
      <w:lvlJc w:val="left"/>
      <w:rPr>
        <w:color w:val="3370FF"/>
      </w:rPr>
    </w:lvl>
  </w:abstractNum>
  <w:abstractNum w:abstractNumId="35">
    <w:nsid w:val="4D4DC07F"/>
    <w:multiLevelType w:val="singleLevel"/>
    <w:tmpl w:val="4D4DC07F"/>
    <w:lvl w:ilvl="0" w:tentative="0">
      <w:start w:val="2"/>
      <w:numFmt w:val="lowerRoman"/>
      <w:lvlText w:val="%1."/>
      <w:lvlJc w:val="left"/>
      <w:rPr>
        <w:color w:val="3370FF"/>
      </w:rPr>
    </w:lvl>
  </w:abstractNum>
  <w:abstractNum w:abstractNumId="36">
    <w:nsid w:val="4D94DA66"/>
    <w:multiLevelType w:val="singleLevel"/>
    <w:tmpl w:val="4D94DA66"/>
    <w:lvl w:ilvl="0" w:tentative="0">
      <w:start w:val="2"/>
      <w:numFmt w:val="lowerLetter"/>
      <w:lvlText w:val="%1."/>
      <w:lvlJc w:val="left"/>
      <w:rPr>
        <w:color w:val="3370FF"/>
      </w:rPr>
    </w:lvl>
  </w:abstractNum>
  <w:abstractNum w:abstractNumId="37">
    <w:nsid w:val="58765686"/>
    <w:multiLevelType w:val="singleLevel"/>
    <w:tmpl w:val="58765686"/>
    <w:lvl w:ilvl="0" w:tentative="0">
      <w:start w:val="3"/>
      <w:numFmt w:val="lowerLetter"/>
      <w:lvlText w:val="%1."/>
      <w:lvlJc w:val="left"/>
      <w:rPr>
        <w:color w:val="3370FF"/>
      </w:rPr>
    </w:lvl>
  </w:abstractNum>
  <w:abstractNum w:abstractNumId="38">
    <w:nsid w:val="59ADCABA"/>
    <w:multiLevelType w:val="singleLevel"/>
    <w:tmpl w:val="59ADCABA"/>
    <w:lvl w:ilvl="0" w:tentative="0">
      <w:start w:val="1"/>
      <w:numFmt w:val="lowerLetter"/>
      <w:lvlText w:val="%1."/>
      <w:lvlJc w:val="left"/>
      <w:rPr>
        <w:color w:val="3370FF"/>
      </w:rPr>
    </w:lvl>
  </w:abstractNum>
  <w:abstractNum w:abstractNumId="39">
    <w:nsid w:val="5A241D34"/>
    <w:multiLevelType w:val="singleLevel"/>
    <w:tmpl w:val="5A241D34"/>
    <w:lvl w:ilvl="0" w:tentative="0">
      <w:start w:val="1"/>
      <w:numFmt w:val="lowerLetter"/>
      <w:lvlText w:val="%1."/>
      <w:lvlJc w:val="left"/>
      <w:rPr>
        <w:color w:val="3370FF"/>
      </w:rPr>
    </w:lvl>
  </w:abstractNum>
  <w:abstractNum w:abstractNumId="40">
    <w:nsid w:val="5E29AB5A"/>
    <w:multiLevelType w:val="singleLevel"/>
    <w:tmpl w:val="5E29AB5A"/>
    <w:lvl w:ilvl="0" w:tentative="0">
      <w:start w:val="2"/>
      <w:numFmt w:val="lowerRoman"/>
      <w:lvlText w:val="%1."/>
      <w:lvlJc w:val="left"/>
      <w:rPr>
        <w:color w:val="3370FF"/>
      </w:rPr>
    </w:lvl>
  </w:abstractNum>
  <w:abstractNum w:abstractNumId="41">
    <w:nsid w:val="5FFFB1A7"/>
    <w:multiLevelType w:val="singleLevel"/>
    <w:tmpl w:val="5FFFB1A7"/>
    <w:lvl w:ilvl="0" w:tentative="0">
      <w:start w:val="1"/>
      <w:numFmt w:val="decimal"/>
      <w:lvlText w:val="%1."/>
      <w:lvlJc w:val="left"/>
      <w:rPr>
        <w:color w:val="3370FF"/>
      </w:rPr>
    </w:lvl>
  </w:abstractNum>
  <w:abstractNum w:abstractNumId="42">
    <w:nsid w:val="60382F6E"/>
    <w:multiLevelType w:val="singleLevel"/>
    <w:tmpl w:val="60382F6E"/>
    <w:lvl w:ilvl="0" w:tentative="0">
      <w:start w:val="2"/>
      <w:numFmt w:val="lowerLetter"/>
      <w:lvlText w:val="%1."/>
      <w:lvlJc w:val="left"/>
      <w:rPr>
        <w:color w:val="3370FF"/>
      </w:rPr>
    </w:lvl>
  </w:abstractNum>
  <w:abstractNum w:abstractNumId="43">
    <w:nsid w:val="629F7852"/>
    <w:multiLevelType w:val="singleLevel"/>
    <w:tmpl w:val="629F7852"/>
    <w:lvl w:ilvl="0" w:tentative="0">
      <w:start w:val="2"/>
      <w:numFmt w:val="lowerLetter"/>
      <w:lvlText w:val="%1."/>
      <w:lvlJc w:val="left"/>
      <w:rPr>
        <w:color w:val="3370FF"/>
      </w:rPr>
    </w:lvl>
  </w:abstractNum>
  <w:abstractNum w:abstractNumId="44">
    <w:nsid w:val="72183CF9"/>
    <w:multiLevelType w:val="singleLevel"/>
    <w:tmpl w:val="72183CF9"/>
    <w:lvl w:ilvl="0" w:tentative="0">
      <w:start w:val="2"/>
      <w:numFmt w:val="lowerLetter"/>
      <w:lvlText w:val="%1."/>
      <w:lvlJc w:val="left"/>
      <w:rPr>
        <w:color w:val="3370FF"/>
      </w:rPr>
    </w:lvl>
  </w:abstractNum>
  <w:abstractNum w:abstractNumId="45">
    <w:nsid w:val="74C28B35"/>
    <w:multiLevelType w:val="singleLevel"/>
    <w:tmpl w:val="74C28B35"/>
    <w:lvl w:ilvl="0" w:tentative="0">
      <w:start w:val="2"/>
      <w:numFmt w:val="decimal"/>
      <w:lvlText w:val="%1."/>
      <w:lvlJc w:val="left"/>
      <w:rPr>
        <w:color w:val="3370FF"/>
      </w:rPr>
    </w:lvl>
  </w:abstractNum>
  <w:abstractNum w:abstractNumId="46">
    <w:nsid w:val="77ECEA79"/>
    <w:multiLevelType w:val="singleLevel"/>
    <w:tmpl w:val="77ECEA79"/>
    <w:lvl w:ilvl="0" w:tentative="0">
      <w:start w:val="9"/>
      <w:numFmt w:val="decimal"/>
      <w:lvlText w:val="%1."/>
      <w:lvlJc w:val="left"/>
      <w:rPr>
        <w:color w:val="3370FF"/>
      </w:rPr>
    </w:lvl>
  </w:abstractNum>
  <w:abstractNum w:abstractNumId="47">
    <w:nsid w:val="79AA4FA4"/>
    <w:multiLevelType w:val="singleLevel"/>
    <w:tmpl w:val="79AA4FA4"/>
    <w:lvl w:ilvl="0" w:tentative="0">
      <w:start w:val="2"/>
      <w:numFmt w:val="lowerRoman"/>
      <w:lvlText w:val="%1."/>
      <w:lvlJc w:val="left"/>
      <w:rPr>
        <w:color w:val="3370FF"/>
      </w:rPr>
    </w:lvl>
  </w:abstractNum>
  <w:abstractNum w:abstractNumId="48">
    <w:nsid w:val="7C246926"/>
    <w:multiLevelType w:val="singleLevel"/>
    <w:tmpl w:val="7C246926"/>
    <w:lvl w:ilvl="0" w:tentative="0">
      <w:start w:val="2"/>
      <w:numFmt w:val="lowerLetter"/>
      <w:lvlText w:val="%1."/>
      <w:lvlJc w:val="left"/>
      <w:rPr>
        <w:color w:val="3370FF"/>
      </w:rPr>
    </w:lvl>
  </w:abstractNum>
  <w:abstractNum w:abstractNumId="49">
    <w:nsid w:val="7DEC2089"/>
    <w:multiLevelType w:val="singleLevel"/>
    <w:tmpl w:val="7DEC2089"/>
    <w:lvl w:ilvl="0" w:tentative="0">
      <w:start w:val="1"/>
      <w:numFmt w:val="lowerRoman"/>
      <w:lvlText w:val="%1."/>
      <w:lvlJc w:val="left"/>
      <w:rPr>
        <w:color w:val="3370FF"/>
      </w:rPr>
    </w:lvl>
  </w:abstractNum>
  <w:num w:numId="1">
    <w:abstractNumId w:val="21"/>
  </w:num>
  <w:num w:numId="2">
    <w:abstractNumId w:val="15"/>
  </w:num>
  <w:num w:numId="3">
    <w:abstractNumId w:val="38"/>
  </w:num>
  <w:num w:numId="4">
    <w:abstractNumId w:val="13"/>
  </w:num>
  <w:num w:numId="5">
    <w:abstractNumId w:val="9"/>
  </w:num>
  <w:num w:numId="6">
    <w:abstractNumId w:val="23"/>
  </w:num>
  <w:num w:numId="7">
    <w:abstractNumId w:val="28"/>
  </w:num>
  <w:num w:numId="8">
    <w:abstractNumId w:val="44"/>
  </w:num>
  <w:num w:numId="9">
    <w:abstractNumId w:val="22"/>
  </w:num>
  <w:num w:numId="10">
    <w:abstractNumId w:val="5"/>
  </w:num>
  <w:num w:numId="11">
    <w:abstractNumId w:val="29"/>
  </w:num>
  <w:num w:numId="12">
    <w:abstractNumId w:val="39"/>
  </w:num>
  <w:num w:numId="13">
    <w:abstractNumId w:val="14"/>
  </w:num>
  <w:num w:numId="14">
    <w:abstractNumId w:val="35"/>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2"/>
  </w:num>
  <w:num w:numId="22">
    <w:abstractNumId w:val="24"/>
  </w:num>
  <w:num w:numId="23">
    <w:abstractNumId w:val="32"/>
  </w:num>
  <w:num w:numId="24">
    <w:abstractNumId w:val="8"/>
  </w:num>
  <w:num w:numId="25">
    <w:abstractNumId w:val="48"/>
  </w:num>
  <w:num w:numId="26">
    <w:abstractNumId w:val="46"/>
  </w:num>
  <w:num w:numId="27">
    <w:abstractNumId w:val="12"/>
  </w:num>
  <w:num w:numId="28">
    <w:abstractNumId w:val="43"/>
  </w:num>
  <w:num w:numId="29">
    <w:abstractNumId w:val="6"/>
  </w:num>
  <w:num w:numId="30">
    <w:abstractNumId w:val="31"/>
  </w:num>
  <w:num w:numId="31">
    <w:abstractNumId w:val="2"/>
  </w:num>
  <w:num w:numId="32">
    <w:abstractNumId w:val="37"/>
  </w:num>
  <w:num w:numId="33">
    <w:abstractNumId w:val="49"/>
  </w:num>
  <w:num w:numId="34">
    <w:abstractNumId w:val="0"/>
  </w:num>
  <w:num w:numId="35">
    <w:abstractNumId w:val="26"/>
  </w:num>
  <w:num w:numId="36">
    <w:abstractNumId w:val="36"/>
  </w:num>
  <w:num w:numId="37">
    <w:abstractNumId w:val="20"/>
  </w:num>
  <w:num w:numId="38">
    <w:abstractNumId w:val="18"/>
  </w:num>
  <w:num w:numId="39">
    <w:abstractNumId w:val="30"/>
  </w:num>
  <w:num w:numId="40">
    <w:abstractNumId w:val="47"/>
  </w:num>
  <w:num w:numId="41">
    <w:abstractNumId w:val="11"/>
  </w:num>
  <w:num w:numId="42">
    <w:abstractNumId w:val="4"/>
  </w:num>
  <w:num w:numId="43">
    <w:abstractNumId w:val="10"/>
  </w:num>
  <w:num w:numId="44">
    <w:abstractNumId w:val="40"/>
  </w:num>
  <w:num w:numId="45">
    <w:abstractNumId w:val="1"/>
  </w:num>
  <w:num w:numId="46">
    <w:abstractNumId w:val="25"/>
  </w:num>
  <w:num w:numId="47">
    <w:abstractNumId w:val="3"/>
  </w:num>
  <w:num w:numId="48">
    <w:abstractNumId w:val="41"/>
  </w:num>
  <w:num w:numId="49">
    <w:abstractNumId w:val="45"/>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compat>
    <w:useFELayout/>
    <w:splitPgBreakAndParaMark/>
    <w:compatSetting w:name="compatibilityMode" w:uri="http://schemas.microsoft.com/office/word" w:val="12"/>
  </w:compat>
  <w:rsids>
    <w:rsidRoot w:val="00000000"/>
    <w:rsid w:val="0CEB6A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5832</Words>
  <Characters>6488</Characters>
  <TotalTime>0</TotalTime>
  <ScaleCrop>false</ScaleCrop>
  <LinksUpToDate>false</LinksUpToDate>
  <CharactersWithSpaces>6518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2026-03-17T15:45:00Z</dcterms:created>
  <dc:creator>Apache POI</dc:creator>
  <cp:lastModifiedBy>WPS_1615513796</cp:lastModifiedBy>
  <dcterms:modified xsi:type="dcterms:W3CDTF">2026-03-17T15:46:04Z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eyJoZGlkIjoiOGJlYzE3NTBiMjgwZWVhNDBjZTQxZDE5MjhkOTYwNWYiLCJ1c2VySWQiOiIxMTgwMTE5MzYwIn0=</vt:lpwstr>
  </property>
  <property fmtid="{D5CDD505-2E9C-101B-9397-08002B2CF9AE}" pid="3" name="KSOProductBuildVer">
    <vt:lpwstr>2052-12.1.0.25225</vt:lpwstr>
  </property>
  <property fmtid="{D5CDD505-2E9C-101B-9397-08002B2CF9AE}" pid="4" name="ICV">
    <vt:lpwstr>CC8C432D07B74B9E95C0663AEDD5E7F1_12</vt:lpwstr>
  </property>
</Properties>
</file>