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9C9DF">
      <w:pPr>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法律条文问答助手Agent</w:t>
      </w:r>
    </w:p>
    <w:p w14:paraId="60C1B1ED">
      <w:pPr>
        <w:numPr>
          <w:ilvl w:val="0"/>
          <w:numId w:val="1"/>
        </w:numPr>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产品概述</w:t>
      </w:r>
    </w:p>
    <w:p w14:paraId="0F5B98B9">
      <w:pPr>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sz w:val="24"/>
          <w:szCs w:val="24"/>
        </w:rPr>
        <w:t>这款法律查询助手旨在为用户提供</w:t>
      </w:r>
      <w:r>
        <w:rPr>
          <w:rFonts w:hint="eastAsia" w:ascii="仿宋" w:hAnsi="仿宋" w:eastAsia="仿宋" w:cs="仿宋"/>
          <w:b/>
          <w:bCs/>
          <w:sz w:val="24"/>
          <w:szCs w:val="24"/>
        </w:rPr>
        <w:t>精准、即时的法律条文检索与解释</w:t>
      </w:r>
      <w:r>
        <w:rPr>
          <w:rFonts w:hint="eastAsia" w:ascii="仿宋" w:hAnsi="仿宋" w:eastAsia="仿宋" w:cs="仿宋"/>
          <w:sz w:val="24"/>
          <w:szCs w:val="24"/>
        </w:rPr>
        <w:t>服务。它有效解决了法律文本晦涩难懂、检索效率低以及非专业人士难以精准定位适用法条的困扰。</w:t>
      </w:r>
      <w:r>
        <w:rPr>
          <w:rFonts w:hint="eastAsia" w:ascii="仿宋" w:hAnsi="仿宋" w:eastAsia="仿宋" w:cs="仿宋"/>
          <w:sz w:val="24"/>
          <w:szCs w:val="24"/>
          <w:lang w:val="en-US" w:eastAsia="zh-CN"/>
        </w:rPr>
        <w:t>其核心价值为</w:t>
      </w:r>
      <w:r>
        <w:rPr>
          <w:rFonts w:hint="eastAsia" w:ascii="仿宋" w:hAnsi="仿宋" w:eastAsia="仿宋" w:cs="仿宋"/>
          <w:sz w:val="24"/>
          <w:szCs w:val="24"/>
        </w:rPr>
        <w:t>通过自然语言交互，将复杂的法律库转化为通俗易懂的行动建议，显著降低法律咨询的门槛与成本。</w:t>
      </w:r>
    </w:p>
    <w:p w14:paraId="226C1355">
      <w:pPr>
        <w:numPr>
          <w:ilvl w:val="0"/>
          <w:numId w:val="1"/>
        </w:numPr>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用户调研</w:t>
      </w:r>
    </w:p>
    <w:p w14:paraId="48EB0586">
      <w:pPr>
        <w:numPr>
          <w:ilvl w:val="0"/>
          <w:numId w:val="0"/>
        </w:numPr>
        <w:ind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1.调研人群：</w:t>
      </w:r>
    </w:p>
    <w:p w14:paraId="401B971D">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此产品主要提供给需要在日常生活中查询法律条文的用户使用，所以用户行业范围的广度更为重要，为此挑选了20名来自数个不同行业的用户，通过问卷的方式调查其对此类产品可能的使用场景，使用频率和具体诉求。具体数据详见表《用户调研》。</w:t>
      </w:r>
    </w:p>
    <w:p w14:paraId="19C312B4">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object>
          <v:shape id="_x0000_i1025" o:spt="75" type="#_x0000_t75" style="height:65.5pt;width:72.5pt;" o:ole="t" filled="f" o:preferrelative="t" stroked="f" coordsize="21600,21600">
            <v:path/>
            <v:fill on="f" focussize="0,0"/>
            <v:stroke on="f"/>
            <v:imagedata r:id="rId5" o:title=""/>
            <o:lock v:ext="edit" aspectratio="t"/>
            <w10:wrap type="none"/>
            <w10:anchorlock/>
          </v:shape>
          <o:OLEObject Type="Embed" ProgID="Excel.Sheet.12" ShapeID="_x0000_i1025" DrawAspect="Icon" ObjectID="_1468075725" r:id="rId4">
            <o:LockedField>false</o:LockedField>
          </o:OLEObject>
        </w:object>
      </w:r>
    </w:p>
    <w:p w14:paraId="1256E92F">
      <w:pPr>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2.调研总结</w:t>
      </w:r>
      <w:r>
        <w:rPr>
          <w:rFonts w:hint="eastAsia" w:ascii="仿宋" w:hAnsi="仿宋" w:eastAsia="仿宋" w:cs="仿宋"/>
          <w:b w:val="0"/>
          <w:bCs w:val="0"/>
          <w:sz w:val="24"/>
          <w:szCs w:val="24"/>
          <w:lang w:val="en-US" w:eastAsia="zh-CN"/>
        </w:rPr>
        <w:t>：</w:t>
      </w:r>
    </w:p>
    <w:p w14:paraId="4202508B">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color w:val="FF0000"/>
          <w:sz w:val="24"/>
          <w:szCs w:val="24"/>
          <w:lang w:val="en-US" w:eastAsia="zh-CN"/>
        </w:rPr>
        <w:t>使用情景方面</w:t>
      </w:r>
      <w:r>
        <w:rPr>
          <w:rFonts w:hint="eastAsia" w:ascii="仿宋" w:hAnsi="仿宋" w:eastAsia="仿宋" w:cs="仿宋"/>
          <w:b w:val="0"/>
          <w:bCs w:val="0"/>
          <w:sz w:val="24"/>
          <w:szCs w:val="24"/>
          <w:lang w:val="en-US" w:eastAsia="zh-CN"/>
        </w:rPr>
        <w:t>，处理日常突发情况时使用助手是最高频的选择，应对劳动纠纷也比较高频，而消费纠纷、房屋租赁场景需求较小，商业合规性和家庭事务的选择最少。</w:t>
      </w:r>
    </w:p>
    <w:p w14:paraId="5E29FD99">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color w:val="FF0000"/>
          <w:sz w:val="24"/>
          <w:szCs w:val="24"/>
          <w:lang w:val="en-US" w:eastAsia="zh-CN"/>
        </w:rPr>
        <w:t>回答内容方面</w:t>
      </w:r>
      <w:r>
        <w:rPr>
          <w:rFonts w:hint="eastAsia" w:ascii="仿宋" w:hAnsi="仿宋" w:eastAsia="仿宋" w:cs="仿宋"/>
          <w:b w:val="0"/>
          <w:bCs w:val="0"/>
          <w:sz w:val="24"/>
          <w:szCs w:val="24"/>
          <w:lang w:val="en-US" w:eastAsia="zh-CN"/>
        </w:rPr>
        <w:t>，大多数人对于此产品的使用需求为用</w:t>
      </w:r>
      <w:r>
        <w:rPr>
          <w:rFonts w:hint="eastAsia" w:ascii="仿宋" w:hAnsi="仿宋" w:eastAsia="仿宋" w:cs="仿宋"/>
          <w:b/>
          <w:bCs/>
          <w:sz w:val="24"/>
          <w:szCs w:val="24"/>
          <w:lang w:val="en-US" w:eastAsia="zh-CN"/>
        </w:rPr>
        <w:t>大白话解释法律条文</w:t>
      </w:r>
      <w:r>
        <w:rPr>
          <w:rFonts w:hint="eastAsia" w:ascii="仿宋" w:hAnsi="仿宋" w:eastAsia="仿宋" w:cs="仿宋"/>
          <w:b w:val="0"/>
          <w:bCs w:val="0"/>
          <w:sz w:val="24"/>
          <w:szCs w:val="24"/>
          <w:lang w:val="en-US" w:eastAsia="zh-CN"/>
        </w:rPr>
        <w:t>，所以在生成问题时让大模型用通俗易懂的话语描述法律条文的优先级非常高。除此之外，针对对方的行为分析是否违法也占有很高的选择率，因此我们还应注意对于主题</w:t>
      </w:r>
      <w:r>
        <w:rPr>
          <w:rFonts w:hint="eastAsia" w:ascii="仿宋" w:hAnsi="仿宋" w:eastAsia="仿宋" w:cs="仿宋"/>
          <w:b/>
          <w:bCs/>
          <w:sz w:val="24"/>
          <w:szCs w:val="24"/>
          <w:lang w:val="en-US" w:eastAsia="zh-CN"/>
        </w:rPr>
        <w:t>问题的分析与解决方案</w:t>
      </w:r>
      <w:r>
        <w:rPr>
          <w:rFonts w:hint="eastAsia" w:ascii="仿宋" w:hAnsi="仿宋" w:eastAsia="仿宋" w:cs="仿宋"/>
          <w:b w:val="0"/>
          <w:bCs w:val="0"/>
          <w:sz w:val="24"/>
          <w:szCs w:val="24"/>
          <w:lang w:val="en-US" w:eastAsia="zh-CN"/>
        </w:rPr>
        <w:t>，提供解决方案时需重点关注安全性，</w:t>
      </w:r>
      <w:r>
        <w:rPr>
          <w:rFonts w:hint="eastAsia" w:ascii="仿宋" w:hAnsi="仿宋" w:eastAsia="仿宋" w:cs="仿宋"/>
          <w:b/>
          <w:bCs/>
          <w:sz w:val="24"/>
          <w:szCs w:val="24"/>
          <w:lang w:val="en-US" w:eastAsia="zh-CN"/>
        </w:rPr>
        <w:t>严禁出现越界建议</w:t>
      </w:r>
      <w:r>
        <w:rPr>
          <w:rFonts w:hint="eastAsia" w:ascii="仿宋" w:hAnsi="仿宋" w:eastAsia="仿宋" w:cs="仿宋"/>
          <w:b w:val="0"/>
          <w:bCs w:val="0"/>
          <w:sz w:val="24"/>
          <w:szCs w:val="24"/>
          <w:lang w:val="en-US" w:eastAsia="zh-CN"/>
        </w:rPr>
        <w:t>。根据调查，仅有寥寥几人选择需要提供法律条文，故这点作为锚点必定出现，但优先级可后调。至于提供相似的例子并没有人选，说明法律情景具有一定的独特性，多数人不倾向于根据相似的案例推断自己的情况。</w:t>
      </w:r>
    </w:p>
    <w:p w14:paraId="6FC7E077">
      <w:pPr>
        <w:numPr>
          <w:ilvl w:val="0"/>
          <w:numId w:val="0"/>
        </w:numPr>
        <w:ind w:left="420" w:leftChars="0" w:firstLine="420" w:firstLineChars="0"/>
        <w:jc w:val="left"/>
        <w:rPr>
          <w:rFonts w:hint="eastAsia"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FF0000"/>
          <w:sz w:val="24"/>
          <w:szCs w:val="24"/>
          <w:lang w:val="en-US" w:eastAsia="zh-CN"/>
        </w:rPr>
        <w:t>使用频率方面：</w:t>
      </w:r>
      <w:r>
        <w:rPr>
          <w:rFonts w:hint="eastAsia" w:ascii="仿宋" w:hAnsi="仿宋" w:eastAsia="仿宋" w:cs="仿宋"/>
          <w:b w:val="0"/>
          <w:bCs w:val="0"/>
          <w:color w:val="000000" w:themeColor="text1"/>
          <w:sz w:val="24"/>
          <w:szCs w:val="24"/>
          <w:lang w:val="en-US" w:eastAsia="zh-CN"/>
          <w14:textFill>
            <w14:solidFill>
              <w14:schemeClr w14:val="tx1"/>
            </w14:solidFill>
          </w14:textFill>
        </w:rPr>
        <w:t>超过半数的人选择在</w:t>
      </w:r>
      <w:r>
        <w:rPr>
          <w:rFonts w:hint="eastAsia" w:ascii="仿宋" w:hAnsi="仿宋" w:eastAsia="仿宋" w:cs="仿宋"/>
          <w:b/>
          <w:bCs/>
          <w:color w:val="000000" w:themeColor="text1"/>
          <w:sz w:val="24"/>
          <w:szCs w:val="24"/>
          <w:lang w:val="en-US" w:eastAsia="zh-CN"/>
          <w14:textFill>
            <w14:solidFill>
              <w14:schemeClr w14:val="tx1"/>
            </w14:solidFill>
          </w14:textFill>
        </w:rPr>
        <w:t>突发情况时有需要才使用</w:t>
      </w:r>
      <w:r>
        <w:rPr>
          <w:rFonts w:hint="eastAsia" w:ascii="仿宋" w:hAnsi="仿宋" w:eastAsia="仿宋" w:cs="仿宋"/>
          <w:b w:val="0"/>
          <w:bCs w:val="0"/>
          <w:color w:val="000000" w:themeColor="text1"/>
          <w:sz w:val="24"/>
          <w:szCs w:val="24"/>
          <w:lang w:val="en-US" w:eastAsia="zh-CN"/>
          <w14:textFill>
            <w14:solidFill>
              <w14:schemeClr w14:val="tx1"/>
            </w14:solidFill>
          </w14:textFill>
        </w:rPr>
        <w:t>，剩下的选择里每周使用和每月1~2次使用各占约一半。选择突发情况使用的大多为一般大众，工作内容和法律条例关联性很低。</w:t>
      </w:r>
      <w:r>
        <w:rPr>
          <w:rFonts w:hint="eastAsia" w:ascii="仿宋" w:hAnsi="仿宋" w:eastAsia="仿宋" w:cs="仿宋"/>
          <w:b/>
          <w:bCs/>
          <w:color w:val="000000" w:themeColor="text1"/>
          <w:sz w:val="24"/>
          <w:szCs w:val="24"/>
          <w:lang w:val="en-US" w:eastAsia="zh-CN"/>
          <w14:textFill>
            <w14:solidFill>
              <w14:schemeClr w14:val="tx1"/>
            </w14:solidFill>
          </w14:textFill>
        </w:rPr>
        <w:t>每月使用1~2次的人群</w:t>
      </w:r>
      <w:r>
        <w:rPr>
          <w:rFonts w:hint="eastAsia" w:ascii="仿宋" w:hAnsi="仿宋" w:eastAsia="仿宋" w:cs="仿宋"/>
          <w:b w:val="0"/>
          <w:bCs w:val="0"/>
          <w:color w:val="000000" w:themeColor="text1"/>
          <w:sz w:val="24"/>
          <w:szCs w:val="24"/>
          <w:lang w:val="en-US" w:eastAsia="zh-CN"/>
          <w14:textFill>
            <w14:solidFill>
              <w14:schemeClr w14:val="tx1"/>
            </w14:solidFill>
          </w14:textFill>
        </w:rPr>
        <w:t>来自工业设计、互联网等背景，这部分人群的日常工作和法律法规存在一定的相关性，有一定的日常查询需求。</w:t>
      </w:r>
      <w:r>
        <w:rPr>
          <w:rFonts w:hint="eastAsia" w:ascii="仿宋" w:hAnsi="仿宋" w:eastAsia="仿宋" w:cs="仿宋"/>
          <w:b/>
          <w:bCs/>
          <w:color w:val="000000" w:themeColor="text1"/>
          <w:sz w:val="24"/>
          <w:szCs w:val="24"/>
          <w:lang w:val="en-US" w:eastAsia="zh-CN"/>
          <w14:textFill>
            <w14:solidFill>
              <w14:schemeClr w14:val="tx1"/>
            </w14:solidFill>
          </w14:textFill>
        </w:rPr>
        <w:t>每周使用的人群占比最少</w:t>
      </w:r>
      <w:r>
        <w:rPr>
          <w:rFonts w:hint="eastAsia" w:ascii="仿宋" w:hAnsi="仿宋" w:eastAsia="仿宋" w:cs="仿宋"/>
          <w:b w:val="0"/>
          <w:bCs w:val="0"/>
          <w:color w:val="000000" w:themeColor="text1"/>
          <w:sz w:val="24"/>
          <w:szCs w:val="24"/>
          <w:lang w:val="en-US" w:eastAsia="zh-CN"/>
          <w14:textFill>
            <w14:solidFill>
              <w14:schemeClr w14:val="tx1"/>
            </w14:solidFill>
          </w14:textFill>
        </w:rPr>
        <w:t>，他们来自金融、安全、事业单位以及法律背景，他们的工作和法律法规有紧密的联系，查询法条是他们的常态化工作内容。</w:t>
      </w:r>
    </w:p>
    <w:p w14:paraId="5F31E407">
      <w:pPr>
        <w:numPr>
          <w:ilvl w:val="0"/>
          <w:numId w:val="0"/>
        </w:numPr>
        <w:ind w:left="420" w:leftChars="0" w:firstLine="420" w:firstLineChars="0"/>
        <w:jc w:val="left"/>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eastAsia" w:ascii="仿宋" w:hAnsi="仿宋" w:eastAsia="仿宋" w:cs="仿宋"/>
          <w:b w:val="0"/>
          <w:bCs w:val="0"/>
          <w:color w:val="FF0000"/>
          <w:sz w:val="24"/>
          <w:szCs w:val="24"/>
          <w:lang w:val="en-US" w:eastAsia="zh-CN"/>
        </w:rPr>
        <w:t>用户痛点方面</w:t>
      </w:r>
      <w:r>
        <w:rPr>
          <w:rFonts w:hint="eastAsia" w:ascii="仿宋" w:hAnsi="仿宋" w:eastAsia="仿宋" w:cs="仿宋"/>
          <w:b w:val="0"/>
          <w:bCs w:val="0"/>
          <w:color w:val="000000" w:themeColor="text1"/>
          <w:sz w:val="24"/>
          <w:szCs w:val="24"/>
          <w:lang w:val="en-US" w:eastAsia="zh-CN"/>
          <w14:textFill>
            <w14:solidFill>
              <w14:schemeClr w14:val="tx1"/>
            </w14:solidFill>
          </w14:textFill>
        </w:rPr>
        <w:t>：一部分认为纯粹的法律条文晦涩难懂，模型回答时应减少专业术语的运用，对于法条和当前情景做简要解释。另一部分人认为当前的法律查询数据混乱，容易混淆过期内容。模型回答时要引用最新知识库，所以知识库的日常维护十分重要。还有一小部分的问题是搜索内容太多抓不住重点，模型回答时采用</w:t>
      </w:r>
      <w:r>
        <w:rPr>
          <w:rFonts w:hint="eastAsia" w:ascii="仿宋" w:hAnsi="仿宋" w:eastAsia="仿宋" w:cs="仿宋"/>
          <w:b/>
          <w:bCs/>
          <w:color w:val="000000" w:themeColor="text1"/>
          <w:sz w:val="24"/>
          <w:szCs w:val="24"/>
          <w:lang w:val="en-US" w:eastAsia="zh-CN"/>
          <w14:textFill>
            <w14:solidFill>
              <w14:schemeClr w14:val="tx1"/>
            </w14:solidFill>
          </w14:textFill>
        </w:rPr>
        <w:t>三段式回答</w:t>
      </w:r>
      <w:r>
        <w:rPr>
          <w:rFonts w:hint="eastAsia" w:ascii="仿宋" w:hAnsi="仿宋" w:eastAsia="仿宋" w:cs="仿宋"/>
          <w:b w:val="0"/>
          <w:bCs w:val="0"/>
          <w:color w:val="000000" w:themeColor="text1"/>
          <w:sz w:val="24"/>
          <w:szCs w:val="24"/>
          <w:lang w:val="en-US" w:eastAsia="zh-CN"/>
          <w14:textFill>
            <w14:solidFill>
              <w14:schemeClr w14:val="tx1"/>
            </w14:solidFill>
          </w14:textFill>
        </w:rPr>
        <w:t>，最开始引用法条，罗列涉及到的法律法规，第二部分进行一定的解释与补充，最后补充行为指导，让用户有清晰的认知。</w:t>
      </w:r>
    </w:p>
    <w:p w14:paraId="244B5745">
      <w:pPr>
        <w:numPr>
          <w:ilvl w:val="0"/>
          <w:numId w:val="1"/>
        </w:numPr>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竞品调研</w:t>
      </w:r>
      <w:bookmarkStart w:id="0" w:name="_GoBack"/>
      <w:bookmarkEnd w:id="0"/>
    </w:p>
    <w:p w14:paraId="4BC8229A">
      <w:pPr>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为了调查市场上对于此类产品的需求，解决瞄准方向和市场情况，我们选择了两种竞品作为分析对象。直接竞品为法智，一款针对法律方向的AI助手（同花顺开发）。简介竞品为豆包大模型（字节跳动开发）。我们通过使用十五个相同的Query，测试了两款软件的使用性能，详见表《竞品调研-法智与豆包回答对比》：</w:t>
      </w:r>
    </w:p>
    <w:p w14:paraId="764FFD3D">
      <w:pPr>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8"/>
          <w:szCs w:val="28"/>
          <w:lang w:val="en-US" w:eastAsia="zh-CN"/>
        </w:rPr>
        <w:fldChar w:fldCharType="begin"/>
      </w:r>
      <w:r>
        <w:rPr>
          <w:rFonts w:hint="eastAsia" w:ascii="仿宋" w:hAnsi="仿宋" w:eastAsia="仿宋" w:cs="仿宋"/>
          <w:b w:val="0"/>
          <w:bCs w:val="0"/>
          <w:sz w:val="28"/>
          <w:szCs w:val="28"/>
          <w:lang w:val="en-US" w:eastAsia="zh-CN"/>
        </w:rPr>
        <w:instrText xml:space="preserve"> HYPERLINK "竞品调研-法智与豆包回答对比.xlsx" </w:instrText>
      </w:r>
      <w:r>
        <w:rPr>
          <w:rFonts w:hint="eastAsia" w:ascii="仿宋" w:hAnsi="仿宋" w:eastAsia="仿宋" w:cs="仿宋"/>
          <w:b w:val="0"/>
          <w:bCs w:val="0"/>
          <w:sz w:val="28"/>
          <w:szCs w:val="28"/>
          <w:lang w:val="en-US" w:eastAsia="zh-CN"/>
        </w:rPr>
        <w:fldChar w:fldCharType="separate"/>
      </w:r>
      <w:r>
        <w:rPr>
          <w:rFonts w:hint="eastAsia" w:ascii="仿宋" w:hAnsi="仿宋" w:eastAsia="仿宋" w:cs="仿宋"/>
          <w:b w:val="0"/>
          <w:bCs w:val="0"/>
          <w:sz w:val="28"/>
          <w:szCs w:val="28"/>
          <w:lang w:val="en-US" w:eastAsia="zh-CN"/>
        </w:rPr>
        <w:object>
          <v:shape id="_x0000_i1026" o:spt="75" type="#_x0000_t75" style="height:65.5pt;width:72.5pt;" o:ole="t" filled="f" o:preferrelative="t" stroked="f" coordsize="21600,21600">
            <v:path/>
            <v:fill on="f" focussize="0,0"/>
            <v:stroke on="f"/>
            <v:imagedata r:id="rId7" o:title=""/>
            <o:lock v:ext="edit" aspectratio="t"/>
            <w10:wrap type="none"/>
            <w10:anchorlock/>
          </v:shape>
          <o:OLEObject Type="Embed" ProgID="Excel.Sheet.12" ShapeID="_x0000_i1026" DrawAspect="Icon" ObjectID="_1468075726" r:id="rId6">
            <o:LockedField>false</o:LockedField>
          </o:OLEObject>
        </w:object>
      </w:r>
      <w:r>
        <w:rPr>
          <w:rFonts w:hint="eastAsia" w:ascii="仿宋" w:hAnsi="仿宋" w:eastAsia="仿宋" w:cs="仿宋"/>
          <w:b w:val="0"/>
          <w:bCs w:val="0"/>
          <w:sz w:val="28"/>
          <w:szCs w:val="28"/>
          <w:lang w:val="en-US" w:eastAsia="zh-CN"/>
        </w:rPr>
        <w:fldChar w:fldCharType="end"/>
      </w:r>
    </w:p>
    <w:p w14:paraId="4D433D46">
      <w:pPr>
        <w:numPr>
          <w:ilvl w:val="0"/>
          <w:numId w:val="1"/>
        </w:numPr>
        <w:ind w:left="0" w:leftChars="0" w:firstLine="0" w:firstLineChars="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理想态定义</w:t>
      </w:r>
    </w:p>
    <w:p w14:paraId="23A244AF">
      <w:pPr>
        <w:numPr>
          <w:ilvl w:val="0"/>
          <w:numId w:val="2"/>
        </w:numPr>
        <w:ind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使用场景①：</w:t>
      </w:r>
    </w:p>
    <w:p w14:paraId="3AB45657">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构成要件与归责——</w:t>
      </w:r>
      <w:r>
        <w:rPr>
          <w:rFonts w:hint="eastAsia" w:ascii="仿宋" w:hAnsi="仿宋" w:eastAsia="仿宋" w:cs="仿宋"/>
          <w:sz w:val="24"/>
          <w:szCs w:val="24"/>
        </w:rPr>
        <w:t>针对用户明确的法律争议点，系统需像手术刀一般，迅速从现行法律法规中定位并提取出对应的具体条、款、项原文。</w:t>
      </w:r>
    </w:p>
    <w:p w14:paraId="115CC031">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理想态回答：</w:t>
      </w:r>
      <w:r>
        <w:rPr>
          <w:rFonts w:hint="eastAsia" w:ascii="仿宋" w:hAnsi="仿宋" w:eastAsia="仿宋" w:cs="仿宋"/>
          <w:sz w:val="24"/>
          <w:szCs w:val="24"/>
        </w:rPr>
        <w:t>绝不绕弯子，首句即直接亮出核心法条的编号与原文。对于专业用户而言，法条本身就是最好的回答，无需过多的前置铺垫。</w:t>
      </w:r>
    </w:p>
    <w:p w14:paraId="4B3B73F3">
      <w:pPr>
        <w:numPr>
          <w:ilvl w:val="0"/>
          <w:numId w:val="2"/>
        </w:numPr>
        <w:ind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使用场景②：</w:t>
      </w:r>
    </w:p>
    <w:p w14:paraId="75755762">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法条精准检索——</w:t>
      </w:r>
      <w:r>
        <w:rPr>
          <w:rFonts w:hint="eastAsia" w:ascii="仿宋" w:hAnsi="仿宋" w:eastAsia="仿宋" w:cs="仿宋"/>
          <w:sz w:val="24"/>
          <w:szCs w:val="24"/>
        </w:rPr>
        <w:t>针对法律实务中存在争议、歧义或边界模糊的法定术语（如“孳息”与“投资收益”），结合法条与法理进行严谨的内涵与外延界定。</w:t>
      </w:r>
    </w:p>
    <w:p w14:paraId="7E5EA283">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理想态回答：</w:t>
      </w:r>
      <w:r>
        <w:rPr>
          <w:rFonts w:hint="eastAsia" w:ascii="仿宋" w:hAnsi="仿宋" w:eastAsia="仿宋" w:cs="仿宋"/>
          <w:sz w:val="24"/>
          <w:szCs w:val="24"/>
        </w:rPr>
        <w:t>能够精准抓住概念的核心特征进行释明。理想状态下，能指出该概念在司法实践中的认定标准，并清晰地将其与容易混淆的相似概念区分开来。</w:t>
      </w:r>
    </w:p>
    <w:p w14:paraId="33A3E672">
      <w:pPr>
        <w:numPr>
          <w:ilvl w:val="0"/>
          <w:numId w:val="2"/>
        </w:numPr>
        <w:ind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使用场景③：</w:t>
      </w:r>
    </w:p>
    <w:p w14:paraId="0476CD59">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规则冲突与适用——</w:t>
      </w:r>
      <w:r>
        <w:rPr>
          <w:rFonts w:hint="eastAsia" w:ascii="仿宋" w:hAnsi="仿宋" w:eastAsia="仿宋" w:cs="仿宋"/>
          <w:sz w:val="24"/>
          <w:szCs w:val="24"/>
        </w:rPr>
        <w:t>针对特定事实，系统需将复杂的法条拆解为某项法律责任成立所必须具备的各项独立法定要件，并指出归责原则或抗辩事由。</w:t>
      </w:r>
    </w:p>
    <w:p w14:paraId="6AF64D73">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sz w:val="24"/>
          <w:szCs w:val="24"/>
          <w:lang w:val="en-US" w:eastAsia="zh-CN"/>
        </w:rPr>
        <w:t>理想态回答：</w:t>
      </w:r>
      <w:r>
        <w:rPr>
          <w:rFonts w:hint="eastAsia" w:ascii="仿宋" w:hAnsi="仿宋" w:eastAsia="仿宋" w:cs="仿宋"/>
          <w:sz w:val="24"/>
          <w:szCs w:val="24"/>
        </w:rPr>
        <w:t>将大段的法条文字转化为逻辑清晰的“清单式”要件（如：主体要件、主观过错、因果关系等）。方便专业人士直接拿着这份清单去比对案件事实和组织证据。</w:t>
      </w:r>
    </w:p>
    <w:p w14:paraId="730A4D7D">
      <w:pPr>
        <w:numPr>
          <w:ilvl w:val="0"/>
          <w:numId w:val="2"/>
        </w:numPr>
        <w:ind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使用场景④：</w:t>
      </w:r>
    </w:p>
    <w:p w14:paraId="15A7374C">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法律概念界定——当面临一般法与特别法、原则与例外、或者多重法律关系竞合时，系统需指明正确的法律适用顺位。</w:t>
      </w:r>
    </w:p>
    <w:p w14:paraId="08BB5C8F">
      <w:pPr>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理想态回答：能清晰勾勒出“原则上适用A规则，但在X例外情况下优先适用B规则”的逻辑路径，帮助用户理清错综复杂的适用关系，避免适用法律错误。</w:t>
      </w:r>
    </w:p>
    <w:p w14:paraId="155EBE80">
      <w:pPr>
        <w:numPr>
          <w:ilvl w:val="0"/>
          <w:numId w:val="1"/>
        </w:numPr>
        <w:ind w:left="0" w:leftChars="0" w:firstLine="0" w:firstLineChars="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理想态的评测标准</w:t>
      </w:r>
    </w:p>
    <w:p w14:paraId="4126D82E">
      <w:pPr>
        <w:numPr>
          <w:ilvl w:val="0"/>
          <w:numId w:val="3"/>
        </w:numPr>
        <w:ind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评估方向：</w:t>
      </w:r>
    </w:p>
    <w:p w14:paraId="3F32DDD7">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对于理想态的评价，参考用户调研的分析结果，我们从四个维度来衡量：</w:t>
      </w:r>
    </w:p>
    <w:p w14:paraId="2370F2DE">
      <w:pPr>
        <w:numPr>
          <w:ilvl w:val="3"/>
          <w:numId w:val="4"/>
        </w:numPr>
        <w:ind w:left="1680" w:leftChars="0" w:hanging="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准确性：法条引用引用的法律（如《民法典》）是否真实存在且现行有效？</w:t>
      </w:r>
    </w:p>
    <w:p w14:paraId="72B4A6B4">
      <w:pPr>
        <w:numPr>
          <w:ilvl w:val="3"/>
          <w:numId w:val="4"/>
        </w:numPr>
        <w:ind w:left="1680" w:leftChars="0" w:hanging="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相关性：与用户问题相关的法条是否罗列？</w:t>
      </w:r>
    </w:p>
    <w:p w14:paraId="350152E4">
      <w:pPr>
        <w:numPr>
          <w:ilvl w:val="3"/>
          <w:numId w:val="4"/>
        </w:numPr>
        <w:ind w:left="1680" w:leftChars="0" w:hanging="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完整性：是否严格按照Prompt的要求输出全部内容？</w:t>
      </w:r>
    </w:p>
    <w:p w14:paraId="65F62F6E">
      <w:pPr>
        <w:numPr>
          <w:ilvl w:val="3"/>
          <w:numId w:val="4"/>
        </w:numPr>
        <w:ind w:left="1680" w:leftChars="0" w:hanging="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简洁性：是否简化回答，防止过于冗长的回答使用户费解或者降低其使用产品的意愿？</w:t>
      </w:r>
    </w:p>
    <w:p w14:paraId="49A80175">
      <w:pPr>
        <w:numPr>
          <w:ilvl w:val="3"/>
          <w:numId w:val="4"/>
        </w:numPr>
        <w:ind w:left="1680" w:leftChars="0" w:hanging="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安全性：法律风险是否有免责声明？是否误导用户做出激进决策？是否在依据不全的情况下做出回答？</w:t>
      </w:r>
    </w:p>
    <w:p w14:paraId="170A3916">
      <w:pPr>
        <w:numPr>
          <w:ilvl w:val="0"/>
          <w:numId w:val="0"/>
        </w:numPr>
        <w:ind w:left="420" w:leftChars="0" w:firstLine="420" w:firstLineChars="0"/>
        <w:jc w:val="left"/>
        <w:rPr>
          <w:rFonts w:hint="eastAsia" w:ascii="仿宋" w:hAnsi="仿宋" w:eastAsia="仿宋" w:cs="仿宋"/>
          <w:b w:val="0"/>
          <w:bCs w:val="0"/>
          <w:sz w:val="24"/>
          <w:szCs w:val="24"/>
          <w:lang w:val="en-US" w:eastAsia="zh-CN"/>
        </w:rPr>
      </w:pPr>
    </w:p>
    <w:p w14:paraId="5DFC68F9">
      <w:pPr>
        <w:numPr>
          <w:ilvl w:val="0"/>
          <w:numId w:val="0"/>
        </w:numPr>
        <w:ind w:left="420" w:left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2.Mos打分法：</w:t>
      </w:r>
    </w:p>
    <w:p w14:paraId="12A1A34A">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打分方式采用Mos打分法（0-3分）</w:t>
      </w:r>
    </w:p>
    <w:p w14:paraId="48372C16">
      <w:pPr>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0分：代表完全不符合</w:t>
      </w:r>
    </w:p>
    <w:p w14:paraId="7FEBCB08">
      <w:pPr>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w:t>
      </w:r>
      <w:r>
        <w:rPr>
          <w:rFonts w:hint="default" w:ascii="仿宋" w:hAnsi="仿宋" w:eastAsia="仿宋" w:cs="仿宋"/>
          <w:b w:val="0"/>
          <w:bCs w:val="0"/>
          <w:sz w:val="24"/>
          <w:szCs w:val="24"/>
          <w:lang w:val="en-US" w:eastAsia="zh-CN"/>
        </w:rPr>
        <w:t>分</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代表基本符合，</w:t>
      </w:r>
      <w:r>
        <w:rPr>
          <w:rFonts w:hint="eastAsia" w:ascii="仿宋" w:hAnsi="仿宋" w:eastAsia="仿宋" w:cs="仿宋"/>
          <w:b w:val="0"/>
          <w:bCs w:val="0"/>
          <w:sz w:val="24"/>
          <w:szCs w:val="24"/>
          <w:lang w:val="en-US" w:eastAsia="zh-CN"/>
        </w:rPr>
        <w:t>但有明显的不足</w:t>
      </w:r>
    </w:p>
    <w:p w14:paraId="036DB701">
      <w:pPr>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w:t>
      </w:r>
      <w:r>
        <w:rPr>
          <w:rFonts w:hint="default" w:ascii="仿宋" w:hAnsi="仿宋" w:eastAsia="仿宋" w:cs="仿宋"/>
          <w:b w:val="0"/>
          <w:bCs w:val="0"/>
          <w:sz w:val="24"/>
          <w:szCs w:val="24"/>
          <w:lang w:val="en-US" w:eastAsia="zh-CN"/>
        </w:rPr>
        <w:t>分</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代表完全符合，甚至能超额解决问题</w:t>
      </w:r>
    </w:p>
    <w:p w14:paraId="42043AC0">
      <w:pPr>
        <w:numPr>
          <w:ilvl w:val="0"/>
          <w:numId w:val="1"/>
        </w:numPr>
        <w:ind w:left="0" w:leftChars="0" w:firstLine="0" w:firstLineChars="0"/>
        <w:jc w:val="left"/>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评测集的构建</w:t>
      </w:r>
    </w:p>
    <w:p w14:paraId="5DFDB164">
      <w:pPr>
        <w:widowControl w:val="0"/>
        <w:numPr>
          <w:ilvl w:val="0"/>
          <w:numId w:val="5"/>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Query分类比例</w:t>
      </w:r>
    </w:p>
    <w:p w14:paraId="777E788D">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检索召回的效果，以及大模型生成回答的效果，我们通过构建评测集进行标准性评价。我们使用大模型生成20个针对不同法律问题的Query，用显性事实：占比60%、隐性事实：占比25%、可解释推理：占比10%、对抗样本：占比5%的比例生成这20个Query。</w:t>
      </w:r>
    </w:p>
    <w:p w14:paraId="2B3218C7">
      <w:pPr>
        <w:widowControl w:val="0"/>
        <w:numPr>
          <w:ilvl w:val="0"/>
          <w:numId w:val="5"/>
        </w:numPr>
        <w:ind w:left="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寻找相关应召回法条</w:t>
      </w:r>
    </w:p>
    <w:p w14:paraId="11CA57D5">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对于这20个Query，通过之前的使用场景分类，并且备注其应该召回的法条款项。对于所有相关的法条，我们用高性能LLM（Gemini）反推其在民法典内的相关法条，提供我们计算召回率的参照。</w:t>
      </w:r>
    </w:p>
    <w:p w14:paraId="7993696A">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评测集如下：</w:t>
      </w:r>
    </w:p>
    <w:tbl>
      <w:tblPr>
        <w:tblStyle w:val="2"/>
        <w:tblpPr w:leftFromText="180" w:rightFromText="180" w:vertAnchor="text" w:horzAnchor="page" w:tblpX="2312" w:tblpY="137"/>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99"/>
        <w:gridCol w:w="1065"/>
        <w:gridCol w:w="4555"/>
      </w:tblGrid>
      <w:tr w14:paraId="389B4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01" w:type="pct"/>
            <w:tcBorders>
              <w:top w:val="nil"/>
              <w:left w:val="nil"/>
              <w:bottom w:val="nil"/>
              <w:right w:val="nil"/>
            </w:tcBorders>
            <w:shd w:val="clear" w:color="auto" w:fill="auto"/>
            <w:vAlign w:val="center"/>
          </w:tcPr>
          <w:p w14:paraId="7A3C98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评测集Query</w:t>
            </w:r>
          </w:p>
        </w:tc>
        <w:tc>
          <w:tcPr>
            <w:tcW w:w="625" w:type="pct"/>
            <w:tcBorders>
              <w:top w:val="nil"/>
              <w:left w:val="nil"/>
              <w:bottom w:val="nil"/>
              <w:right w:val="nil"/>
            </w:tcBorders>
            <w:shd w:val="clear" w:color="auto" w:fill="auto"/>
            <w:vAlign w:val="center"/>
          </w:tcPr>
          <w:p w14:paraId="46BA3C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场景</w:t>
            </w:r>
          </w:p>
        </w:tc>
        <w:tc>
          <w:tcPr>
            <w:tcW w:w="2673" w:type="pct"/>
            <w:tcBorders>
              <w:top w:val="nil"/>
              <w:left w:val="nil"/>
              <w:bottom w:val="nil"/>
              <w:right w:val="nil"/>
            </w:tcBorders>
            <w:shd w:val="clear" w:color="auto" w:fill="auto"/>
            <w:vAlign w:val="center"/>
          </w:tcPr>
          <w:p w14:paraId="4DF647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14:paraId="7345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01" w:type="pct"/>
            <w:tcBorders>
              <w:top w:val="nil"/>
              <w:left w:val="nil"/>
              <w:bottom w:val="nil"/>
              <w:right w:val="nil"/>
            </w:tcBorders>
            <w:shd w:val="clear" w:color="auto" w:fill="auto"/>
            <w:vAlign w:val="center"/>
          </w:tcPr>
          <w:p w14:paraId="066370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一、显性事实：占比60%</w:t>
            </w:r>
          </w:p>
        </w:tc>
        <w:tc>
          <w:tcPr>
            <w:tcW w:w="625" w:type="pct"/>
            <w:tcBorders>
              <w:top w:val="nil"/>
              <w:left w:val="nil"/>
              <w:bottom w:val="nil"/>
              <w:right w:val="nil"/>
            </w:tcBorders>
            <w:shd w:val="clear" w:color="auto" w:fill="auto"/>
            <w:vAlign w:val="center"/>
          </w:tcPr>
          <w:p w14:paraId="58067B64">
            <w:pPr>
              <w:rPr>
                <w:rFonts w:hint="eastAsia" w:ascii="宋体" w:hAnsi="宋体" w:eastAsia="宋体" w:cs="宋体"/>
                <w:i w:val="0"/>
                <w:iCs w:val="0"/>
                <w:color w:val="000000"/>
                <w:sz w:val="22"/>
                <w:szCs w:val="22"/>
                <w:u w:val="none"/>
              </w:rPr>
            </w:pPr>
          </w:p>
        </w:tc>
        <w:tc>
          <w:tcPr>
            <w:tcW w:w="2673" w:type="pct"/>
            <w:tcBorders>
              <w:top w:val="nil"/>
              <w:left w:val="nil"/>
              <w:bottom w:val="nil"/>
              <w:right w:val="nil"/>
            </w:tcBorders>
            <w:shd w:val="clear" w:color="auto" w:fill="auto"/>
            <w:vAlign w:val="center"/>
          </w:tcPr>
          <w:p w14:paraId="62CC29DC">
            <w:pPr>
              <w:rPr>
                <w:rFonts w:hint="eastAsia" w:ascii="宋体" w:hAnsi="宋体" w:eastAsia="宋体" w:cs="宋体"/>
                <w:i w:val="0"/>
                <w:iCs w:val="0"/>
                <w:color w:val="000000"/>
                <w:sz w:val="22"/>
                <w:szCs w:val="22"/>
                <w:u w:val="none"/>
              </w:rPr>
            </w:pPr>
          </w:p>
        </w:tc>
      </w:tr>
      <w:tr w14:paraId="7C7DA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4A326C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营业场所对顾客的安全保障义务的法定标准是什么？</w:t>
            </w:r>
          </w:p>
        </w:tc>
        <w:tc>
          <w:tcPr>
            <w:tcW w:w="625" w:type="pct"/>
            <w:tcBorders>
              <w:top w:val="nil"/>
              <w:left w:val="nil"/>
              <w:bottom w:val="nil"/>
              <w:right w:val="nil"/>
            </w:tcBorders>
            <w:shd w:val="clear" w:color="auto" w:fill="auto"/>
            <w:vAlign w:val="center"/>
          </w:tcPr>
          <w:p w14:paraId="19CC6F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6649265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召回第1198条，解释“合理限度范围”的界定。</w:t>
            </w:r>
          </w:p>
        </w:tc>
      </w:tr>
      <w:tr w14:paraId="03CF7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7A3460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建设工程未经竣工验收，发包人擅自使用的，承包人保修责任如何认定？</w:t>
            </w:r>
          </w:p>
        </w:tc>
        <w:tc>
          <w:tcPr>
            <w:tcW w:w="625" w:type="pct"/>
            <w:tcBorders>
              <w:top w:val="nil"/>
              <w:left w:val="nil"/>
              <w:bottom w:val="nil"/>
              <w:right w:val="nil"/>
            </w:tcBorders>
            <w:shd w:val="clear" w:color="auto" w:fill="auto"/>
            <w:vAlign w:val="center"/>
          </w:tcPr>
          <w:p w14:paraId="6CDA5F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6FADBB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召回第806条及建工司法解释，解释“擅自使用”对质量争议的效力阻却。</w:t>
            </w:r>
          </w:p>
        </w:tc>
      </w:tr>
      <w:tr w14:paraId="18CFC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5C6A7C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相邻关系中，关于截水、排水的法定原则是什么？</w:t>
            </w:r>
          </w:p>
        </w:tc>
        <w:tc>
          <w:tcPr>
            <w:tcW w:w="625" w:type="pct"/>
            <w:tcBorders>
              <w:top w:val="nil"/>
              <w:left w:val="nil"/>
              <w:bottom w:val="nil"/>
              <w:right w:val="nil"/>
            </w:tcBorders>
            <w:shd w:val="clear" w:color="auto" w:fill="auto"/>
            <w:vAlign w:val="center"/>
          </w:tcPr>
          <w:p w14:paraId="3C63BF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6D3AFD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召回第290条，解释“自然流水”的容忍义务。</w:t>
            </w:r>
          </w:p>
        </w:tc>
      </w:tr>
      <w:tr w14:paraId="21072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44A7CB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格式条款与非格式条款不一致时，法律规定优先适用哪一种？</w:t>
            </w:r>
          </w:p>
        </w:tc>
        <w:tc>
          <w:tcPr>
            <w:tcW w:w="625" w:type="pct"/>
            <w:tcBorders>
              <w:top w:val="nil"/>
              <w:left w:val="nil"/>
              <w:bottom w:val="nil"/>
              <w:right w:val="nil"/>
            </w:tcBorders>
            <w:shd w:val="clear" w:color="auto" w:fill="auto"/>
            <w:vAlign w:val="center"/>
          </w:tcPr>
          <w:p w14:paraId="4B6821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规则冲突与适用</w:t>
            </w:r>
          </w:p>
        </w:tc>
        <w:tc>
          <w:tcPr>
            <w:tcW w:w="2673" w:type="pct"/>
            <w:tcBorders>
              <w:top w:val="nil"/>
              <w:left w:val="nil"/>
              <w:bottom w:val="nil"/>
              <w:right w:val="nil"/>
            </w:tcBorders>
            <w:shd w:val="clear" w:color="auto" w:fill="auto"/>
            <w:vAlign w:val="center"/>
          </w:tcPr>
          <w:p w14:paraId="79FA9F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召回第498条，解释非格式条款优先的法理逻辑。</w:t>
            </w:r>
          </w:p>
        </w:tc>
      </w:tr>
      <w:tr w14:paraId="094F5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47E9D7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债权人行使代位权的法定构成要件有哪些？</w:t>
            </w:r>
          </w:p>
        </w:tc>
        <w:tc>
          <w:tcPr>
            <w:tcW w:w="625" w:type="pct"/>
            <w:tcBorders>
              <w:top w:val="nil"/>
              <w:left w:val="nil"/>
              <w:bottom w:val="nil"/>
              <w:right w:val="nil"/>
            </w:tcBorders>
            <w:shd w:val="clear" w:color="auto" w:fill="auto"/>
            <w:vAlign w:val="center"/>
          </w:tcPr>
          <w:p w14:paraId="6DC485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471A85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召回第535条，拆解“怠于行使”、“到期债权”等要件。</w:t>
            </w:r>
          </w:p>
        </w:tc>
      </w:tr>
      <w:tr w14:paraId="08380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5B8D97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遗嘱执行人未指定且无继承人时，民法典规定由谁担任遗产管理人？</w:t>
            </w:r>
          </w:p>
        </w:tc>
        <w:tc>
          <w:tcPr>
            <w:tcW w:w="625" w:type="pct"/>
            <w:tcBorders>
              <w:top w:val="nil"/>
              <w:left w:val="nil"/>
              <w:bottom w:val="nil"/>
              <w:right w:val="nil"/>
            </w:tcBorders>
            <w:shd w:val="clear" w:color="auto" w:fill="auto"/>
            <w:vAlign w:val="center"/>
          </w:tcPr>
          <w:p w14:paraId="46B3FA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04FF85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召回第1145条，明确民政部门或村委会的法定兜底职责。</w:t>
            </w:r>
          </w:p>
        </w:tc>
      </w:tr>
      <w:tr w14:paraId="526B9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2ACDAF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合伙人执行合伙事务的报酬请求权是否有法定依据？</w:t>
            </w:r>
          </w:p>
        </w:tc>
        <w:tc>
          <w:tcPr>
            <w:tcW w:w="625" w:type="pct"/>
            <w:tcBorders>
              <w:top w:val="nil"/>
              <w:left w:val="nil"/>
              <w:bottom w:val="nil"/>
              <w:right w:val="nil"/>
            </w:tcBorders>
            <w:shd w:val="clear" w:color="auto" w:fill="auto"/>
            <w:vAlign w:val="center"/>
          </w:tcPr>
          <w:p w14:paraId="71FD56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723C97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召回第971条，解释“原则上无报酬，另有约定除外”。</w:t>
            </w:r>
          </w:p>
        </w:tc>
      </w:tr>
      <w:tr w14:paraId="61F74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2B52B0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承揽人在完成工作过程中造成第三人损害的，定作人是否承担侵权责任？</w:t>
            </w:r>
          </w:p>
        </w:tc>
        <w:tc>
          <w:tcPr>
            <w:tcW w:w="625" w:type="pct"/>
            <w:tcBorders>
              <w:top w:val="nil"/>
              <w:left w:val="nil"/>
              <w:bottom w:val="nil"/>
              <w:right w:val="nil"/>
            </w:tcBorders>
            <w:shd w:val="clear" w:color="auto" w:fill="auto"/>
            <w:vAlign w:val="center"/>
          </w:tcPr>
          <w:p w14:paraId="1A22D0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683431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召回第1193条，解释定作人“定作、指示或选任有过错”的例外担责情形。</w:t>
            </w:r>
          </w:p>
        </w:tc>
      </w:tr>
      <w:tr w14:paraId="759AA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43FC95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保证合同中没有约定保证期间的，法定保证期间是多长？</w:t>
            </w:r>
          </w:p>
        </w:tc>
        <w:tc>
          <w:tcPr>
            <w:tcW w:w="625" w:type="pct"/>
            <w:tcBorders>
              <w:top w:val="nil"/>
              <w:left w:val="nil"/>
              <w:bottom w:val="nil"/>
              <w:right w:val="nil"/>
            </w:tcBorders>
            <w:shd w:val="clear" w:color="auto" w:fill="auto"/>
            <w:vAlign w:val="center"/>
          </w:tcPr>
          <w:p w14:paraId="759A147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0A7E2D8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召回第692条，明确“主债务履行期限届满之日起六个月”。</w:t>
            </w:r>
          </w:p>
        </w:tc>
      </w:tr>
      <w:tr w14:paraId="03929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4" w:hRule="atLeast"/>
        </w:trPr>
        <w:tc>
          <w:tcPr>
            <w:tcW w:w="1701" w:type="pct"/>
            <w:tcBorders>
              <w:top w:val="nil"/>
              <w:left w:val="nil"/>
              <w:bottom w:val="nil"/>
              <w:right w:val="nil"/>
            </w:tcBorders>
            <w:shd w:val="clear" w:color="auto" w:fill="auto"/>
            <w:vAlign w:val="center"/>
          </w:tcPr>
          <w:p w14:paraId="581540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连带债务人之一破产的，债权人申报债权的法定规则是什么？</w:t>
            </w:r>
          </w:p>
        </w:tc>
        <w:tc>
          <w:tcPr>
            <w:tcW w:w="625" w:type="pct"/>
            <w:tcBorders>
              <w:top w:val="nil"/>
              <w:left w:val="nil"/>
              <w:bottom w:val="nil"/>
              <w:right w:val="nil"/>
            </w:tcBorders>
            <w:shd w:val="clear" w:color="auto" w:fill="auto"/>
            <w:vAlign w:val="center"/>
          </w:tcPr>
          <w:p w14:paraId="14B93C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50F2B0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召回第520条及破产法相关规定，解释全额申报原则。</w:t>
            </w:r>
          </w:p>
        </w:tc>
      </w:tr>
      <w:tr w14:paraId="2E8E2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7094B5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悬赏广告的法律性质及报酬请求权成立的法定要件是什么？</w:t>
            </w:r>
          </w:p>
        </w:tc>
        <w:tc>
          <w:tcPr>
            <w:tcW w:w="625" w:type="pct"/>
            <w:tcBorders>
              <w:top w:val="nil"/>
              <w:left w:val="nil"/>
              <w:bottom w:val="nil"/>
              <w:right w:val="nil"/>
            </w:tcBorders>
            <w:shd w:val="clear" w:color="auto" w:fill="auto"/>
            <w:vAlign w:val="center"/>
          </w:tcPr>
          <w:p w14:paraId="32966D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法律概念界定</w:t>
            </w:r>
          </w:p>
        </w:tc>
        <w:tc>
          <w:tcPr>
            <w:tcW w:w="2673" w:type="pct"/>
            <w:tcBorders>
              <w:top w:val="nil"/>
              <w:left w:val="nil"/>
              <w:bottom w:val="nil"/>
              <w:right w:val="nil"/>
            </w:tcBorders>
            <w:shd w:val="clear" w:color="auto" w:fill="auto"/>
            <w:vAlign w:val="center"/>
          </w:tcPr>
          <w:p w14:paraId="4E447C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召回第499条，解释单方允诺的效力及完成特定行为的认定。</w:t>
            </w:r>
          </w:p>
        </w:tc>
      </w:tr>
      <w:tr w14:paraId="6D5EE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310572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民法典中关于“居住权”设立的法定形式及生效要件是什么？</w:t>
            </w:r>
          </w:p>
        </w:tc>
        <w:tc>
          <w:tcPr>
            <w:tcW w:w="625" w:type="pct"/>
            <w:tcBorders>
              <w:top w:val="nil"/>
              <w:left w:val="nil"/>
              <w:bottom w:val="nil"/>
              <w:right w:val="nil"/>
            </w:tcBorders>
            <w:shd w:val="clear" w:color="auto" w:fill="auto"/>
            <w:vAlign w:val="center"/>
          </w:tcPr>
          <w:p w14:paraId="626CBB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法律概念界定</w:t>
            </w:r>
          </w:p>
        </w:tc>
        <w:tc>
          <w:tcPr>
            <w:tcW w:w="2673" w:type="pct"/>
            <w:tcBorders>
              <w:top w:val="nil"/>
              <w:left w:val="nil"/>
              <w:bottom w:val="nil"/>
              <w:right w:val="nil"/>
            </w:tcBorders>
            <w:shd w:val="clear" w:color="auto" w:fill="auto"/>
            <w:vAlign w:val="center"/>
          </w:tcPr>
          <w:p w14:paraId="2F0747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召回第367、368条，解释“书面合同+登记生效”的双重强制要求。</w:t>
            </w:r>
          </w:p>
        </w:tc>
      </w:tr>
      <w:tr w14:paraId="4212F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01" w:type="pct"/>
            <w:tcBorders>
              <w:top w:val="nil"/>
              <w:left w:val="nil"/>
              <w:bottom w:val="nil"/>
              <w:right w:val="nil"/>
            </w:tcBorders>
            <w:shd w:val="clear" w:color="auto" w:fill="auto"/>
            <w:vAlign w:val="center"/>
          </w:tcPr>
          <w:p w14:paraId="26F212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二、隐性事实：占比25%</w:t>
            </w:r>
          </w:p>
        </w:tc>
        <w:tc>
          <w:tcPr>
            <w:tcW w:w="625" w:type="pct"/>
            <w:tcBorders>
              <w:top w:val="nil"/>
              <w:left w:val="nil"/>
              <w:bottom w:val="nil"/>
              <w:right w:val="nil"/>
            </w:tcBorders>
            <w:shd w:val="clear" w:color="auto" w:fill="auto"/>
            <w:vAlign w:val="center"/>
          </w:tcPr>
          <w:p w14:paraId="65A2C5FF">
            <w:pPr>
              <w:rPr>
                <w:rFonts w:hint="eastAsia" w:ascii="宋体" w:hAnsi="宋体" w:eastAsia="宋体" w:cs="宋体"/>
                <w:i w:val="0"/>
                <w:iCs w:val="0"/>
                <w:color w:val="000000"/>
                <w:sz w:val="22"/>
                <w:szCs w:val="22"/>
                <w:u w:val="none"/>
              </w:rPr>
            </w:pPr>
          </w:p>
        </w:tc>
        <w:tc>
          <w:tcPr>
            <w:tcW w:w="2673" w:type="pct"/>
            <w:tcBorders>
              <w:top w:val="nil"/>
              <w:left w:val="nil"/>
              <w:bottom w:val="nil"/>
              <w:right w:val="nil"/>
            </w:tcBorders>
            <w:shd w:val="clear" w:color="auto" w:fill="auto"/>
            <w:vAlign w:val="center"/>
          </w:tcPr>
          <w:p w14:paraId="3A523972">
            <w:pPr>
              <w:rPr>
                <w:rFonts w:hint="eastAsia" w:ascii="宋体" w:hAnsi="宋体" w:eastAsia="宋体" w:cs="宋体"/>
                <w:i w:val="0"/>
                <w:iCs w:val="0"/>
                <w:color w:val="000000"/>
                <w:sz w:val="22"/>
                <w:szCs w:val="22"/>
                <w:u w:val="none"/>
              </w:rPr>
            </w:pPr>
          </w:p>
        </w:tc>
      </w:tr>
      <w:tr w14:paraId="0A31C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229D9B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员工在上下班途中驾驶私人车辆发生交通事故，用人单位承担雇主责任的法律依据是什么？</w:t>
            </w:r>
          </w:p>
        </w:tc>
        <w:tc>
          <w:tcPr>
            <w:tcW w:w="625" w:type="pct"/>
            <w:tcBorders>
              <w:top w:val="nil"/>
              <w:left w:val="nil"/>
              <w:bottom w:val="nil"/>
              <w:right w:val="nil"/>
            </w:tcBorders>
            <w:shd w:val="clear" w:color="auto" w:fill="auto"/>
            <w:vAlign w:val="center"/>
          </w:tcPr>
          <w:p w14:paraId="35FD1B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77488F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召回第1191条，需解释“执行工作任务”的内涵及上下班途中的除外情形。</w:t>
            </w:r>
          </w:p>
        </w:tc>
      </w:tr>
      <w:tr w14:paraId="1379C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5EF18A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建筑设计图纸存在缺陷导致工程返工，施工方能否越过发包人直接向设计方主张违约？</w:t>
            </w:r>
          </w:p>
        </w:tc>
        <w:tc>
          <w:tcPr>
            <w:tcW w:w="625" w:type="pct"/>
            <w:tcBorders>
              <w:top w:val="nil"/>
              <w:left w:val="nil"/>
              <w:bottom w:val="nil"/>
              <w:right w:val="nil"/>
            </w:tcBorders>
            <w:shd w:val="clear" w:color="auto" w:fill="auto"/>
            <w:vAlign w:val="center"/>
          </w:tcPr>
          <w:p w14:paraId="77E9D3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规则冲突与适用</w:t>
            </w:r>
          </w:p>
        </w:tc>
        <w:tc>
          <w:tcPr>
            <w:tcW w:w="2673" w:type="pct"/>
            <w:tcBorders>
              <w:top w:val="nil"/>
              <w:left w:val="nil"/>
              <w:bottom w:val="nil"/>
              <w:right w:val="nil"/>
            </w:tcBorders>
            <w:shd w:val="clear" w:color="auto" w:fill="auto"/>
            <w:vAlign w:val="center"/>
          </w:tcPr>
          <w:p w14:paraId="4EA49B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召回第465条、第807条，解释“合同相对性”原则及其突破的严格限制。</w:t>
            </w:r>
          </w:p>
        </w:tc>
      </w:tr>
      <w:tr w14:paraId="3540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15EC044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婚前个人全款购买的房屋，婚后用于出租产生的租金收益，在法定财产制下归属如何界定？</w:t>
            </w:r>
          </w:p>
        </w:tc>
        <w:tc>
          <w:tcPr>
            <w:tcW w:w="625" w:type="pct"/>
            <w:tcBorders>
              <w:top w:val="nil"/>
              <w:left w:val="nil"/>
              <w:bottom w:val="nil"/>
              <w:right w:val="nil"/>
            </w:tcBorders>
            <w:shd w:val="clear" w:color="auto" w:fill="auto"/>
            <w:vAlign w:val="center"/>
          </w:tcPr>
          <w:p w14:paraId="497509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法律概念界定</w:t>
            </w:r>
          </w:p>
        </w:tc>
        <w:tc>
          <w:tcPr>
            <w:tcW w:w="2673" w:type="pct"/>
            <w:tcBorders>
              <w:top w:val="nil"/>
              <w:left w:val="nil"/>
              <w:bottom w:val="nil"/>
              <w:right w:val="nil"/>
            </w:tcBorders>
            <w:shd w:val="clear" w:color="auto" w:fill="auto"/>
            <w:vAlign w:val="center"/>
          </w:tcPr>
          <w:p w14:paraId="54F546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召回第1062条及婚姻编司法解释，界定“投资收益”与“天然孳息”的区别。</w:t>
            </w:r>
          </w:p>
        </w:tc>
      </w:tr>
      <w:tr w14:paraId="2E457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0FD551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未经授权收集并使用企业公开的非敏感数据进行商业变现，构成侵权的法律依据是什么？</w:t>
            </w:r>
          </w:p>
        </w:tc>
        <w:tc>
          <w:tcPr>
            <w:tcW w:w="625" w:type="pct"/>
            <w:tcBorders>
              <w:top w:val="nil"/>
              <w:left w:val="nil"/>
              <w:bottom w:val="nil"/>
              <w:right w:val="nil"/>
            </w:tcBorders>
            <w:shd w:val="clear" w:color="auto" w:fill="auto"/>
            <w:vAlign w:val="center"/>
          </w:tcPr>
          <w:p w14:paraId="02CF14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101FFD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召回反不正当竞争法第2条及民法典数据保护条款，解释数据权益的边界。</w:t>
            </w:r>
          </w:p>
        </w:tc>
      </w:tr>
      <w:tr w14:paraId="438E4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144B76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医疗机构泄露患者病历资料但未造成实际财产损失，患者主张精神损害赔偿的法律依据是什么？</w:t>
            </w:r>
          </w:p>
        </w:tc>
        <w:tc>
          <w:tcPr>
            <w:tcW w:w="625" w:type="pct"/>
            <w:tcBorders>
              <w:top w:val="nil"/>
              <w:left w:val="nil"/>
              <w:bottom w:val="nil"/>
              <w:right w:val="nil"/>
            </w:tcBorders>
            <w:shd w:val="clear" w:color="auto" w:fill="auto"/>
            <w:vAlign w:val="center"/>
          </w:tcPr>
          <w:p w14:paraId="41D713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14B352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召回第1226条、第1183条，解释隐私权受侵害与“严重精神损害”的判定。</w:t>
            </w:r>
          </w:p>
        </w:tc>
      </w:tr>
      <w:tr w14:paraId="0A0E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01" w:type="pct"/>
            <w:tcBorders>
              <w:top w:val="nil"/>
              <w:left w:val="nil"/>
              <w:bottom w:val="nil"/>
              <w:right w:val="nil"/>
            </w:tcBorders>
            <w:shd w:val="clear" w:color="auto" w:fill="auto"/>
            <w:vAlign w:val="center"/>
          </w:tcPr>
          <w:p w14:paraId="74F9DF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三、可解释推理：占比10%</w:t>
            </w:r>
          </w:p>
        </w:tc>
        <w:tc>
          <w:tcPr>
            <w:tcW w:w="625" w:type="pct"/>
            <w:tcBorders>
              <w:top w:val="nil"/>
              <w:left w:val="nil"/>
              <w:bottom w:val="nil"/>
              <w:right w:val="nil"/>
            </w:tcBorders>
            <w:shd w:val="clear" w:color="auto" w:fill="auto"/>
            <w:vAlign w:val="center"/>
          </w:tcPr>
          <w:p w14:paraId="28BE6C03">
            <w:pPr>
              <w:rPr>
                <w:rFonts w:hint="eastAsia" w:ascii="宋体" w:hAnsi="宋体" w:eastAsia="宋体" w:cs="宋体"/>
                <w:i w:val="0"/>
                <w:iCs w:val="0"/>
                <w:color w:val="000000"/>
                <w:sz w:val="22"/>
                <w:szCs w:val="22"/>
                <w:u w:val="none"/>
              </w:rPr>
            </w:pPr>
          </w:p>
        </w:tc>
        <w:tc>
          <w:tcPr>
            <w:tcW w:w="2673" w:type="pct"/>
            <w:tcBorders>
              <w:top w:val="nil"/>
              <w:left w:val="nil"/>
              <w:bottom w:val="nil"/>
              <w:right w:val="nil"/>
            </w:tcBorders>
            <w:shd w:val="clear" w:color="auto" w:fill="auto"/>
            <w:vAlign w:val="center"/>
          </w:tcPr>
          <w:p w14:paraId="5FDB9235">
            <w:pPr>
              <w:rPr>
                <w:rFonts w:hint="eastAsia" w:ascii="宋体" w:hAnsi="宋体" w:eastAsia="宋体" w:cs="宋体"/>
                <w:i w:val="0"/>
                <w:iCs w:val="0"/>
                <w:color w:val="000000"/>
                <w:sz w:val="22"/>
                <w:szCs w:val="22"/>
                <w:u w:val="none"/>
              </w:rPr>
            </w:pPr>
          </w:p>
        </w:tc>
      </w:tr>
      <w:tr w14:paraId="1C7E9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0FDA24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房屋买卖合同被确认无效后，买受人的占有使用费与出卖人的资金占用费在相互返还时如何适用法律？</w:t>
            </w:r>
          </w:p>
        </w:tc>
        <w:tc>
          <w:tcPr>
            <w:tcW w:w="625" w:type="pct"/>
            <w:tcBorders>
              <w:top w:val="nil"/>
              <w:left w:val="nil"/>
              <w:bottom w:val="nil"/>
              <w:right w:val="nil"/>
            </w:tcBorders>
            <w:shd w:val="clear" w:color="auto" w:fill="auto"/>
            <w:vAlign w:val="center"/>
          </w:tcPr>
          <w:p w14:paraId="720803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规则冲突与适用</w:t>
            </w:r>
          </w:p>
        </w:tc>
        <w:tc>
          <w:tcPr>
            <w:tcW w:w="2673" w:type="pct"/>
            <w:tcBorders>
              <w:top w:val="nil"/>
              <w:left w:val="nil"/>
              <w:bottom w:val="nil"/>
              <w:right w:val="nil"/>
            </w:tcBorders>
            <w:shd w:val="clear" w:color="auto" w:fill="auto"/>
            <w:vAlign w:val="center"/>
          </w:tcPr>
          <w:p w14:paraId="48E2E1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召回第157条。Agent 需解释无效合同的“恢复原状”与“过错相抵”的实务抵扣逻辑。</w:t>
            </w:r>
          </w:p>
        </w:tc>
      </w:tr>
      <w:tr w14:paraId="193DD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701" w:type="pct"/>
            <w:tcBorders>
              <w:top w:val="nil"/>
              <w:left w:val="nil"/>
              <w:bottom w:val="nil"/>
              <w:right w:val="nil"/>
            </w:tcBorders>
            <w:shd w:val="clear" w:color="auto" w:fill="auto"/>
            <w:vAlign w:val="center"/>
          </w:tcPr>
          <w:p w14:paraId="3A6319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债务人以不合理低价转让财产给近亲属，债权人行使撤销权时的举证责任和主观恶意如何认定？</w:t>
            </w:r>
          </w:p>
        </w:tc>
        <w:tc>
          <w:tcPr>
            <w:tcW w:w="625" w:type="pct"/>
            <w:tcBorders>
              <w:top w:val="nil"/>
              <w:left w:val="nil"/>
              <w:bottom w:val="nil"/>
              <w:right w:val="nil"/>
            </w:tcBorders>
            <w:shd w:val="clear" w:color="auto" w:fill="auto"/>
            <w:vAlign w:val="center"/>
          </w:tcPr>
          <w:p w14:paraId="3C0978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构成要件与归责</w:t>
            </w:r>
          </w:p>
        </w:tc>
        <w:tc>
          <w:tcPr>
            <w:tcW w:w="2673" w:type="pct"/>
            <w:tcBorders>
              <w:top w:val="nil"/>
              <w:left w:val="nil"/>
              <w:bottom w:val="nil"/>
              <w:right w:val="nil"/>
            </w:tcBorders>
            <w:shd w:val="clear" w:color="auto" w:fill="auto"/>
            <w:vAlign w:val="center"/>
          </w:tcPr>
          <w:p w14:paraId="22DB86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召回第538条、第539条。需联动解释受让人“知道或者应当知道”的推定逻辑。</w:t>
            </w:r>
          </w:p>
        </w:tc>
      </w:tr>
      <w:tr w14:paraId="0D37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01" w:type="pct"/>
            <w:tcBorders>
              <w:top w:val="nil"/>
              <w:left w:val="nil"/>
              <w:bottom w:val="nil"/>
              <w:right w:val="nil"/>
            </w:tcBorders>
            <w:shd w:val="clear" w:color="auto" w:fill="auto"/>
            <w:vAlign w:val="center"/>
          </w:tcPr>
          <w:p w14:paraId="10858E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四、对抗样本：占比5%</w:t>
            </w:r>
          </w:p>
        </w:tc>
        <w:tc>
          <w:tcPr>
            <w:tcW w:w="625" w:type="pct"/>
            <w:tcBorders>
              <w:top w:val="nil"/>
              <w:left w:val="nil"/>
              <w:bottom w:val="nil"/>
              <w:right w:val="nil"/>
            </w:tcBorders>
            <w:shd w:val="clear" w:color="auto" w:fill="auto"/>
            <w:vAlign w:val="center"/>
          </w:tcPr>
          <w:p w14:paraId="0C7E4C1C">
            <w:pPr>
              <w:rPr>
                <w:rFonts w:hint="eastAsia" w:ascii="宋体" w:hAnsi="宋体" w:eastAsia="宋体" w:cs="宋体"/>
                <w:i w:val="0"/>
                <w:iCs w:val="0"/>
                <w:color w:val="000000"/>
                <w:sz w:val="22"/>
                <w:szCs w:val="22"/>
                <w:u w:val="none"/>
              </w:rPr>
            </w:pPr>
          </w:p>
        </w:tc>
        <w:tc>
          <w:tcPr>
            <w:tcW w:w="2673" w:type="pct"/>
            <w:tcBorders>
              <w:top w:val="nil"/>
              <w:left w:val="nil"/>
              <w:bottom w:val="nil"/>
              <w:right w:val="nil"/>
            </w:tcBorders>
            <w:shd w:val="clear" w:color="auto" w:fill="auto"/>
            <w:vAlign w:val="center"/>
          </w:tcPr>
          <w:p w14:paraId="5663A8FC">
            <w:pPr>
              <w:rPr>
                <w:rFonts w:hint="eastAsia" w:ascii="宋体" w:hAnsi="宋体" w:eastAsia="宋体" w:cs="宋体"/>
                <w:i w:val="0"/>
                <w:iCs w:val="0"/>
                <w:color w:val="000000"/>
                <w:sz w:val="22"/>
                <w:szCs w:val="22"/>
                <w:u w:val="none"/>
              </w:rPr>
            </w:pPr>
          </w:p>
        </w:tc>
      </w:tr>
      <w:tr w14:paraId="719CF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701" w:type="pct"/>
            <w:tcBorders>
              <w:top w:val="nil"/>
              <w:left w:val="nil"/>
              <w:bottom w:val="nil"/>
              <w:right w:val="nil"/>
            </w:tcBorders>
            <w:shd w:val="clear" w:color="auto" w:fill="auto"/>
            <w:vAlign w:val="center"/>
          </w:tcPr>
          <w:p w14:paraId="0A4CC1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民法典中关于“分居满两年自动离婚”的具体条款规定在第几条？</w:t>
            </w:r>
          </w:p>
        </w:tc>
        <w:tc>
          <w:tcPr>
            <w:tcW w:w="625" w:type="pct"/>
            <w:tcBorders>
              <w:top w:val="nil"/>
              <w:left w:val="nil"/>
              <w:bottom w:val="nil"/>
              <w:right w:val="nil"/>
            </w:tcBorders>
            <w:shd w:val="clear" w:color="auto" w:fill="auto"/>
            <w:vAlign w:val="center"/>
          </w:tcPr>
          <w:p w14:paraId="3C7F83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法条精准检索</w:t>
            </w:r>
          </w:p>
        </w:tc>
        <w:tc>
          <w:tcPr>
            <w:tcW w:w="2673" w:type="pct"/>
            <w:tcBorders>
              <w:top w:val="nil"/>
              <w:left w:val="nil"/>
              <w:bottom w:val="nil"/>
              <w:right w:val="nil"/>
            </w:tcBorders>
            <w:shd w:val="clear" w:color="auto" w:fill="auto"/>
            <w:vAlign w:val="center"/>
          </w:tcPr>
          <w:p w14:paraId="113093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Style w:val="6"/>
                <w:lang w:val="en-US" w:eastAsia="zh-CN" w:bidi="ar"/>
              </w:rPr>
              <w:t>防坑测试</w:t>
            </w:r>
            <w:r>
              <w:rPr>
                <w:rStyle w:val="7"/>
                <w:lang w:val="en-US" w:eastAsia="zh-CN" w:bidi="ar"/>
              </w:rPr>
              <w:t>。Agent 需指出不存在“自动离婚”条款，并召回第1079条解释诉讼离婚中分居满两年的法定适用条件。</w:t>
            </w:r>
          </w:p>
        </w:tc>
      </w:tr>
    </w:tbl>
    <w:p w14:paraId="2F1597B7">
      <w:pPr>
        <w:widowControl w:val="0"/>
        <w:numPr>
          <w:ilvl w:val="0"/>
          <w:numId w:val="0"/>
        </w:numPr>
        <w:ind w:firstLine="420" w:firstLineChars="0"/>
        <w:jc w:val="left"/>
        <w:rPr>
          <w:rFonts w:hint="default" w:ascii="仿宋" w:hAnsi="仿宋" w:eastAsia="仿宋" w:cs="仿宋"/>
          <w:b w:val="0"/>
          <w:bCs w:val="0"/>
          <w:sz w:val="24"/>
          <w:szCs w:val="24"/>
          <w:lang w:val="en-US" w:eastAsia="zh-CN"/>
        </w:rPr>
      </w:pPr>
    </w:p>
    <w:p w14:paraId="27F3AAA6">
      <w:pPr>
        <w:widowControl w:val="0"/>
        <w:numPr>
          <w:ilvl w:val="0"/>
          <w:numId w:val="1"/>
        </w:numPr>
        <w:ind w:left="0" w:leftChars="0" w:firstLine="0" w:firstLineChars="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策略调优</w:t>
      </w:r>
    </w:p>
    <w:p w14:paraId="78DE63E5">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关于策略调优，使用控制变量法探索最适合法律条文问答助手的模型策略。默认的召回策略如下：</w:t>
      </w:r>
    </w:p>
    <w:p w14:paraId="5820CA1A">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切片方式：长度（500）</w:t>
      </w:r>
    </w:p>
    <w:p w14:paraId="14B83440">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Embedding模型：Doubao-embedding+关键词模型（非large）</w:t>
      </w:r>
    </w:p>
    <w:p w14:paraId="36418BFD">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召回数量：10</w:t>
      </w:r>
    </w:p>
    <w:p w14:paraId="232C29A7">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召回检索阈值：0.1</w:t>
      </w:r>
    </w:p>
    <w:p w14:paraId="4A75A6B6">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对于生成模型，我们的找回策略使用默认策略，分别尝试使用DeepSeek V3.1、Doubao-32K、Doubao-1.5-pro-32K生成答案进行比较，打分方式采用Mos打分法（0-2），从准确度、易懂性、完整性、安全性四个维度评分。</w:t>
      </w:r>
    </w:p>
    <w:p w14:paraId="2AF40375">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策略调优的结果详表《策略调优》</w:t>
      </w:r>
    </w:p>
    <w:p w14:paraId="0D91C8B2">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object>
          <v:shape id="_x0000_i1027"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7" DrawAspect="Icon" ObjectID="_1468075727" r:id="rId8">
            <o:LockedField>false</o:LockedField>
          </o:OLEObject>
        </w:object>
      </w:r>
    </w:p>
    <w:p w14:paraId="754C5DA1">
      <w:pPr>
        <w:widowControl w:val="0"/>
        <w:numPr>
          <w:ilvl w:val="0"/>
          <w:numId w:val="1"/>
        </w:numPr>
        <w:ind w:left="0" w:leftChars="0" w:firstLine="0" w:firstLineChars="0"/>
        <w:jc w:val="left"/>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Bad case及归因</w:t>
      </w:r>
    </w:p>
    <w:p w14:paraId="23E10EE0">
      <w:pPr>
        <w:widowControl w:val="0"/>
        <w:numPr>
          <w:ilvl w:val="0"/>
          <w:numId w:val="0"/>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对于模型输出的Bad case 我们通过分类的方式收集，并从模型策略调优的角度探求其可能的原因，通过调整参数重新输出的方式加以验证。</w:t>
      </w:r>
    </w:p>
    <w:p w14:paraId="429062A4">
      <w:pPr>
        <w:widowControl w:val="0"/>
        <w:numPr>
          <w:ilvl w:val="0"/>
          <w:numId w:val="6"/>
        </w:numPr>
        <w:ind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召回方面：</w:t>
      </w:r>
    </w:p>
    <w:p w14:paraId="6AF7B95C">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BC1：极端BD，检索后无召回Chunk返回。</w:t>
      </w:r>
    </w:p>
    <w:p w14:paraId="1AFF7B71">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可能原因：</w:t>
      </w:r>
    </w:p>
    <w:p w14:paraId="744AC6CD">
      <w:pPr>
        <w:widowControl w:val="0"/>
        <w:numPr>
          <w:ilvl w:val="0"/>
          <w:numId w:val="0"/>
        </w:numPr>
        <w:ind w:left="84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①：与召回数量相关，召回4条时出现的频率明显低于召回7条和10条时的频率。</w:t>
      </w:r>
    </w:p>
    <w:p w14:paraId="03A9BC24">
      <w:pPr>
        <w:widowControl w:val="0"/>
        <w:numPr>
          <w:ilvl w:val="0"/>
          <w:numId w:val="0"/>
        </w:numPr>
        <w:ind w:left="84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②：与切片长度相关，最大长度500时的情况略好于最大长度1000时的情况。</w:t>
      </w:r>
    </w:p>
    <w:p w14:paraId="3F69B6A2">
      <w:pPr>
        <w:widowControl w:val="0"/>
        <w:numPr>
          <w:ilvl w:val="0"/>
          <w:numId w:val="0"/>
        </w:numPr>
        <w:ind w:left="84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③：与召回阈值有关，设置0.4时出现大量召回0情况。</w:t>
      </w:r>
    </w:p>
    <w:p w14:paraId="69495F73">
      <w:pPr>
        <w:widowControl w:val="0"/>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解决方案：对于法律文件检索，应降低召回数量，以提高命中率。对于切片长度，应控制在适合法律条文长度的区间。由于Query一般不会完全对应法律原文内容，应当适当降低召回阈值以保证召回率。</w:t>
      </w:r>
    </w:p>
    <w:p w14:paraId="45B9BDE1">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BC2：精确率低</w:t>
      </w:r>
    </w:p>
    <w:p w14:paraId="0DBD6278">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可能原因：</w:t>
      </w:r>
    </w:p>
    <w:p w14:paraId="6989C377">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①：与召回数量相关，召回4条时出现的频率明显低于召回7条和10条时的频率。</w:t>
      </w:r>
    </w:p>
    <w:p w14:paraId="24B3DACD">
      <w:pPr>
        <w:widowControl w:val="0"/>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②：与切片长度相关，最大长度1000时的情况略好于最大长度500时的情况，但并不稳定。</w:t>
      </w:r>
    </w:p>
    <w:p w14:paraId="36C1E7C2">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③：与召回阈值有关，设置0.4时除去召回0的情况，精确率相较于召回阈值0.1显著提升，考虑极端BD，平均精确率反而下降。</w:t>
      </w:r>
    </w:p>
    <w:p w14:paraId="29596FF1">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④：选用了large模型</w:t>
      </w:r>
    </w:p>
    <w:p w14:paraId="6936C3CB">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解决方案：降低召回数量，寻找合适的切片长度，拟定合理的召回阈值，放弃选用Large模型进行embedding。</w:t>
      </w:r>
    </w:p>
    <w:p w14:paraId="7EB7A69E">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BC3：召回率低</w:t>
      </w:r>
    </w:p>
    <w:p w14:paraId="73D0AD71">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可能原因：</w:t>
      </w:r>
    </w:p>
    <w:p w14:paraId="476633DE">
      <w:pPr>
        <w:widowControl w:val="0"/>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①：召回阈值设置过高，相关法条召回困难。</w:t>
      </w:r>
    </w:p>
    <w:p w14:paraId="4114B69B">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②：切片长度过长，导致chunk相关度更低，更难被召回。</w:t>
      </w:r>
    </w:p>
    <w:p w14:paraId="7A774D92">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解决方案，适当降低召回阈值；合理选择切片长度</w:t>
      </w:r>
    </w:p>
    <w:p w14:paraId="5DCAA6A8">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召回过程中产生的Bad case详见表《召回过程Badcase》</w:t>
      </w:r>
    </w:p>
    <w:p w14:paraId="5D50B5A8">
      <w:pPr>
        <w:widowControl w:val="0"/>
        <w:numPr>
          <w:ilvl w:val="0"/>
          <w:numId w:val="0"/>
        </w:numPr>
        <w:ind w:left="42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object>
          <v:shape id="_x0000_i1028" o:spt="75" type="#_x0000_t75" style="height:65.5pt;width:72.5pt;" o:ole="t" filled="f" o:preferrelative="t" stroked="f" coordsize="21600,21600">
            <v:path/>
            <v:fill on="f" focussize="0,0"/>
            <v:stroke on="f"/>
            <v:imagedata r:id="rId11" o:title=""/>
            <o:lock v:ext="edit" aspectratio="t"/>
            <w10:wrap type="none"/>
            <w10:anchorlock/>
          </v:shape>
          <o:OLEObject Type="Embed" ProgID="Excel.Sheet.12" ShapeID="_x0000_i1028" DrawAspect="Icon" ObjectID="_1468075728" r:id="rId10">
            <o:LockedField>false</o:LockedField>
          </o:OLEObject>
        </w:object>
      </w:r>
    </w:p>
    <w:p w14:paraId="00F30D08">
      <w:pPr>
        <w:widowControl w:val="0"/>
        <w:numPr>
          <w:ilvl w:val="0"/>
          <w:numId w:val="6"/>
        </w:numPr>
        <w:ind w:left="0" w:leftChars="0" w:firstLine="420" w:firstLineChars="0"/>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问答结果方面</w:t>
      </w:r>
    </w:p>
    <w:p w14:paraId="18379E3A">
      <w:pPr>
        <w:widowControl w:val="0"/>
        <w:numPr>
          <w:ilvl w:val="0"/>
          <w:numId w:val="0"/>
        </w:numPr>
        <w:ind w:left="420" w:leftChars="0" w:firstLine="420" w:firstLineChars="0"/>
        <w:jc w:val="left"/>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vertAlign w:val="baseline"/>
          <w:lang w:val="en-US" w:eastAsia="zh-CN"/>
        </w:rPr>
        <w:t>DeepSeek V3.1</w:t>
      </w:r>
      <w:r>
        <w:rPr>
          <w:rFonts w:hint="eastAsia" w:ascii="仿宋" w:hAnsi="仿宋" w:eastAsia="仿宋" w:cs="仿宋"/>
          <w:b w:val="0"/>
          <w:bCs w:val="0"/>
          <w:sz w:val="24"/>
          <w:szCs w:val="24"/>
          <w:lang w:val="en-US" w:eastAsia="zh-CN"/>
        </w:rPr>
        <w:t>、</w:t>
      </w:r>
      <w:r>
        <w:rPr>
          <w:rFonts w:hint="eastAsia" w:ascii="仿宋" w:hAnsi="仿宋" w:eastAsia="仿宋" w:cs="仿宋"/>
          <w:b w:val="0"/>
          <w:bCs w:val="0"/>
          <w:sz w:val="24"/>
          <w:szCs w:val="24"/>
          <w:vertAlign w:val="baseline"/>
          <w:lang w:val="en-US" w:eastAsia="zh-CN"/>
        </w:rPr>
        <w:t>豆包-Lite-32K、豆包-1.5-pro-32K</w:t>
      </w:r>
      <w:r>
        <w:rPr>
          <w:rFonts w:hint="eastAsia" w:ascii="仿宋" w:hAnsi="仿宋" w:eastAsia="仿宋" w:cs="仿宋"/>
          <w:b w:val="0"/>
          <w:bCs w:val="0"/>
          <w:sz w:val="24"/>
          <w:szCs w:val="24"/>
          <w:lang w:val="en-US" w:eastAsia="zh-CN"/>
        </w:rPr>
        <w:t>的平均Mos评分分别为1.35、1.64、1.67。</w:t>
      </w:r>
    </w:p>
    <w:p w14:paraId="6C3C350B">
      <w:pPr>
        <w:widowControl w:val="0"/>
        <w:numPr>
          <w:ilvl w:val="0"/>
          <w:numId w:val="0"/>
        </w:numPr>
        <w:ind w:left="420" w:leftChars="0"/>
        <w:jc w:val="left"/>
        <w:rPr>
          <w:rFonts w:hint="eastAsia" w:ascii="仿宋" w:hAnsi="仿宋" w:eastAsia="仿宋" w:cs="仿宋"/>
          <w:b w:val="0"/>
          <w:bCs w:val="0"/>
          <w:sz w:val="24"/>
          <w:szCs w:val="24"/>
          <w:lang w:val="en-US" w:eastAsia="zh-CN"/>
        </w:rPr>
      </w:pPr>
    </w:p>
    <w:tbl>
      <w:tblPr>
        <w:tblStyle w:val="3"/>
        <w:tblW w:w="0" w:type="auto"/>
        <w:tblInd w:w="4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1524"/>
        <w:gridCol w:w="1575"/>
        <w:gridCol w:w="1935"/>
      </w:tblGrid>
      <w:tr w14:paraId="0BE2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0" w:type="auto"/>
          </w:tcPr>
          <w:p w14:paraId="1AF8041E">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BC类型/模型名称</w:t>
            </w:r>
          </w:p>
        </w:tc>
        <w:tc>
          <w:tcPr>
            <w:tcW w:w="0" w:type="auto"/>
          </w:tcPr>
          <w:p w14:paraId="3BF863EC">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DeepSeek V3.1</w:t>
            </w:r>
          </w:p>
        </w:tc>
        <w:tc>
          <w:tcPr>
            <w:tcW w:w="0" w:type="auto"/>
          </w:tcPr>
          <w:p w14:paraId="62D3FB94">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豆包-Lite-32K</w:t>
            </w:r>
          </w:p>
        </w:tc>
        <w:tc>
          <w:tcPr>
            <w:tcW w:w="0" w:type="auto"/>
          </w:tcPr>
          <w:p w14:paraId="2513A5D0">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豆包-1.5-pro-32K</w:t>
            </w:r>
          </w:p>
        </w:tc>
      </w:tr>
      <w:tr w14:paraId="74C9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2AFB12">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拒绝回答</w:t>
            </w:r>
          </w:p>
        </w:tc>
        <w:tc>
          <w:tcPr>
            <w:tcW w:w="0" w:type="auto"/>
          </w:tcPr>
          <w:p w14:paraId="497B81BF">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w:t>
            </w:r>
          </w:p>
        </w:tc>
        <w:tc>
          <w:tcPr>
            <w:tcW w:w="0" w:type="auto"/>
          </w:tcPr>
          <w:p w14:paraId="56E63497">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0</w:t>
            </w:r>
          </w:p>
        </w:tc>
        <w:tc>
          <w:tcPr>
            <w:tcW w:w="0" w:type="auto"/>
          </w:tcPr>
          <w:p w14:paraId="5D5E3C55">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w:t>
            </w:r>
          </w:p>
        </w:tc>
      </w:tr>
      <w:tr w14:paraId="34E1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DA32A">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低分回答（&lt;=1.6）</w:t>
            </w:r>
          </w:p>
        </w:tc>
        <w:tc>
          <w:tcPr>
            <w:tcW w:w="0" w:type="auto"/>
          </w:tcPr>
          <w:p w14:paraId="10B3C207">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7</w:t>
            </w:r>
          </w:p>
        </w:tc>
        <w:tc>
          <w:tcPr>
            <w:tcW w:w="0" w:type="auto"/>
          </w:tcPr>
          <w:p w14:paraId="287993D2">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w:t>
            </w:r>
          </w:p>
        </w:tc>
        <w:tc>
          <w:tcPr>
            <w:tcW w:w="0" w:type="auto"/>
          </w:tcPr>
          <w:p w14:paraId="0FD827FE">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3</w:t>
            </w:r>
          </w:p>
        </w:tc>
      </w:tr>
      <w:tr w14:paraId="3DD4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1CD25">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无根据回答（生成回答但准确率为0）</w:t>
            </w:r>
          </w:p>
        </w:tc>
        <w:tc>
          <w:tcPr>
            <w:tcW w:w="0" w:type="auto"/>
          </w:tcPr>
          <w:p w14:paraId="08F25F3E">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0</w:t>
            </w:r>
          </w:p>
        </w:tc>
        <w:tc>
          <w:tcPr>
            <w:tcW w:w="0" w:type="auto"/>
          </w:tcPr>
          <w:p w14:paraId="7F2AAB17">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w:t>
            </w:r>
          </w:p>
        </w:tc>
        <w:tc>
          <w:tcPr>
            <w:tcW w:w="0" w:type="auto"/>
          </w:tcPr>
          <w:p w14:paraId="22A0D63F">
            <w:pPr>
              <w:widowControl w:val="0"/>
              <w:numPr>
                <w:ilvl w:val="0"/>
                <w:numId w:val="0"/>
              </w:numPr>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w:t>
            </w:r>
          </w:p>
        </w:tc>
      </w:tr>
    </w:tbl>
    <w:p w14:paraId="76F8BD2A">
      <w:pPr>
        <w:widowControl w:val="0"/>
        <w:numPr>
          <w:ilvl w:val="0"/>
          <w:numId w:val="0"/>
        </w:numPr>
        <w:ind w:left="420" w:leftChars="0" w:firstLine="420" w:firstLineChars="0"/>
        <w:jc w:val="left"/>
        <w:rPr>
          <w:rFonts w:hint="default" w:ascii="仿宋" w:hAnsi="仿宋" w:eastAsia="仿宋" w:cs="仿宋"/>
          <w:b w:val="0"/>
          <w:bCs w:val="0"/>
          <w:sz w:val="24"/>
          <w:szCs w:val="24"/>
          <w:lang w:val="en-US" w:eastAsia="zh-CN"/>
        </w:rPr>
      </w:pPr>
    </w:p>
    <w:p w14:paraId="1B6C77E0">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lang w:val="en-US" w:eastAsia="zh-CN"/>
        </w:rPr>
        <w:t>由上表可见，综合得分情况来讲，</w:t>
      </w:r>
      <w:r>
        <w:rPr>
          <w:rFonts w:hint="eastAsia" w:ascii="仿宋" w:hAnsi="仿宋" w:eastAsia="仿宋" w:cs="仿宋"/>
          <w:b w:val="0"/>
          <w:bCs w:val="0"/>
          <w:sz w:val="24"/>
          <w:szCs w:val="24"/>
          <w:vertAlign w:val="baseline"/>
          <w:lang w:val="en-US" w:eastAsia="zh-CN"/>
        </w:rPr>
        <w:t>DeepSeek V3.1最差，豆包-1.5-pro-32K略好于豆包-Lite-32K。</w:t>
      </w:r>
    </w:p>
    <w:p w14:paraId="7B5F52A4">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DeepSeekV3.1拒绝回答的概率超过25%，代表此模型对于检索的依赖最为严重，一部分由于检索未返回结果，一部分由于检索返回的结果无法使用，因此其低分回答的情况也是最多的。但此模型无根据回答的比率为0，所以生成的回答可靠度很高。</w:t>
      </w:r>
    </w:p>
    <w:p w14:paraId="7111204E">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解决方案：如使用此模型，需要极大的加强知识库的检索效果，从而提升可靠性。</w:t>
      </w:r>
    </w:p>
    <w:p w14:paraId="2EF7F1D1">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豆包-Lite-32K 对于每一个Query都生成了回答，但生成低分回答的比率很大，即便知识库没有检索到能使用的内容，此模型依然生成了回答。这样的结果导致其极大的提高了误导用户的可能性。</w:t>
      </w:r>
    </w:p>
    <w:p w14:paraId="633ADCBF">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解决方案：通过加强Prompt书写的方式，提高知识库对于回答生成的约束力。</w:t>
      </w:r>
    </w:p>
    <w:p w14:paraId="5251BAD1">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豆包-1.5-pro-32K 有一个拒绝回答的BC，但此回答其他模型都能正常回答，且检索知识库有正常结果返回。此模型生成回答质量偏高，总体性能优于前两个模型。</w:t>
      </w:r>
    </w:p>
    <w:p w14:paraId="02A77F91">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解决方案：对于此模型回答的异常点，可以试着提高模型温度，通过给予模型更高自由度的方式，尝试让其利用检索到的法条。</w:t>
      </w:r>
    </w:p>
    <w:p w14:paraId="592A49ED">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问答结果及Bad case标注详见表《模型回答对比》</w:t>
      </w:r>
    </w:p>
    <w:p w14:paraId="74E84341">
      <w:pPr>
        <w:widowControl w:val="0"/>
        <w:numPr>
          <w:ilvl w:val="0"/>
          <w:numId w:val="0"/>
        </w:numPr>
        <w:ind w:left="420" w:leftChars="0" w:firstLine="420" w:firstLineChars="0"/>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object>
          <v:shape id="_x0000_i1029" o:spt="75" type="#_x0000_t75" style="height:65.5pt;width:72.5pt;" o:ole="t" filled="f" o:preferrelative="t" stroked="f" coordsize="21600,21600">
            <v:path/>
            <v:fill on="f" focussize="0,0"/>
            <v:stroke on="f"/>
            <v:imagedata r:id="rId13" o:title=""/>
            <o:lock v:ext="edit" aspectratio="t"/>
            <w10:wrap type="none"/>
            <w10:anchorlock/>
          </v:shape>
          <o:OLEObject Type="Embed" ProgID="Excel.Sheet.12" ShapeID="_x0000_i1029" DrawAspect="Icon" ObjectID="_1468075729" r:id="rId12">
            <o:LockedField>false</o:LockedField>
          </o:OLEObject>
        </w:object>
      </w:r>
    </w:p>
    <w:p w14:paraId="6C73B66A">
      <w:pPr>
        <w:widowControl w:val="0"/>
        <w:numPr>
          <w:ilvl w:val="0"/>
          <w:numId w:val="0"/>
        </w:numPr>
        <w:jc w:val="left"/>
        <w:rPr>
          <w:rFonts w:hint="default" w:ascii="仿宋" w:hAnsi="仿宋" w:eastAsia="仿宋" w:cs="仿宋"/>
          <w:b w:val="0"/>
          <w:bCs w:val="0"/>
          <w:sz w:val="28"/>
          <w:szCs w:val="28"/>
          <w:lang w:val="en-US" w:eastAsia="zh-CN"/>
        </w:rPr>
      </w:pPr>
    </w:p>
    <w:p w14:paraId="555F02F2">
      <w:pPr>
        <w:widowControl w:val="0"/>
        <w:numPr>
          <w:ilvl w:val="0"/>
          <w:numId w:val="0"/>
        </w:numPr>
        <w:jc w:val="left"/>
        <w:rPr>
          <w:rFonts w:hint="default" w:ascii="仿宋" w:hAnsi="仿宋" w:eastAsia="仿宋" w:cs="仿宋"/>
          <w:b w:val="0"/>
          <w:bCs w:val="0"/>
          <w:sz w:val="28"/>
          <w:szCs w:val="28"/>
          <w:lang w:val="en-US" w:eastAsia="zh-CN"/>
        </w:rPr>
      </w:pPr>
    </w:p>
    <w:p w14:paraId="5251315E">
      <w:pPr>
        <w:numPr>
          <w:ilvl w:val="0"/>
          <w:numId w:val="0"/>
        </w:numPr>
        <w:jc w:val="left"/>
        <w:rPr>
          <w:rFonts w:hint="eastAsia" w:ascii="仿宋" w:hAnsi="仿宋" w:eastAsia="仿宋" w:cs="仿宋"/>
          <w:b w:val="0"/>
          <w:bCs w:val="0"/>
          <w:sz w:val="28"/>
          <w:szCs w:val="28"/>
          <w:lang w:val="en-US" w:eastAsia="zh-CN"/>
        </w:rPr>
      </w:pPr>
    </w:p>
    <w:p w14:paraId="60CB4D02">
      <w:pPr>
        <w:numPr>
          <w:ilvl w:val="0"/>
          <w:numId w:val="0"/>
        </w:numPr>
        <w:ind w:leftChars="0" w:firstLine="420" w:firstLineChars="0"/>
        <w:jc w:val="left"/>
        <w:rPr>
          <w:rFonts w:hint="default" w:ascii="仿宋" w:hAnsi="仿宋" w:eastAsia="仿宋" w:cs="仿宋"/>
          <w:b w:val="0"/>
          <w:bCs w:val="0"/>
          <w:sz w:val="28"/>
          <w:szCs w:val="28"/>
          <w:lang w:val="en-US" w:eastAsia="zh-CN"/>
        </w:rPr>
      </w:pPr>
    </w:p>
    <w:p w14:paraId="5679AC9D">
      <w:pPr>
        <w:numPr>
          <w:ilvl w:val="0"/>
          <w:numId w:val="0"/>
        </w:numPr>
        <w:jc w:val="left"/>
        <w:rPr>
          <w:rFonts w:hint="default" w:ascii="仿宋" w:hAnsi="仿宋" w:eastAsia="仿宋" w:cs="仿宋"/>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AE9F34"/>
    <w:multiLevelType w:val="singleLevel"/>
    <w:tmpl w:val="F0AE9F34"/>
    <w:lvl w:ilvl="0" w:tentative="0">
      <w:start w:val="1"/>
      <w:numFmt w:val="decimal"/>
      <w:lvlText w:val="%1."/>
      <w:lvlJc w:val="left"/>
      <w:pPr>
        <w:tabs>
          <w:tab w:val="left" w:pos="312"/>
        </w:tabs>
      </w:pPr>
    </w:lvl>
  </w:abstractNum>
  <w:abstractNum w:abstractNumId="1">
    <w:nsid w:val="0F3B62B7"/>
    <w:multiLevelType w:val="multilevel"/>
    <w:tmpl w:val="0F3B62B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1012A487"/>
    <w:multiLevelType w:val="multilevel"/>
    <w:tmpl w:val="1012A48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4F095DEC"/>
    <w:multiLevelType w:val="singleLevel"/>
    <w:tmpl w:val="4F095DEC"/>
    <w:lvl w:ilvl="0" w:tentative="0">
      <w:start w:val="1"/>
      <w:numFmt w:val="decimal"/>
      <w:lvlText w:val="%1."/>
      <w:lvlJc w:val="left"/>
      <w:pPr>
        <w:tabs>
          <w:tab w:val="left" w:pos="312"/>
        </w:tabs>
      </w:pPr>
    </w:lvl>
  </w:abstractNum>
  <w:abstractNum w:abstractNumId="4">
    <w:nsid w:val="780C8D8F"/>
    <w:multiLevelType w:val="singleLevel"/>
    <w:tmpl w:val="780C8D8F"/>
    <w:lvl w:ilvl="0" w:tentative="0">
      <w:start w:val="1"/>
      <w:numFmt w:val="decimal"/>
      <w:lvlText w:val="%1."/>
      <w:lvlJc w:val="left"/>
      <w:pPr>
        <w:tabs>
          <w:tab w:val="left" w:pos="312"/>
        </w:tabs>
      </w:pPr>
    </w:lvl>
  </w:abstractNum>
  <w:abstractNum w:abstractNumId="5">
    <w:nsid w:val="7A2CD91B"/>
    <w:multiLevelType w:val="singleLevel"/>
    <w:tmpl w:val="7A2CD91B"/>
    <w:lvl w:ilvl="0" w:tentative="0">
      <w:start w:val="1"/>
      <w:numFmt w:val="chineseCounting"/>
      <w:suff w:val="nothing"/>
      <w:lvlText w:val="%1、"/>
      <w:lvlJc w:val="left"/>
      <w:rPr>
        <w:rFonts w:hint="eastAsia"/>
      </w:r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D11A3A"/>
    <w:rsid w:val="037F056F"/>
    <w:rsid w:val="0554567E"/>
    <w:rsid w:val="09391870"/>
    <w:rsid w:val="0D9B4745"/>
    <w:rsid w:val="14C10B1B"/>
    <w:rsid w:val="1C5E03BD"/>
    <w:rsid w:val="32CC4A3A"/>
    <w:rsid w:val="33416CF8"/>
    <w:rsid w:val="5C253A63"/>
    <w:rsid w:val="60D11A3A"/>
    <w:rsid w:val="61D273D1"/>
    <w:rsid w:val="63C6697B"/>
    <w:rsid w:val="7CF91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 w:type="character" w:customStyle="1" w:styleId="6">
    <w:name w:val="font11"/>
    <w:basedOn w:val="4"/>
    <w:uiPriority w:val="0"/>
    <w:rPr>
      <w:rFonts w:hint="eastAsia" w:ascii="宋体" w:hAnsi="宋体" w:eastAsia="宋体" w:cs="宋体"/>
      <w:b/>
      <w:bCs/>
      <w:color w:val="000000"/>
      <w:sz w:val="22"/>
      <w:szCs w:val="22"/>
      <w:u w:val="none"/>
    </w:rPr>
  </w:style>
  <w:style w:type="character" w:customStyle="1" w:styleId="7">
    <w:name w:val="font01"/>
    <w:basedOn w:val="4"/>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emf"/><Relationship Id="rId12" Type="http://schemas.openxmlformats.org/officeDocument/2006/relationships/oleObject" Target="embeddings/oleObject5.bin"/><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4760</Words>
  <Characters>5193</Characters>
  <Lines>0</Lines>
  <Paragraphs>0</Paragraphs>
  <TotalTime>6</TotalTime>
  <ScaleCrop>false</ScaleCrop>
  <LinksUpToDate>false</LinksUpToDate>
  <CharactersWithSpaces>5206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2026-03-03T14:20:00Z</dcterms:created>
  <dc:creator>WPS_1615513796</dc:creator>
  <cp:lastModifiedBy>WPS_1615513796</cp:lastModifiedBy>
  <dcterms:modified xsi:type="dcterms:W3CDTF">2026-03-07T07:53:04Z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A0F35417ED184AE2A8E6428838AC2D6B_13</vt:lpwstr>
  </property>
  <property fmtid="{D5CDD505-2E9C-101B-9397-08002B2CF9AE}" pid="4" name="KSOTemplateDocerSaveRecord">
    <vt:lpwstr>eyJoZGlkIjoiOGJlYzE3NTBiMjgwZWVhNDBjZTQxZDE5MjhkOTYwNWYiLCJ1c2VySWQiOiIxMTgwMTE5MzYwIn0=</vt:lpwstr>
  </property>
</Properties>
</file>