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养老基金安全指数</w:t>
      </w:r>
    </w:p>
    <w:p>
      <w:pPr>
        <w:jc w:val="center"/>
        <w:rPr>
          <w:rFonts w:hint="eastAsia" w:ascii="黑体" w:hAnsi="黑体" w:eastAsia="黑体" w:cs="黑体"/>
          <w:sz w:val="36"/>
          <w:szCs w:val="36"/>
          <w:lang w:val="en-US" w:eastAsia="zh-CN"/>
        </w:rPr>
      </w:pPr>
    </w:p>
    <w:p>
      <w:pPr>
        <w:pStyle w:val="2"/>
        <w:bidi w:val="0"/>
        <w:rPr>
          <w:rFonts w:hint="eastAsia"/>
          <w:sz w:val="30"/>
          <w:szCs w:val="30"/>
          <w:lang w:val="en-US" w:eastAsia="zh-CN"/>
        </w:rPr>
      </w:pPr>
      <w:r>
        <w:rPr>
          <w:rFonts w:hint="eastAsia"/>
          <w:sz w:val="30"/>
          <w:szCs w:val="30"/>
          <w:lang w:val="en-US" w:eastAsia="zh-CN"/>
        </w:rPr>
        <w:t>1、为什么要做这个模型</w:t>
      </w:r>
    </w:p>
    <w:p>
      <w:pPr>
        <w:rPr>
          <w:rFonts w:hint="default"/>
          <w:sz w:val="24"/>
          <w:szCs w:val="24"/>
          <w:lang w:val="en-US" w:eastAsia="zh-CN"/>
        </w:rPr>
      </w:pPr>
      <w:r>
        <w:rPr>
          <w:rFonts w:hint="eastAsia"/>
          <w:sz w:val="24"/>
          <w:szCs w:val="24"/>
          <w:lang w:val="en-US" w:eastAsia="zh-CN"/>
        </w:rPr>
        <w:t>（1）政策要求</w:t>
      </w:r>
    </w:p>
    <w:p>
      <w:pPr>
        <w:spacing w:line="360" w:lineRule="auto"/>
        <w:ind w:firstLine="420" w:firstLineChars="0"/>
        <w:rPr>
          <w:rFonts w:hint="eastAsia"/>
          <w:sz w:val="24"/>
          <w:szCs w:val="24"/>
          <w:lang w:val="en-US" w:eastAsia="zh-CN"/>
        </w:rPr>
      </w:pPr>
      <w:r>
        <w:rPr>
          <w:rFonts w:hint="eastAsia"/>
          <w:sz w:val="24"/>
          <w:szCs w:val="24"/>
          <w:lang w:val="en-US" w:eastAsia="zh-CN"/>
        </w:rPr>
        <w:t>2015年人力资源社会保障部就强调“确保养老保险基金的绝对安全始终是第一位要考虑的问题”。</w:t>
      </w:r>
    </w:p>
    <w:p>
      <w:pPr>
        <w:spacing w:line="360" w:lineRule="auto"/>
        <w:ind w:firstLine="420" w:firstLineChars="0"/>
        <w:rPr>
          <w:rFonts w:hint="eastAsia"/>
          <w:sz w:val="24"/>
          <w:szCs w:val="24"/>
          <w:lang w:val="en-US" w:eastAsia="zh-CN"/>
        </w:rPr>
      </w:pPr>
      <w:r>
        <w:rPr>
          <w:rFonts w:hint="eastAsia"/>
          <w:sz w:val="24"/>
          <w:szCs w:val="24"/>
          <w:lang w:val="en-US" w:eastAsia="zh-CN"/>
        </w:rPr>
        <w:t>2022年11月24日人社部召开全国城乡居民养老保险工作推进会，强调持续扩大参保覆盖范围，提高筹资和保障水平，巩固拓展社保扶贫成果，强化基金安全管理。</w:t>
      </w:r>
    </w:p>
    <w:p>
      <w:pPr>
        <w:rPr>
          <w:rFonts w:hint="default"/>
          <w:sz w:val="24"/>
          <w:szCs w:val="24"/>
          <w:lang w:val="en-US" w:eastAsia="zh-CN"/>
        </w:rPr>
      </w:pPr>
      <w:r>
        <w:rPr>
          <w:rFonts w:hint="eastAsia"/>
          <w:sz w:val="24"/>
          <w:szCs w:val="24"/>
          <w:lang w:val="en-US" w:eastAsia="zh-CN"/>
        </w:rPr>
        <w:t>（2）老龄化严重</w:t>
      </w:r>
    </w:p>
    <w:p>
      <w:pPr>
        <w:spacing w:line="360" w:lineRule="auto"/>
        <w:ind w:firstLine="420" w:firstLineChars="0"/>
        <w:rPr>
          <w:rFonts w:hint="eastAsia"/>
          <w:sz w:val="24"/>
          <w:szCs w:val="24"/>
          <w:lang w:val="en-US" w:eastAsia="zh-CN"/>
        </w:rPr>
      </w:pPr>
      <w:r>
        <w:rPr>
          <w:rFonts w:hint="eastAsia"/>
          <w:sz w:val="24"/>
          <w:szCs w:val="24"/>
          <w:lang w:val="en-US" w:eastAsia="zh-CN"/>
        </w:rPr>
        <w:t>以国际通用指标来判断我国老龄化进程，2000年65岁及以上人口7%，进入老龄化社会，目前该指标超过12%；大约在2025年，该指标达到14%，进入深度老龄社会；2035年将达到20%，进入超级老龄社会。未来5~10年，中国将迎来老龄化更加严峻的挑战。2019年11月发布的《国家积极应对人口老龄化中长期规划》（下称《中长期规划》）中强调，“夯实应对人口老龄化的社会财富储备。通过完善国民收入分配体系，优化政府、企业、居民之间的分配格局，稳步增加养老财富储备”。而养老基金是养老财富储备的重要来源，是化解长寿风险的必然选择。</w:t>
      </w:r>
    </w:p>
    <w:p>
      <w:pPr>
        <w:spacing w:line="360" w:lineRule="auto"/>
        <w:rPr>
          <w:rFonts w:hint="eastAsia"/>
          <w:sz w:val="24"/>
          <w:szCs w:val="24"/>
          <w:lang w:val="en-US" w:eastAsia="zh-CN"/>
        </w:rPr>
      </w:pPr>
      <w:r>
        <w:rPr>
          <w:rFonts w:hint="eastAsia"/>
          <w:sz w:val="24"/>
          <w:szCs w:val="24"/>
          <w:lang w:val="en-US" w:eastAsia="zh-CN"/>
        </w:rPr>
        <w:t>（3）关系整个社保制度可持续运行</w:t>
      </w:r>
    </w:p>
    <w:p>
      <w:pPr>
        <w:spacing w:line="360" w:lineRule="auto"/>
        <w:ind w:firstLine="420" w:firstLineChars="0"/>
        <w:rPr>
          <w:rFonts w:hint="eastAsia"/>
          <w:sz w:val="24"/>
          <w:szCs w:val="24"/>
          <w:lang w:val="en-US" w:eastAsia="zh-CN"/>
        </w:rPr>
      </w:pPr>
      <w:r>
        <w:rPr>
          <w:rFonts w:hint="eastAsia"/>
          <w:sz w:val="24"/>
          <w:szCs w:val="24"/>
          <w:lang w:val="en-US" w:eastAsia="zh-CN"/>
        </w:rPr>
        <w:t>随着我国社会保障体系建设的不断发展和完善，社保覆盖范围不断扩大，待遇水平稳步提高，基金规模增长迅速，其中占比最大的养老保险发挥着关键作用。由于人均寿命延长、退休待遇不断提高和缴费率下调，以及地区间政策施行差异化、收支不均衡等现实问题，给社保基金可持续性带来挑战。</w:t>
      </w:r>
    </w:p>
    <w:p>
      <w:pPr>
        <w:spacing w:line="360" w:lineRule="auto"/>
        <w:rPr>
          <w:rFonts w:hint="default"/>
          <w:sz w:val="24"/>
          <w:szCs w:val="24"/>
          <w:lang w:val="en-US" w:eastAsia="zh-CN"/>
        </w:rPr>
      </w:pPr>
      <w:r>
        <w:rPr>
          <w:rFonts w:hint="eastAsia"/>
          <w:sz w:val="24"/>
          <w:szCs w:val="24"/>
          <w:lang w:val="en-US" w:eastAsia="zh-CN"/>
        </w:rPr>
        <w:t>（4）影响现行养老保险运行模式</w:t>
      </w:r>
    </w:p>
    <w:p>
      <w:pPr>
        <w:spacing w:line="360" w:lineRule="auto"/>
        <w:ind w:firstLine="420" w:firstLineChars="0"/>
        <w:rPr>
          <w:rFonts w:hint="eastAsia"/>
          <w:sz w:val="24"/>
          <w:szCs w:val="24"/>
          <w:lang w:val="en-US" w:eastAsia="zh-CN"/>
        </w:rPr>
      </w:pPr>
      <w:r>
        <w:rPr>
          <w:rFonts w:hint="eastAsia"/>
          <w:sz w:val="24"/>
          <w:szCs w:val="24"/>
          <w:lang w:val="en-US" w:eastAsia="zh-CN"/>
        </w:rPr>
        <w:t>我国实行的是国家统筹管理的社会养老保险体系，采取现收现付制模式，这是以我国较多的年轻人口为基础的。根据劳动和社会保障部统计数据，我国的退休在职比退休职工与在职职工之比1985年为1:7.5，到2004年这一数据变为1:2.3，仅仅20年的时间，赡养负担提高了3倍多。养老保障体系入不敷出情况加剧，养老保险基金收难抵支，缺口呈逐年增加趋势，单纯的现收现付制已然难以维系。</w:t>
      </w:r>
    </w:p>
    <w:p>
      <w:pPr>
        <w:spacing w:line="360" w:lineRule="auto"/>
        <w:ind w:firstLine="420" w:firstLineChars="0"/>
        <w:rPr>
          <w:rFonts w:hint="eastAsia"/>
          <w:sz w:val="24"/>
          <w:szCs w:val="24"/>
          <w:lang w:val="en-US" w:eastAsia="zh-CN"/>
        </w:rPr>
      </w:pPr>
      <w:r>
        <w:rPr>
          <w:rFonts w:hint="eastAsia"/>
          <w:sz w:val="24"/>
          <w:szCs w:val="24"/>
          <w:lang w:val="en-US" w:eastAsia="zh-CN"/>
        </w:rPr>
        <w:t>因此，科学评估养老基金运行安全水平迫在眉睫。</w:t>
      </w:r>
    </w:p>
    <w:p>
      <w:pPr>
        <w:pStyle w:val="2"/>
        <w:bidi w:val="0"/>
        <w:rPr>
          <w:rFonts w:hint="default"/>
          <w:sz w:val="30"/>
          <w:szCs w:val="30"/>
          <w:lang w:val="en-US" w:eastAsia="zh-CN"/>
        </w:rPr>
      </w:pPr>
      <w:r>
        <w:rPr>
          <w:rFonts w:hint="eastAsia"/>
          <w:sz w:val="30"/>
          <w:szCs w:val="30"/>
          <w:lang w:val="en-US" w:eastAsia="zh-CN"/>
        </w:rPr>
        <w:t>2、本模型可以得到什么</w:t>
      </w:r>
    </w:p>
    <w:p>
      <w:pPr>
        <w:spacing w:line="360" w:lineRule="auto"/>
        <w:ind w:firstLine="420" w:firstLineChars="0"/>
        <w:rPr>
          <w:rFonts w:hint="default"/>
          <w:lang w:val="en-US" w:eastAsia="zh-CN"/>
        </w:rPr>
      </w:pPr>
      <w:r>
        <w:rPr>
          <w:rFonts w:hint="default"/>
          <w:lang w:val="en-US" w:eastAsia="zh-CN"/>
        </w:rPr>
        <w:t>在深入分析养老保险基金筹集、管理和支付安全影响因素的基础上，</w:t>
      </w:r>
      <w:r>
        <w:rPr>
          <w:rFonts w:hint="eastAsia"/>
          <w:lang w:val="en-US" w:eastAsia="zh-CN"/>
        </w:rPr>
        <w:t>构建了3维度共计18个指标的</w:t>
      </w:r>
      <w:r>
        <w:rPr>
          <w:rFonts w:hint="default"/>
          <w:lang w:val="en-US" w:eastAsia="zh-CN"/>
        </w:rPr>
        <w:t>养老保险基金安全评价指标</w:t>
      </w:r>
      <w:r>
        <w:rPr>
          <w:rFonts w:hint="eastAsia"/>
          <w:lang w:val="en-US" w:eastAsia="zh-CN"/>
        </w:rPr>
        <w:t>体系</w:t>
      </w:r>
      <w:r>
        <w:rPr>
          <w:rFonts w:hint="default"/>
          <w:lang w:val="en-US" w:eastAsia="zh-CN"/>
        </w:rPr>
        <w:t>，</w:t>
      </w:r>
      <w:r>
        <w:rPr>
          <w:rFonts w:hint="eastAsia"/>
          <w:lang w:val="en-US" w:eastAsia="zh-CN"/>
        </w:rPr>
        <w:t>然后</w:t>
      </w:r>
      <w:r>
        <w:rPr>
          <w:rFonts w:hint="default"/>
          <w:lang w:val="en-US" w:eastAsia="zh-CN"/>
        </w:rPr>
        <w:t>利用</w:t>
      </w:r>
      <w:r>
        <w:rPr>
          <w:rFonts w:hint="eastAsia"/>
          <w:lang w:val="en-US" w:eastAsia="zh-CN"/>
        </w:rPr>
        <w:t>客观赋权</w:t>
      </w:r>
      <w:r>
        <w:rPr>
          <w:rFonts w:hint="default"/>
          <w:lang w:val="en-US" w:eastAsia="zh-CN"/>
        </w:rPr>
        <w:t>法确定评价指标权重，</w:t>
      </w:r>
      <w:r>
        <w:rPr>
          <w:rFonts w:hint="eastAsia"/>
          <w:lang w:val="en-US" w:eastAsia="zh-CN"/>
        </w:rPr>
        <w:t>最后采用</w:t>
      </w:r>
      <w:r>
        <w:rPr>
          <w:rFonts w:hint="default"/>
          <w:lang w:val="en-US" w:eastAsia="zh-CN"/>
        </w:rPr>
        <w:t>综合指数法计算</w:t>
      </w:r>
      <w:r>
        <w:rPr>
          <w:rFonts w:hint="eastAsia"/>
          <w:lang w:val="en-US" w:eastAsia="zh-CN"/>
        </w:rPr>
        <w:t>得到养老</w:t>
      </w:r>
      <w:r>
        <w:rPr>
          <w:rFonts w:hint="default"/>
          <w:lang w:val="en-US" w:eastAsia="zh-CN"/>
        </w:rPr>
        <w:t>基金安全指数。</w:t>
      </w:r>
    </w:p>
    <w:p>
      <w:pPr>
        <w:pStyle w:val="2"/>
        <w:bidi w:val="0"/>
        <w:rPr>
          <w:rFonts w:hint="eastAsia"/>
          <w:sz w:val="30"/>
          <w:szCs w:val="30"/>
          <w:lang w:val="en-US" w:eastAsia="zh-CN"/>
        </w:rPr>
      </w:pPr>
      <w:r>
        <w:rPr>
          <w:rFonts w:hint="eastAsia"/>
          <w:sz w:val="30"/>
          <w:szCs w:val="30"/>
          <w:lang w:val="en-US" w:eastAsia="zh-CN"/>
        </w:rPr>
        <w:t>3、指标体系</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2963"/>
        <w:gridCol w:w="4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shd w:val="clear" w:color="auto" w:fill="CFCECE" w:themeFill="background2" w:themeFillShade="E5"/>
          </w:tcPr>
          <w:p>
            <w:pPr>
              <w:jc w:val="center"/>
              <w:rPr>
                <w:rFonts w:hint="default"/>
                <w:sz w:val="24"/>
                <w:szCs w:val="24"/>
                <w:vertAlign w:val="baseline"/>
                <w:lang w:val="en-US" w:eastAsia="zh-CN"/>
              </w:rPr>
            </w:pPr>
            <w:r>
              <w:rPr>
                <w:rFonts w:hint="eastAsia"/>
                <w:sz w:val="24"/>
                <w:szCs w:val="24"/>
                <w:vertAlign w:val="baseline"/>
                <w:lang w:val="en-US" w:eastAsia="zh-CN"/>
              </w:rPr>
              <w:t>一级指标</w:t>
            </w:r>
          </w:p>
        </w:tc>
        <w:tc>
          <w:tcPr>
            <w:tcW w:w="2963" w:type="dxa"/>
            <w:shd w:val="clear" w:color="auto" w:fill="CFCECE" w:themeFill="background2" w:themeFillShade="E5"/>
          </w:tcPr>
          <w:p>
            <w:pPr>
              <w:jc w:val="center"/>
              <w:rPr>
                <w:rFonts w:hint="default" w:eastAsiaTheme="minorEastAsia"/>
                <w:sz w:val="24"/>
                <w:szCs w:val="24"/>
                <w:vertAlign w:val="baseline"/>
                <w:lang w:val="en-US" w:eastAsia="zh-CN"/>
              </w:rPr>
            </w:pPr>
            <w:r>
              <w:rPr>
                <w:rFonts w:hint="eastAsia"/>
                <w:sz w:val="24"/>
                <w:szCs w:val="24"/>
                <w:vertAlign w:val="baseline"/>
                <w:lang w:val="en-US" w:eastAsia="zh-CN"/>
              </w:rPr>
              <w:t>二级指标</w:t>
            </w:r>
          </w:p>
        </w:tc>
        <w:tc>
          <w:tcPr>
            <w:tcW w:w="4197" w:type="dxa"/>
            <w:shd w:val="clear" w:color="auto" w:fill="CFCECE" w:themeFill="background2" w:themeFillShade="E5"/>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restart"/>
            <w:vAlign w:val="center"/>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筹集安全</w:t>
            </w:r>
          </w:p>
        </w:tc>
        <w:tc>
          <w:tcPr>
            <w:tcW w:w="2963" w:type="dxa"/>
            <w:vAlign w:val="center"/>
          </w:tcPr>
          <w:p>
            <w:pPr>
              <w:jc w:val="both"/>
              <w:rPr>
                <w:rFonts w:hint="default" w:eastAsiaTheme="minorEastAsia"/>
                <w:sz w:val="24"/>
                <w:szCs w:val="24"/>
                <w:vertAlign w:val="baseline"/>
                <w:lang w:val="en-US" w:eastAsia="zh-CN"/>
              </w:rPr>
            </w:pPr>
            <w:r>
              <w:rPr>
                <w:rFonts w:hint="eastAsia"/>
                <w:sz w:val="24"/>
                <w:szCs w:val="24"/>
                <w:vertAlign w:val="baseline"/>
                <w:lang w:val="en-US" w:eastAsia="zh-CN"/>
              </w:rPr>
              <w:t>参保率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参保人数/就业总人数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eastAsiaTheme="minorEastAsia"/>
                <w:sz w:val="24"/>
                <w:szCs w:val="24"/>
                <w:vertAlign w:val="baseline"/>
                <w:lang w:val="en-US" w:eastAsia="zh-CN"/>
              </w:rPr>
            </w:pPr>
            <w:r>
              <w:rPr>
                <w:rFonts w:hint="eastAsia"/>
                <w:sz w:val="24"/>
                <w:szCs w:val="24"/>
                <w:vertAlign w:val="baseline"/>
                <w:lang w:val="en-US" w:eastAsia="zh-CN"/>
              </w:rPr>
              <w:t>征缴率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实际缴费人数/参保人数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eastAsia" w:eastAsiaTheme="minorEastAsia"/>
                <w:sz w:val="24"/>
                <w:szCs w:val="24"/>
                <w:vertAlign w:val="baseline"/>
                <w:lang w:val="en-US" w:eastAsia="zh-CN"/>
              </w:rPr>
            </w:pPr>
            <w:r>
              <w:rPr>
                <w:rFonts w:hint="eastAsia"/>
                <w:sz w:val="24"/>
                <w:szCs w:val="24"/>
                <w:vertAlign w:val="baseline"/>
                <w:lang w:val="en-US" w:eastAsia="zh-CN"/>
              </w:rPr>
              <w:t>工资指数</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缴费工资/上年度在岗平均工资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就业人数增长率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eastAsia="zh-CN"/>
              </w:rPr>
              <w:t>（</w:t>
            </w:r>
            <w:r>
              <w:rPr>
                <w:rFonts w:hint="eastAsia"/>
                <w:sz w:val="24"/>
                <w:szCs w:val="24"/>
                <w:vertAlign w:val="baseline"/>
                <w:lang w:val="en-US" w:eastAsia="zh-CN"/>
              </w:rPr>
              <w:t>本期就业人数-上期就业人数</w:t>
            </w:r>
            <w:r>
              <w:rPr>
                <w:rFonts w:hint="eastAsia"/>
                <w:sz w:val="24"/>
                <w:szCs w:val="24"/>
                <w:vertAlign w:val="baseline"/>
                <w:lang w:eastAsia="zh-CN"/>
              </w:rPr>
              <w:t>）</w:t>
            </w:r>
            <w:r>
              <w:rPr>
                <w:rFonts w:hint="eastAsia"/>
                <w:sz w:val="24"/>
                <w:szCs w:val="24"/>
                <w:vertAlign w:val="baseline"/>
                <w:lang w:val="en-US" w:eastAsia="zh-CN"/>
              </w:rPr>
              <w:t>/上期就业人数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财政补贴基本养老保险基金增长率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eastAsia="zh-CN"/>
              </w:rPr>
              <w:t>（</w:t>
            </w:r>
            <w:r>
              <w:rPr>
                <w:rFonts w:hint="eastAsia"/>
                <w:sz w:val="24"/>
                <w:szCs w:val="24"/>
                <w:vertAlign w:val="baseline"/>
                <w:lang w:val="en-US" w:eastAsia="zh-CN"/>
              </w:rPr>
              <w:t>本期财政补贴基金-上期财政补贴基金</w:t>
            </w:r>
            <w:r>
              <w:rPr>
                <w:rFonts w:hint="eastAsia"/>
                <w:sz w:val="24"/>
                <w:szCs w:val="24"/>
                <w:vertAlign w:val="baseline"/>
                <w:lang w:eastAsia="zh-CN"/>
              </w:rPr>
              <w:t>）</w:t>
            </w:r>
            <w:r>
              <w:rPr>
                <w:rFonts w:hint="eastAsia"/>
                <w:sz w:val="24"/>
                <w:szCs w:val="24"/>
                <w:vertAlign w:val="baseline"/>
                <w:lang w:val="en-US" w:eastAsia="zh-CN"/>
              </w:rPr>
              <w:t>/上期财政补贴基金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基金收入率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基金收入/GDP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基金收入增长率</w:t>
            </w:r>
          </w:p>
        </w:tc>
        <w:tc>
          <w:tcPr>
            <w:tcW w:w="4197" w:type="dxa"/>
          </w:tcPr>
          <w:p>
            <w:pPr>
              <w:rPr>
                <w:rFonts w:hint="default"/>
                <w:sz w:val="24"/>
                <w:szCs w:val="24"/>
                <w:vertAlign w:val="baseline"/>
                <w:lang w:val="en-US" w:eastAsia="zh-CN"/>
              </w:rPr>
            </w:pPr>
            <w:r>
              <w:rPr>
                <w:rFonts w:hint="eastAsia"/>
                <w:sz w:val="24"/>
                <w:szCs w:val="24"/>
                <w:vertAlign w:val="baseline"/>
                <w:lang w:val="en-US" w:eastAsia="zh-CN"/>
              </w:rPr>
              <w:t>（本期基金收入-上期基金收入）/上期基金收入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restart"/>
            <w:vAlign w:val="center"/>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管理安全</w:t>
            </w:r>
          </w:p>
        </w:tc>
        <w:tc>
          <w:tcPr>
            <w:tcW w:w="2963" w:type="dxa"/>
            <w:vAlign w:val="center"/>
          </w:tcPr>
          <w:p>
            <w:pPr>
              <w:jc w:val="both"/>
              <w:rPr>
                <w:rFonts w:hint="default" w:eastAsiaTheme="minorEastAsia"/>
                <w:sz w:val="24"/>
                <w:szCs w:val="24"/>
                <w:vertAlign w:val="baseline"/>
                <w:lang w:val="en-US" w:eastAsia="zh-CN"/>
              </w:rPr>
            </w:pPr>
            <w:r>
              <w:rPr>
                <w:rFonts w:hint="eastAsia"/>
                <w:sz w:val="24"/>
                <w:szCs w:val="24"/>
                <w:vertAlign w:val="baseline"/>
                <w:lang w:val="en-US" w:eastAsia="zh-CN"/>
              </w:rPr>
              <w:t>基金结余率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（当期征缴-当期支出）/当期征缴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rFonts w:hint="eastAsia"/>
                <w:sz w:val="24"/>
                <w:szCs w:val="24"/>
                <w:vertAlign w:val="baseline"/>
                <w:lang w:val="en-US" w:eastAsia="zh-CN"/>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基金累计结余增长率</w:t>
            </w:r>
          </w:p>
        </w:tc>
        <w:tc>
          <w:tcPr>
            <w:tcW w:w="4197" w:type="dxa"/>
          </w:tcPr>
          <w:p>
            <w:pPr>
              <w:rPr>
                <w:rFonts w:hint="default"/>
                <w:sz w:val="24"/>
                <w:szCs w:val="24"/>
                <w:vertAlign w:val="baseline"/>
                <w:lang w:val="en-US" w:eastAsia="zh-CN"/>
              </w:rPr>
            </w:pPr>
            <w:r>
              <w:rPr>
                <w:rFonts w:hint="eastAsia"/>
                <w:sz w:val="24"/>
                <w:szCs w:val="24"/>
                <w:vertAlign w:val="baseline"/>
                <w:lang w:val="en-US" w:eastAsia="zh-CN"/>
              </w:rPr>
              <w:t>（本期基金累计结余-上期基金累计结余）/上期基金累计结余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已实现收益率</w:t>
            </w:r>
          </w:p>
        </w:tc>
        <w:tc>
          <w:tcPr>
            <w:tcW w:w="4197" w:type="dxa"/>
          </w:tcPr>
          <w:p>
            <w:pPr>
              <w:rPr>
                <w:sz w:val="24"/>
                <w:szCs w:val="24"/>
                <w:vertAlign w:val="baseline"/>
              </w:rPr>
            </w:pPr>
            <w:r>
              <w:rPr>
                <w:rFonts w:hint="eastAsia"/>
                <w:sz w:val="24"/>
                <w:szCs w:val="24"/>
                <w:vertAlign w:val="baseline"/>
                <w:lang w:val="en-US" w:eastAsia="zh-CN"/>
              </w:rPr>
              <w:t>已实现投资收益/年初累计结余</w:t>
            </w:r>
            <w:r>
              <w:rPr>
                <w:rFonts w:hint="eastAsia"/>
                <w:sz w:val="24"/>
                <w:szCs w:val="24"/>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经营收益率</w:t>
            </w:r>
          </w:p>
        </w:tc>
        <w:tc>
          <w:tcPr>
            <w:tcW w:w="4197" w:type="dxa"/>
          </w:tcPr>
          <w:p>
            <w:pPr>
              <w:rPr>
                <w:rFonts w:hint="default"/>
                <w:sz w:val="24"/>
                <w:szCs w:val="24"/>
                <w:vertAlign w:val="baseline"/>
                <w:lang w:val="en-US" w:eastAsia="zh-CN"/>
              </w:rPr>
            </w:pPr>
            <w:r>
              <w:rPr>
                <w:rFonts w:hint="eastAsia"/>
                <w:sz w:val="24"/>
                <w:szCs w:val="24"/>
                <w:vertAlign w:val="baseline"/>
                <w:lang w:val="en-US" w:eastAsia="zh-CN"/>
              </w:rPr>
              <w:t>经营业绩/年初累计结余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vAlign w:val="center"/>
          </w:tcPr>
          <w:p>
            <w:pPr>
              <w:jc w:val="center"/>
              <w:rPr>
                <w:sz w:val="24"/>
                <w:szCs w:val="24"/>
                <w:vertAlign w:val="baseline"/>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正常征缴率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当期正常征缴/当期征缴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restart"/>
            <w:vAlign w:val="center"/>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支付安全</w:t>
            </w: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替代率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人均养老金待遇/上年度在岗职工平均工资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tcPr>
          <w:p>
            <w:pPr>
              <w:rPr>
                <w:rFonts w:hint="eastAsia"/>
                <w:sz w:val="24"/>
                <w:szCs w:val="24"/>
                <w:vertAlign w:val="baseline"/>
                <w:lang w:val="en-US" w:eastAsia="zh-CN"/>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赡养率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当期养老金领取人数/当期缴费人数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tcPr>
          <w:p>
            <w:pPr>
              <w:rPr>
                <w:rFonts w:hint="eastAsia"/>
                <w:sz w:val="24"/>
                <w:szCs w:val="24"/>
                <w:vertAlign w:val="baseline"/>
                <w:lang w:val="en-US" w:eastAsia="zh-CN"/>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可支付月数</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当期养老金结余/当期待遇支出额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tcPr>
          <w:p>
            <w:pPr>
              <w:rPr>
                <w:rFonts w:hint="eastAsia"/>
                <w:sz w:val="24"/>
                <w:szCs w:val="24"/>
                <w:vertAlign w:val="baseline"/>
                <w:lang w:val="en-US" w:eastAsia="zh-CN"/>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离退休人员增长率</w:t>
            </w:r>
          </w:p>
        </w:tc>
        <w:tc>
          <w:tcPr>
            <w:tcW w:w="4197" w:type="dxa"/>
          </w:tcPr>
          <w:p>
            <w:pPr>
              <w:rPr>
                <w:rFonts w:hint="default" w:eastAsiaTheme="minorEastAsia"/>
                <w:sz w:val="24"/>
                <w:szCs w:val="24"/>
                <w:vertAlign w:val="baseline"/>
                <w:lang w:val="en-US" w:eastAsia="zh-CN"/>
              </w:rPr>
            </w:pPr>
            <w:r>
              <w:rPr>
                <w:rFonts w:hint="eastAsia"/>
                <w:sz w:val="24"/>
                <w:szCs w:val="24"/>
                <w:vertAlign w:val="baseline"/>
                <w:lang w:eastAsia="zh-CN"/>
              </w:rPr>
              <w:t>（</w:t>
            </w:r>
            <w:r>
              <w:rPr>
                <w:rFonts w:hint="eastAsia"/>
                <w:sz w:val="24"/>
                <w:szCs w:val="24"/>
                <w:vertAlign w:val="baseline"/>
                <w:lang w:val="en-US" w:eastAsia="zh-CN"/>
              </w:rPr>
              <w:t>本期离退休人数-上期离退休人数</w:t>
            </w:r>
            <w:r>
              <w:rPr>
                <w:rFonts w:hint="eastAsia"/>
                <w:sz w:val="24"/>
                <w:szCs w:val="24"/>
                <w:vertAlign w:val="baseline"/>
                <w:lang w:eastAsia="zh-CN"/>
              </w:rPr>
              <w:t>）</w:t>
            </w:r>
            <w:r>
              <w:rPr>
                <w:rFonts w:hint="eastAsia"/>
                <w:sz w:val="24"/>
                <w:szCs w:val="24"/>
                <w:vertAlign w:val="baseline"/>
                <w:lang w:val="en-US" w:eastAsia="zh-CN"/>
              </w:rPr>
              <w:t>/上期离退休人数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tcPr>
          <w:p>
            <w:pPr>
              <w:rPr>
                <w:rFonts w:hint="eastAsia"/>
                <w:sz w:val="24"/>
                <w:szCs w:val="24"/>
                <w:vertAlign w:val="baseline"/>
                <w:lang w:val="en-US" w:eastAsia="zh-CN"/>
              </w:rPr>
            </w:pPr>
          </w:p>
        </w:tc>
        <w:tc>
          <w:tcPr>
            <w:tcW w:w="2963" w:type="dxa"/>
            <w:vAlign w:val="center"/>
          </w:tcPr>
          <w:p>
            <w:pPr>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基金支出率</w:t>
            </w:r>
          </w:p>
        </w:tc>
        <w:tc>
          <w:tcPr>
            <w:tcW w:w="4197"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基金支出/GDP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tcPr>
          <w:p>
            <w:pPr>
              <w:rPr>
                <w:rFonts w:hint="eastAsia"/>
                <w:sz w:val="24"/>
                <w:szCs w:val="24"/>
                <w:vertAlign w:val="baseline"/>
                <w:lang w:val="en-US" w:eastAsia="zh-CN"/>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基金支出增长率</w:t>
            </w:r>
          </w:p>
        </w:tc>
        <w:tc>
          <w:tcPr>
            <w:tcW w:w="4197" w:type="dxa"/>
          </w:tcPr>
          <w:p>
            <w:pPr>
              <w:rPr>
                <w:rFonts w:hint="default"/>
                <w:sz w:val="24"/>
                <w:szCs w:val="24"/>
                <w:vertAlign w:val="baseline"/>
                <w:lang w:val="en-US" w:eastAsia="zh-CN"/>
              </w:rPr>
            </w:pPr>
            <w:r>
              <w:rPr>
                <w:rFonts w:hint="eastAsia"/>
                <w:sz w:val="24"/>
                <w:szCs w:val="24"/>
                <w:vertAlign w:val="baseline"/>
                <w:lang w:val="en-US" w:eastAsia="zh-CN"/>
              </w:rPr>
              <w:t>（本期基金支出-上期基金支出）/上期基金支出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tcPr>
          <w:p>
            <w:pPr>
              <w:rPr>
                <w:rFonts w:hint="eastAsia"/>
                <w:sz w:val="24"/>
                <w:szCs w:val="24"/>
                <w:vertAlign w:val="baseline"/>
                <w:lang w:val="en-US" w:eastAsia="zh-CN"/>
              </w:rPr>
            </w:pPr>
          </w:p>
        </w:tc>
        <w:tc>
          <w:tcPr>
            <w:tcW w:w="2963" w:type="dxa"/>
            <w:vAlign w:val="center"/>
          </w:tcPr>
          <w:p>
            <w:pPr>
              <w:jc w:val="both"/>
              <w:rPr>
                <w:rFonts w:hint="default"/>
                <w:sz w:val="24"/>
                <w:szCs w:val="24"/>
                <w:vertAlign w:val="baseline"/>
                <w:lang w:val="en-US" w:eastAsia="zh-CN"/>
              </w:rPr>
            </w:pPr>
            <w:r>
              <w:rPr>
                <w:rFonts w:hint="eastAsia"/>
                <w:sz w:val="24"/>
                <w:szCs w:val="24"/>
                <w:vertAlign w:val="baseline"/>
                <w:lang w:val="en-US" w:eastAsia="zh-CN"/>
              </w:rPr>
              <w:t>支出覆盖率</w:t>
            </w:r>
          </w:p>
        </w:tc>
        <w:tc>
          <w:tcPr>
            <w:tcW w:w="4197" w:type="dxa"/>
          </w:tcPr>
          <w:p>
            <w:pPr>
              <w:rPr>
                <w:rFonts w:hint="eastAsia"/>
                <w:sz w:val="24"/>
                <w:szCs w:val="24"/>
                <w:vertAlign w:val="baseline"/>
                <w:lang w:val="en-US" w:eastAsia="zh-CN"/>
              </w:rPr>
            </w:pPr>
            <w:r>
              <w:rPr>
                <w:rFonts w:hint="eastAsia"/>
                <w:sz w:val="24"/>
                <w:szCs w:val="24"/>
                <w:vertAlign w:val="baseline"/>
                <w:lang w:val="en-US" w:eastAsia="zh-CN"/>
              </w:rPr>
              <w:t>养老金领取人数/法定退休年龄人口</w:t>
            </w:r>
          </w:p>
        </w:tc>
      </w:tr>
    </w:tbl>
    <w:p>
      <w:pPr>
        <w:rPr>
          <w:rFonts w:hint="eastAsia"/>
          <w:sz w:val="30"/>
          <w:szCs w:val="30"/>
          <w:lang w:val="en-US" w:eastAsia="zh-CN"/>
        </w:rPr>
      </w:pPr>
    </w:p>
    <w:p>
      <w:pPr>
        <w:pStyle w:val="2"/>
        <w:bidi w:val="0"/>
        <w:rPr>
          <w:rFonts w:hint="eastAsia"/>
          <w:sz w:val="30"/>
          <w:szCs w:val="30"/>
          <w:lang w:val="en-US" w:eastAsia="zh-CN"/>
        </w:rPr>
      </w:pPr>
      <w:r>
        <w:rPr>
          <w:rFonts w:hint="eastAsia"/>
          <w:sz w:val="30"/>
          <w:szCs w:val="30"/>
          <w:lang w:val="en-US" w:eastAsia="zh-CN"/>
        </w:rPr>
        <w:t>4、模型主要思路</w:t>
      </w:r>
    </w:p>
    <w:p>
      <w:pPr>
        <w:rPr>
          <w:rFonts w:hint="default"/>
          <w:lang w:val="en-US" w:eastAsia="zh-CN"/>
        </w:rPr>
      </w:pPr>
      <w:r>
        <w:rPr>
          <w:rFonts w:hint="default"/>
          <w:lang w:val="en-US" w:eastAsia="zh-CN"/>
        </w:rPr>
        <w:drawing>
          <wp:inline distT="0" distB="0" distL="114300" distR="114300">
            <wp:extent cx="5269865" cy="1181100"/>
            <wp:effectExtent l="0" t="0" r="635" b="0"/>
            <wp:docPr id="1" name="图片 1" descr="养老基金安全指数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养老基金安全指数模型"/>
                    <pic:cNvPicPr>
                      <a:picLocks noChangeAspect="1"/>
                    </pic:cNvPicPr>
                  </pic:nvPicPr>
                  <pic:blipFill>
                    <a:blip r:embed="rId4"/>
                    <a:stretch>
                      <a:fillRect/>
                    </a:stretch>
                  </pic:blipFill>
                  <pic:spPr>
                    <a:xfrm>
                      <a:off x="0" y="0"/>
                      <a:ext cx="5269865" cy="1181100"/>
                    </a:xfrm>
                    <a:prstGeom prst="rect">
                      <a:avLst/>
                    </a:prstGeom>
                  </pic:spPr>
                </pic:pic>
              </a:graphicData>
            </a:graphic>
          </wp:inline>
        </w:drawing>
      </w:r>
    </w:p>
    <w:p>
      <w:pPr>
        <w:pStyle w:val="2"/>
        <w:bidi w:val="0"/>
        <w:rPr>
          <w:rFonts w:hint="default"/>
          <w:sz w:val="32"/>
          <w:szCs w:val="32"/>
          <w:lang w:val="en-US" w:eastAsia="zh-CN"/>
        </w:rPr>
      </w:pPr>
      <w:r>
        <w:rPr>
          <w:rFonts w:hint="eastAsia"/>
          <w:sz w:val="32"/>
          <w:szCs w:val="32"/>
          <w:lang w:val="en-US" w:eastAsia="zh-CN"/>
        </w:rPr>
        <w:t>5、模型价值</w:t>
      </w:r>
    </w:p>
    <w:p>
      <w:pPr>
        <w:spacing w:line="360" w:lineRule="auto"/>
        <w:rPr>
          <w:rFonts w:hint="eastAsia"/>
        </w:rPr>
      </w:pPr>
      <w:r>
        <w:rPr>
          <w:rFonts w:hint="eastAsia"/>
          <w:lang w:eastAsia="zh-CN"/>
        </w:rPr>
        <w:t>（</w:t>
      </w:r>
      <w:r>
        <w:rPr>
          <w:rFonts w:hint="eastAsia"/>
          <w:lang w:val="en-US" w:eastAsia="zh-CN"/>
        </w:rPr>
        <w:t>1</w:t>
      </w:r>
      <w:r>
        <w:rPr>
          <w:rFonts w:hint="eastAsia"/>
          <w:lang w:eastAsia="zh-CN"/>
        </w:rPr>
        <w:t>）</w:t>
      </w:r>
      <w:r>
        <w:rPr>
          <w:rFonts w:hint="eastAsia"/>
          <w:lang w:val="en-US" w:eastAsia="zh-CN"/>
        </w:rPr>
        <w:t>通过构建养老保险基金安全评价体系，摒弃以往从定性、微观、实务、片面角度评价养老保险基金安全，转为从定量、宏观、系统、整体角度评价养老保险基金安全。基金安全评价的量化结果可促进养老保险基金监管策略的科学性和可操作性，</w:t>
      </w:r>
      <w:bookmarkStart w:id="0" w:name="_GoBack"/>
      <w:r>
        <w:rPr>
          <w:rFonts w:hint="eastAsia"/>
          <w:highlight w:val="yellow"/>
          <w:lang w:val="en-US" w:eastAsia="zh-CN"/>
        </w:rPr>
        <w:t>为养老保险基金的实践工作提供明确指向和依据</w:t>
      </w:r>
      <w:bookmarkEnd w:id="0"/>
      <w:r>
        <w:rPr>
          <w:rFonts w:hint="eastAsia"/>
          <w:lang w:val="en-US" w:eastAsia="zh-CN"/>
        </w:rPr>
        <w:t>，推动养老保险基金的安全运行。</w:t>
      </w:r>
      <w:r>
        <w:rPr>
          <w:rFonts w:hint="eastAsia"/>
        </w:rPr>
        <w:t xml:space="preserve"> </w:t>
      </w:r>
    </w:p>
    <w:p>
      <w:pPr>
        <w:numPr>
          <w:ilvl w:val="0"/>
          <w:numId w:val="0"/>
        </w:numPr>
        <w:spacing w:line="360" w:lineRule="auto"/>
        <w:ind w:leftChars="0"/>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highlight w:val="none"/>
          <w:lang w:val="en-US" w:eastAsia="zh-CN"/>
        </w:rPr>
        <w:t>本模型提出了一种评价养老基金安全情况的量化指标，</w:t>
      </w:r>
      <w:r>
        <w:rPr>
          <w:rFonts w:hint="eastAsia"/>
          <w:lang w:val="en-US" w:eastAsia="zh-CN"/>
        </w:rPr>
        <w:t>可以</w:t>
      </w:r>
      <w:r>
        <w:rPr>
          <w:rFonts w:hint="eastAsia"/>
          <w:highlight w:val="yellow"/>
          <w:lang w:val="en-US" w:eastAsia="zh-CN"/>
        </w:rPr>
        <w:t>科学衡量当前</w:t>
      </w:r>
      <w:r>
        <w:rPr>
          <w:rFonts w:hint="eastAsia"/>
          <w:highlight w:val="none"/>
          <w:lang w:val="en-US" w:eastAsia="zh-CN"/>
        </w:rPr>
        <w:t>养老基金运行情况</w:t>
      </w:r>
      <w:r>
        <w:rPr>
          <w:rFonts w:hint="eastAsia"/>
          <w:lang w:val="en-US" w:eastAsia="zh-CN"/>
        </w:rPr>
        <w:t>；</w:t>
      </w:r>
    </w:p>
    <w:p>
      <w:pPr>
        <w:numPr>
          <w:ilvl w:val="0"/>
          <w:numId w:val="0"/>
        </w:numPr>
        <w:spacing w:line="360" w:lineRule="auto"/>
        <w:ind w:leftChars="0"/>
      </w:pPr>
      <w:r>
        <w:rPr>
          <w:rFonts w:hint="eastAsia"/>
          <w:lang w:eastAsia="zh-CN"/>
        </w:rPr>
        <w:t>（</w:t>
      </w:r>
      <w:r>
        <w:rPr>
          <w:rFonts w:hint="eastAsia"/>
          <w:lang w:val="en-US" w:eastAsia="zh-CN"/>
        </w:rPr>
        <w:t>3</w:t>
      </w:r>
      <w:r>
        <w:rPr>
          <w:rFonts w:hint="eastAsia"/>
          <w:lang w:eastAsia="zh-CN"/>
        </w:rPr>
        <w:t>）</w:t>
      </w:r>
      <w:r>
        <w:rPr>
          <w:rFonts w:hint="default"/>
          <w:lang w:val="en-US" w:eastAsia="zh-CN"/>
        </w:rPr>
        <w:t>用科学的指数分析模型和趋势预测模型有助于深度挖掘</w:t>
      </w:r>
      <w:r>
        <w:rPr>
          <w:rFonts w:hint="eastAsia"/>
          <w:lang w:val="en-US" w:eastAsia="zh-CN"/>
        </w:rPr>
        <w:t>养老基金安全</w:t>
      </w:r>
      <w:r>
        <w:rPr>
          <w:rFonts w:hint="default"/>
          <w:lang w:val="en-US" w:eastAsia="zh-CN"/>
        </w:rPr>
        <w:t>信息，</w:t>
      </w:r>
      <w:r>
        <w:rPr>
          <w:rFonts w:hint="default"/>
          <w:highlight w:val="none"/>
          <w:shd w:val="clear"/>
          <w:lang w:val="en-US" w:eastAsia="zh-CN"/>
        </w:rPr>
        <w:t>对可能出现的</w:t>
      </w:r>
      <w:r>
        <w:rPr>
          <w:rFonts w:hint="eastAsia"/>
          <w:highlight w:val="none"/>
          <w:shd w:val="clear"/>
          <w:lang w:val="en-US" w:eastAsia="zh-CN"/>
        </w:rPr>
        <w:t>养老基金安全潜在风险</w:t>
      </w:r>
      <w:r>
        <w:rPr>
          <w:rFonts w:hint="default"/>
          <w:highlight w:val="yellow"/>
          <w:shd w:val="clear"/>
          <w:lang w:val="en-US" w:eastAsia="zh-CN"/>
        </w:rPr>
        <w:t>提早洞察</w:t>
      </w:r>
      <w:r>
        <w:rPr>
          <w:rFonts w:hint="default"/>
          <w:highlight w:val="none"/>
          <w:shd w:val="clear"/>
          <w:lang w:val="en-US" w:eastAsia="zh-CN"/>
        </w:rPr>
        <w:t>、提前介入，及时采取措施防止、降低或化解潜在风险，保障</w:t>
      </w:r>
      <w:r>
        <w:rPr>
          <w:rFonts w:hint="eastAsia"/>
          <w:highlight w:val="none"/>
          <w:shd w:val="clear"/>
          <w:lang w:val="en-US" w:eastAsia="zh-CN"/>
        </w:rPr>
        <w:t>基金</w:t>
      </w:r>
      <w:r>
        <w:rPr>
          <w:rFonts w:hint="default"/>
          <w:highlight w:val="none"/>
          <w:shd w:val="clear"/>
          <w:lang w:val="en-US" w:eastAsia="zh-CN"/>
        </w:rPr>
        <w:t>平稳运行。</w:t>
      </w:r>
    </w:p>
    <w:p/>
    <w:p>
      <w:pPr>
        <w:rPr>
          <w:rFonts w:hint="eastAsia"/>
        </w:rPr>
      </w:pP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yMDM3OTQ3MTU1YTYyNzAyNTlhY2M3NjFmNzFkN2QifQ=="/>
  </w:docVars>
  <w:rsids>
    <w:rsidRoot w:val="00000000"/>
    <w:rsid w:val="061C3B61"/>
    <w:rsid w:val="0BB00112"/>
    <w:rsid w:val="11453B61"/>
    <w:rsid w:val="14126893"/>
    <w:rsid w:val="18A67B9B"/>
    <w:rsid w:val="1E9077BE"/>
    <w:rsid w:val="2D9A5145"/>
    <w:rsid w:val="3C8015F9"/>
    <w:rsid w:val="495411A7"/>
    <w:rsid w:val="4DB13C02"/>
    <w:rsid w:val="50DC2FA0"/>
    <w:rsid w:val="583627F8"/>
    <w:rsid w:val="67A4344A"/>
    <w:rsid w:val="68AB74BF"/>
    <w:rsid w:val="6AC43E8B"/>
    <w:rsid w:val="6C0D44BF"/>
    <w:rsid w:val="6ED54527"/>
    <w:rsid w:val="6F7706CA"/>
    <w:rsid w:val="723B63B2"/>
    <w:rsid w:val="78622502"/>
    <w:rsid w:val="7C3A5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1588</Words>
  <Characters>1642</Characters>
  <Lines>0</Lines>
  <Paragraphs>0</Paragraphs>
  <TotalTime>8</TotalTime>
  <ScaleCrop>false</ScaleCrop>
  <LinksUpToDate>false</LinksUpToDate>
  <CharactersWithSpaces>1644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2021-07-20T00:39:00Z</dcterms:created>
  <dc:creator>admin</dc:creator>
  <cp:lastModifiedBy>admin</cp:lastModifiedBy>
  <dcterms:modified xsi:type="dcterms:W3CDTF">2023-03-23T05:35:33Z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DCD9EF117F3441439F369348977745F8</vt:lpwstr>
  </property>
</Properties>
</file>