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152879547"/>
      <w:r>
        <w:rPr>
          <w:rFonts w:hint="eastAsia"/>
        </w:rPr>
        <w:t>项目背景</w:t>
      </w:r>
      <w:bookmarkEnd w:id="0"/>
    </w:p>
    <w:p>
      <w:pPr>
        <w:pStyle w:val="4"/>
        <w:numPr>
          <w:ilvl w:val="0"/>
          <w:numId w:val="1"/>
        </w:numPr>
        <w:ind w:left="0" w:leftChars="0" w:firstLine="420" w:firstLineChars="0"/>
      </w:pPr>
      <w:r>
        <w:rPr>
          <w:rFonts w:hint="eastAsia"/>
        </w:rPr>
        <w:t>政府部门角度</w:t>
      </w:r>
    </w:p>
    <w:p>
      <w:pPr>
        <w:ind w:firstLine="560"/>
      </w:pPr>
      <w:r>
        <w:rPr>
          <w:rFonts w:hint="eastAsia"/>
        </w:rPr>
        <w:t>随着我国老龄化问题的日益加剧和退休人数的急剧增长，政府部门面临着确保养老金的顺利发放和减轻财政负担的双重挑战。目前，我国65岁及以上人口已经超过12%，预计在2025年将达到14%，并在2035年进一步增长至20%，老龄化问题日益加剧。这使得养老保险基金面临着更大的压力和挑战。</w:t>
      </w:r>
    </w:p>
    <w:p>
      <w:pPr>
        <w:ind w:firstLine="560"/>
      </w:pPr>
      <w:r>
        <w:rPr>
          <w:rFonts w:hint="eastAsia"/>
        </w:rPr>
        <w:t>如</w:t>
      </w:r>
      <w:r>
        <w:fldChar w:fldCharType="begin"/>
      </w:r>
      <w:r>
        <w:instrText xml:space="preserve"> REF _Ref152532773 \h </w:instrText>
      </w:r>
      <w:r>
        <w:fldChar w:fldCharType="separate"/>
      </w:r>
      <w:r>
        <w:rPr>
          <w:rFonts w:hint="eastAsia"/>
        </w:rPr>
        <w:t>图</w:t>
      </w:r>
      <w:r>
        <w:t xml:space="preserve"> </w:t>
      </w:r>
      <w:r>
        <w:rPr>
          <w:rFonts w:hint="eastAsia"/>
        </w:rPr>
        <w:t>2</w:t>
      </w:r>
      <w:r>
        <w:fldChar w:fldCharType="end"/>
      </w:r>
      <w:r>
        <w:rPr>
          <w:rFonts w:hint="eastAsia"/>
        </w:rPr>
        <w:t>所示，目前的养老金中央调剂已经出现问题，多个省份的养老保障体系面临入不敷出的局面，对养老基金运行安全水平进行科学评估已经迫在眉睫。政府部门需要采取有效措施，确保养老金的顺利发放，保障退休职工的生活水平，同时减轻财政负担。这需要政府部门加强对养老保险方案的监管和评估，及时调整和完善方案，</w:t>
      </w:r>
      <w:r>
        <w:rPr>
          <w:rFonts w:hint="eastAsia"/>
          <w:lang w:val="en-US" w:eastAsia="zh-CN"/>
        </w:rPr>
        <w:t>在这个</w:t>
      </w:r>
      <w:r>
        <w:rPr>
          <w:rFonts w:hint="eastAsia"/>
          <w:lang w:eastAsia="zh-CN"/>
        </w:rPr>
        <w:t>过程中需要大量准确、可靠的数据支持和专业分析，</w:t>
      </w:r>
      <w:r>
        <w:rPr>
          <w:rFonts w:hint="eastAsia"/>
        </w:rPr>
        <w:t>以应对老龄化问题的挑战。</w:t>
      </w:r>
    </w:p>
    <w:p>
      <w:pPr>
        <w:pStyle w:val="13"/>
        <w:keepNext/>
        <w:rPr>
          <w:color w:val="auto"/>
          <w:sz w:val="28"/>
        </w:rPr>
      </w:pPr>
      <w:r>
        <w:rPr>
          <w:rFonts w:hint="eastAsia"/>
        </w:rPr>
        <w:drawing>
          <wp:inline distT="0" distB="0" distL="114300" distR="114300">
            <wp:extent cx="4121150" cy="2133600"/>
            <wp:effectExtent l="0" t="0" r="0" b="0"/>
            <wp:docPr id="18" name="图片 18" descr="z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zpimage"/>
                    <pic:cNvPicPr>
                      <a:picLocks noChangeAspect="1"/>
                    </pic:cNvPicPr>
                  </pic:nvPicPr>
                  <pic:blipFill>
                    <a:blip r:embed="rId4"/>
                    <a:srcRect r="582" b="149"/>
                    <a:stretch>
                      <a:fillRect/>
                    </a:stretch>
                  </pic:blipFill>
                  <pic:spPr>
                    <a:xfrm>
                      <a:off x="0" y="0"/>
                      <a:ext cx="4121150" cy="2133600"/>
                    </a:xfrm>
                    <a:prstGeom prst="rect">
                      <a:avLst/>
                    </a:prstGeom>
                    <a:ln>
                      <a:noFill/>
                    </a:ln>
                  </pic:spPr>
                </pic:pic>
              </a:graphicData>
            </a:graphic>
          </wp:inline>
        </w:drawing>
      </w:r>
    </w:p>
    <w:p>
      <w:pPr>
        <w:pStyle w:val="1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rPr>
          <w:rFonts w:hint="eastAsia"/>
        </w:rPr>
        <w:t>1</w:t>
      </w:r>
      <w:r>
        <w:fldChar w:fldCharType="end"/>
      </w:r>
      <w:r>
        <w:rPr>
          <w:rFonts w:hint="eastAsia"/>
        </w:rPr>
        <w:t xml:space="preserve"> 2000-2060年老年人口分析预测图</w:t>
      </w:r>
    </w:p>
    <w:p>
      <w:pPr>
        <w:pStyle w:val="13"/>
        <w:keepNext/>
      </w:pPr>
      <w:r>
        <w:rPr>
          <w:rFonts w:hint="eastAsia"/>
        </w:rPr>
        <w:drawing>
          <wp:inline distT="0" distB="0" distL="114300" distR="114300">
            <wp:extent cx="3811905" cy="5153025"/>
            <wp:effectExtent l="0" t="0" r="0" b="13335"/>
            <wp:docPr id="19" name="图片 19" descr="v2-47a8a926996f4fdd01c170efc0e229a3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2-47a8a926996f4fdd01c170efc0e229a3_r"/>
                    <pic:cNvPicPr>
                      <a:picLocks noChangeAspect="1"/>
                    </pic:cNvPicPr>
                  </pic:nvPicPr>
                  <pic:blipFill>
                    <a:blip r:embed="rId5"/>
                    <a:srcRect r="-1316" b="3475"/>
                    <a:stretch>
                      <a:fillRect/>
                    </a:stretch>
                  </pic:blipFill>
                  <pic:spPr>
                    <a:xfrm>
                      <a:off x="0" y="0"/>
                      <a:ext cx="3811905" cy="5153025"/>
                    </a:xfrm>
                    <a:prstGeom prst="rect">
                      <a:avLst/>
                    </a:prstGeom>
                  </pic:spPr>
                </pic:pic>
              </a:graphicData>
            </a:graphic>
          </wp:inline>
        </w:drawing>
      </w:r>
    </w:p>
    <w:p>
      <w:pPr>
        <w:pStyle w:val="10"/>
      </w:pPr>
      <w:bookmarkStart w:id="1" w:name="_Ref152532773"/>
      <w:r>
        <w:rPr>
          <w:rFonts w:hint="eastAsia"/>
        </w:rPr>
        <w:t>图</w:t>
      </w:r>
      <w:r>
        <w:t xml:space="preserve"> </w:t>
      </w:r>
      <w:r>
        <w:fldChar w:fldCharType="begin"/>
      </w:r>
      <w:r>
        <w:instrText xml:space="preserve"> </w:instrText>
      </w:r>
      <w:r>
        <w:rPr>
          <w:rFonts w:hint="eastAsia"/>
        </w:rPr>
        <w:instrText xml:space="preserve">SEQ 图 \* ARABIC</w:instrText>
      </w:r>
      <w:r>
        <w:instrText xml:space="preserve"> </w:instrText>
      </w:r>
      <w:r>
        <w:fldChar w:fldCharType="separate"/>
      </w:r>
      <w:r>
        <w:rPr>
          <w:rFonts w:hint="eastAsia"/>
        </w:rPr>
        <w:t>2</w:t>
      </w:r>
      <w:r>
        <w:fldChar w:fldCharType="end"/>
      </w:r>
      <w:bookmarkEnd w:id="1"/>
      <w:r>
        <w:rPr>
          <w:rFonts w:hint="eastAsia"/>
        </w:rPr>
        <w:t xml:space="preserve"> 2020年养老金中央调剂</w:t>
      </w:r>
    </w:p>
    <w:p>
      <w:pPr>
        <w:pStyle w:val="4"/>
        <w:numPr>
          <w:ilvl w:val="0"/>
          <w:numId w:val="1"/>
        </w:numPr>
        <w:ind w:left="0" w:leftChars="0" w:firstLine="420" w:firstLineChars="0"/>
      </w:pPr>
      <w:r>
        <w:rPr>
          <w:rFonts w:hint="eastAsia"/>
        </w:rPr>
        <w:t>银行和保险公司角度</w:t>
      </w:r>
    </w:p>
    <w:p>
      <w:pPr>
        <w:ind w:firstLine="560"/>
      </w:pPr>
      <w:r>
        <w:rPr>
          <w:rFonts w:hint="eastAsia"/>
        </w:rPr>
        <w:t>近年来“421”或“422”家庭结构普遍存在，</w:t>
      </w:r>
      <w:r>
        <w:rPr>
          <w:rFonts w:hint="eastAsia"/>
          <w:lang w:val="en-US" w:eastAsia="zh-CN"/>
        </w:rPr>
        <w:t>家庭</w:t>
      </w:r>
      <w:r>
        <w:rPr>
          <w:rFonts w:hint="eastAsia"/>
        </w:rPr>
        <w:t>养老金的财务压力日益加重。</w:t>
      </w:r>
      <w:r>
        <w:rPr>
          <w:rFonts w:hint="eastAsia"/>
          <w:lang w:val="en-US" w:eastAsia="zh-CN"/>
        </w:rPr>
        <w:t>再加上</w:t>
      </w:r>
      <w:r>
        <w:rPr>
          <w:rFonts w:hint="eastAsia"/>
        </w:rPr>
        <w:t>80、90后</w:t>
      </w:r>
      <w:r>
        <w:rPr>
          <w:rFonts w:hint="eastAsia"/>
          <w:lang w:val="en-US" w:eastAsia="zh-CN"/>
        </w:rPr>
        <w:t>为</w:t>
      </w:r>
      <w:r>
        <w:rPr>
          <w:rFonts w:hint="eastAsia"/>
        </w:rPr>
        <w:t>追求高品质生活而</w:t>
      </w:r>
      <w:r>
        <w:rPr>
          <w:rFonts w:hint="eastAsia"/>
          <w:lang w:val="en-US" w:eastAsia="zh-CN"/>
        </w:rPr>
        <w:t>增加</w:t>
      </w:r>
      <w:r>
        <w:rPr>
          <w:rFonts w:hint="eastAsia"/>
        </w:rPr>
        <w:t>家庭开支</w:t>
      </w:r>
      <w:r>
        <w:rPr>
          <w:rFonts w:hint="eastAsia"/>
          <w:lang w:eastAsia="zh-CN"/>
        </w:rPr>
        <w:t>，</w:t>
      </w:r>
      <w:r>
        <w:rPr>
          <w:rFonts w:hint="eastAsia"/>
          <w:lang w:val="en-US" w:eastAsia="zh-CN"/>
        </w:rPr>
        <w:t>甚至</w:t>
      </w:r>
      <w:r>
        <w:rPr>
          <w:rFonts w:hint="eastAsia"/>
        </w:rPr>
        <w:t>超前消费，使得个人的养老金储备不足。</w:t>
      </w:r>
      <w:r>
        <w:rPr>
          <w:rFonts w:hint="eastAsia"/>
          <w:lang w:val="en-US" w:eastAsia="zh-CN"/>
        </w:rPr>
        <w:t>为了</w:t>
      </w:r>
      <w:r>
        <w:rPr>
          <w:rFonts w:hint="eastAsia"/>
        </w:rPr>
        <w:t>补充养老金的不足</w:t>
      </w:r>
      <w:r>
        <w:rPr>
          <w:rFonts w:hint="eastAsia"/>
          <w:lang w:eastAsia="zh-CN"/>
        </w:rPr>
        <w:t>，</w:t>
      </w:r>
      <w:r>
        <w:rPr>
          <w:rFonts w:hint="eastAsia"/>
        </w:rPr>
        <w:t>越来越多的人开始购买商业保险和个人养老保险。这</w:t>
      </w:r>
      <w:r>
        <w:rPr>
          <w:rFonts w:hint="eastAsia"/>
          <w:lang w:val="en-US" w:eastAsia="zh-CN"/>
        </w:rPr>
        <w:t>无疑是向</w:t>
      </w:r>
      <w:r>
        <w:rPr>
          <w:rFonts w:hint="eastAsia"/>
        </w:rPr>
        <w:t>保险公司和银行提供了发展和推出相应产品的机会。针对这一情况，银行和保险公司需要思考如何更好地设计和推出符合个人需求的养养老保险产品，以满足日益增长的养老保险市场。</w:t>
      </w:r>
    </w:p>
    <w:p>
      <w:pPr>
        <w:pStyle w:val="4"/>
        <w:numPr>
          <w:ilvl w:val="0"/>
          <w:numId w:val="1"/>
        </w:numPr>
        <w:ind w:left="0" w:leftChars="0" w:firstLine="420" w:firstLineChars="0"/>
      </w:pPr>
      <w:r>
        <w:rPr>
          <w:rFonts w:hint="eastAsia"/>
        </w:rPr>
        <w:t>职工个人角度</w:t>
      </w:r>
    </w:p>
    <w:p>
      <w:pPr>
        <w:ind w:firstLine="560"/>
        <w:rPr>
          <w:rFonts w:hint="eastAsia"/>
        </w:rPr>
      </w:pPr>
      <w:r>
        <w:rPr>
          <w:rFonts w:hint="eastAsia"/>
        </w:rPr>
        <w:t>80后和90后</w:t>
      </w:r>
      <w:r>
        <w:rPr>
          <w:rFonts w:hint="eastAsia"/>
          <w:lang w:val="en-US" w:eastAsia="zh-CN"/>
        </w:rPr>
        <w:t>的职工</w:t>
      </w:r>
      <w:r>
        <w:rPr>
          <w:rFonts w:hint="eastAsia"/>
        </w:rPr>
        <w:t>大部分是独生子女，他们面临的家庭经济压力较大，</w:t>
      </w:r>
      <w:r>
        <w:rPr>
          <w:rFonts w:hint="eastAsia"/>
          <w:lang w:val="en-US" w:eastAsia="zh-CN"/>
        </w:rPr>
        <w:t>更加的重视</w:t>
      </w:r>
      <w:r>
        <w:rPr>
          <w:rFonts w:hint="eastAsia"/>
        </w:rPr>
        <w:t>养老问题。养老金的不足</w:t>
      </w:r>
      <w:r>
        <w:rPr>
          <w:rFonts w:hint="eastAsia"/>
          <w:lang w:val="en-US" w:eastAsia="zh-CN"/>
        </w:rPr>
        <w:t>让</w:t>
      </w:r>
      <w:r>
        <w:rPr>
          <w:rFonts w:hint="eastAsia"/>
        </w:rPr>
        <w:t>他们意识到个人规划养老的重要性。越来越多的</w:t>
      </w:r>
      <w:r>
        <w:rPr>
          <w:rFonts w:hint="eastAsia"/>
          <w:lang w:val="en-US" w:eastAsia="zh-CN"/>
        </w:rPr>
        <w:t>职工</w:t>
      </w:r>
      <w:r>
        <w:rPr>
          <w:rFonts w:hint="eastAsia"/>
        </w:rPr>
        <w:t>开始关注个人养老计划，包括购买商业保险和个人养老保险，以确保在退休后有足够的经济来源。在当前养老问题日益突出的背景下，个人的养老规划显得尤为重要。</w:t>
      </w:r>
    </w:p>
    <w:p>
      <w:pPr>
        <w:ind w:firstLine="560"/>
        <w:rPr>
          <w:rFonts w:hint="eastAsia"/>
        </w:rPr>
      </w:pPr>
    </w:p>
    <w:p>
      <w:pPr>
        <w:pStyle w:val="3"/>
        <w:bidi w:val="0"/>
        <w:rPr>
          <w:rFonts w:hint="default"/>
          <w:lang w:val="en-US" w:eastAsia="zh-CN"/>
        </w:rPr>
      </w:pPr>
      <w:r>
        <w:rPr>
          <w:rFonts w:hint="eastAsia"/>
          <w:lang w:val="en-US" w:eastAsia="zh-CN"/>
        </w:rPr>
        <w:t>项目应用场景</w:t>
      </w:r>
    </w:p>
    <w:p>
      <w:pPr>
        <w:bidi w:val="0"/>
        <w:rPr>
          <w:rFonts w:hint="eastAsia" w:eastAsia="仿宋_GB2312"/>
          <w:lang w:val="en-US" w:eastAsia="zh-CN"/>
        </w:rPr>
      </w:pPr>
      <w:r>
        <w:rPr>
          <w:rFonts w:hint="eastAsia"/>
          <w:lang w:val="en-US" w:eastAsia="zh-CN"/>
        </w:rPr>
        <w:t>当前社会面临着老龄化加剧、城镇职工基本养老保险未来入不敷出的局面，急需一套高效化、专业化的工具来辅助决策和后续养老保险政策的调整，本团队作为一支大学生创业队伍，通过收集到的数据和专业的测算模型，为政府部门提供测算服务，充当辅助决策的“智囊团”，为城镇职工养老保险的发展和完善贡献自己的力量。</w:t>
      </w:r>
    </w:p>
    <w:p>
      <w:pPr>
        <w:rPr>
          <w:rFonts w:hint="eastAsia"/>
          <w:lang w:val="en-US" w:eastAsia="zh-CN"/>
        </w:rPr>
      </w:pPr>
      <w:r>
        <w:rPr>
          <w:rFonts w:hint="eastAsia"/>
          <w:lang w:val="en-US" w:eastAsia="zh-CN"/>
        </w:rPr>
        <w:t>本项目的</w:t>
      </w:r>
      <w:r>
        <w:rPr>
          <w:rFonts w:hint="eastAsia"/>
        </w:rPr>
        <w:t>产品与服务在数字技术与经济社会产业价值链中深度渗透和广泛融合</w:t>
      </w:r>
      <w:r>
        <w:rPr>
          <w:rFonts w:hint="eastAsia"/>
          <w:lang w:eastAsia="zh-CN"/>
        </w:rPr>
        <w:t>，</w:t>
      </w:r>
      <w:r>
        <w:rPr>
          <w:rFonts w:hint="eastAsia"/>
          <w:lang w:val="en-US" w:eastAsia="zh-CN"/>
        </w:rPr>
        <w:t>具体的应用场景主要为：</w:t>
      </w:r>
    </w:p>
    <w:p>
      <w:pPr>
        <w:pStyle w:val="4"/>
        <w:bidi w:val="0"/>
        <w:rPr>
          <w:rFonts w:hint="eastAsia"/>
          <w:lang w:val="en-US" w:eastAsia="zh-CN"/>
        </w:rPr>
      </w:pPr>
      <w:r>
        <w:rPr>
          <w:rFonts w:hint="eastAsia"/>
          <w:lang w:val="en-US" w:eastAsia="zh-CN"/>
        </w:rPr>
        <w:t>政府部门应用场景</w:t>
      </w:r>
    </w:p>
    <w:p>
      <w:pPr>
        <w:rPr>
          <w:rFonts w:hint="eastAsia"/>
          <w:lang w:eastAsia="zh-CN"/>
        </w:rPr>
      </w:pPr>
      <w:r>
        <w:rPr>
          <w:rFonts w:hint="eastAsia"/>
          <w:lang w:val="en-US" w:eastAsia="zh-CN"/>
        </w:rPr>
        <w:t>总的来说就是</w:t>
      </w:r>
      <w:r>
        <w:rPr>
          <w:rFonts w:hint="eastAsia"/>
        </w:rPr>
        <w:t>政府可以利用</w:t>
      </w:r>
      <w:r>
        <w:rPr>
          <w:rFonts w:hint="eastAsia"/>
          <w:lang w:val="en-US" w:eastAsia="zh-CN"/>
        </w:rPr>
        <w:t>本项目</w:t>
      </w:r>
      <w:r>
        <w:rPr>
          <w:rFonts w:hint="eastAsia"/>
        </w:rPr>
        <w:t>的财政负担模型来评估养老金制度对财政的影响，并制定相应的政策措施来减轻负担；同时通过调整不同的制度参数来预测未来相应养老金政策对养老市场的影响</w:t>
      </w:r>
      <w:r>
        <w:rPr>
          <w:rFonts w:hint="eastAsia"/>
          <w:lang w:eastAsia="zh-CN"/>
        </w:rPr>
        <w:t>。</w:t>
      </w:r>
    </w:p>
    <w:p>
      <w:pPr>
        <w:rPr>
          <w:rFonts w:hint="default"/>
          <w:lang w:val="en-US" w:eastAsia="zh-CN"/>
        </w:rPr>
      </w:pPr>
      <w:r>
        <w:rPr>
          <w:rFonts w:hint="eastAsia"/>
          <w:lang w:val="en-US" w:eastAsia="zh-CN"/>
        </w:rPr>
        <w:t>具体有关服务或功能如下：</w:t>
      </w:r>
    </w:p>
    <w:p>
      <w:pPr>
        <w:numPr>
          <w:ilvl w:val="0"/>
          <w:numId w:val="2"/>
        </w:numPr>
        <w:rPr>
          <w:rFonts w:hint="eastAsia"/>
          <w:lang w:val="en-US" w:eastAsia="zh-CN"/>
        </w:rPr>
      </w:pPr>
      <w:r>
        <w:rPr>
          <w:rFonts w:hint="eastAsia"/>
          <w:lang w:val="en-US" w:eastAsia="zh-CN"/>
        </w:rPr>
        <w:t>养老金收支计算及预测。政府部门可以利用本项目收集到的不同地区城镇职工养老保险的收入和支出，搭配测算模型，能够较为准确的了解预测期内相关地区的收入和支出等指标信息，从而进一步促使决策的合理性和科学性，更好地深入推进政策落地，真正做到为人民做实事。</w:t>
      </w:r>
    </w:p>
    <w:p>
      <w:pPr>
        <w:numPr>
          <w:ilvl w:val="0"/>
          <w:numId w:val="2"/>
        </w:numPr>
        <w:ind w:left="0" w:leftChars="0" w:firstLine="560" w:firstLineChars="200"/>
        <w:rPr>
          <w:rFonts w:hint="eastAsia"/>
          <w:lang w:val="en-US" w:eastAsia="zh-CN"/>
        </w:rPr>
      </w:pPr>
      <w:r>
        <w:rPr>
          <w:rFonts w:hint="eastAsia"/>
          <w:lang w:val="en-US" w:eastAsia="zh-CN"/>
        </w:rPr>
        <w:t>养老保险测算方案个性化调整。政府部门可以利用本项目搭建的模型，通过个性化调整相关的参数观察对应的预测期内其他参数的变化，例如收入、支出、结余、参保人数等信息，为养老政策的推进提供可靠的数据支持。</w:t>
      </w:r>
    </w:p>
    <w:p>
      <w:pPr>
        <w:numPr>
          <w:ilvl w:val="0"/>
          <w:numId w:val="2"/>
        </w:numPr>
        <w:ind w:left="0" w:leftChars="0" w:firstLine="560" w:firstLineChars="200"/>
        <w:rPr>
          <w:rFonts w:hint="default"/>
          <w:lang w:val="en-US" w:eastAsia="zh-CN"/>
        </w:rPr>
      </w:pPr>
      <w:r>
        <w:rPr>
          <w:rFonts w:hint="eastAsia"/>
          <w:lang w:val="en-US" w:eastAsia="zh-CN"/>
        </w:rPr>
        <w:t>可视化展示地区的养老金情况。利用收集到的数据和模型分析得出的结果，通过柱形图、折线图等图表形式展现，可以应用在政府相关部门的展厅中，利用数据可视化的方式展示本地区对应的养老金收入支出和响应的政策及舆情</w:t>
      </w:r>
      <w:bookmarkStart w:id="2" w:name="_GoBack"/>
      <w:bookmarkEnd w:id="2"/>
      <w:r>
        <w:rPr>
          <w:rFonts w:hint="eastAsia"/>
          <w:lang w:val="en-US" w:eastAsia="zh-CN"/>
        </w:rPr>
        <w:t>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964CA"/>
    <w:multiLevelType w:val="singleLevel"/>
    <w:tmpl w:val="B3B964CA"/>
    <w:lvl w:ilvl="0" w:tentative="0">
      <w:start w:val="1"/>
      <w:numFmt w:val="decimal"/>
      <w:suff w:val="space"/>
      <w:lvlText w:val="%1."/>
      <w:lvlJc w:val="left"/>
    </w:lvl>
  </w:abstractNum>
  <w:abstractNum w:abstractNumId="1">
    <w:nsid w:val="B9EC7C2F"/>
    <w:multiLevelType w:val="singleLevel"/>
    <w:tmpl w:val="B9EC7C2F"/>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ODc1Yjc4NmMyNmRjYWVlNWFkYzc2YmQwMzAwZDMifQ=="/>
  </w:docVars>
  <w:rsids>
    <w:rsidRoot w:val="00000000"/>
    <w:rsid w:val="051657EC"/>
    <w:rsid w:val="10CE0A9F"/>
    <w:rsid w:val="11DB175F"/>
    <w:rsid w:val="1C010264"/>
    <w:rsid w:val="3E8E5462"/>
    <w:rsid w:val="52E82689"/>
    <w:rsid w:val="5A5D1490"/>
    <w:rsid w:val="62F06079"/>
    <w:rsid w:val="6DB95CB4"/>
    <w:rsid w:val="6FD5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仿宋_GB2312" w:eastAsia="仿宋_GB2312" w:hAnsiTheme="minorHAnsi" w:cstheme="minorBidi"/>
      <w:color w:val="000000" w:themeColor="text1"/>
      <w:kern w:val="2"/>
      <w:sz w:val="28"/>
      <w:szCs w:val="24"/>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2">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0">
    <w:name w:val="caption"/>
    <w:next w:val="1"/>
    <w:unhideWhenUsed/>
    <w:qFormat/>
    <w:uiPriority w:val="0"/>
    <w:pPr>
      <w:jc w:val="center"/>
    </w:pPr>
    <w:rPr>
      <w:rFonts w:ascii="仿宋_GB2312" w:eastAsia="仿宋_GB2312" w:hAnsiTheme="majorHAnsi" w:cstheme="majorBidi"/>
      <w:kern w:val="2"/>
      <w:sz w:val="28"/>
      <w:lang w:val="en-US" w:eastAsia="zh-CN" w:bidi="ar-SA"/>
    </w:rPr>
  </w:style>
  <w:style w:type="paragraph" w:customStyle="1" w:styleId="13">
    <w:name w:val="图片"/>
    <w:basedOn w:val="1"/>
    <w:qFormat/>
    <w:uiPriority w:val="0"/>
    <w:pPr>
      <w:ind w:firstLine="0" w:firstLineChars="0"/>
      <w:jc w:val="center"/>
    </w:pPr>
    <w:rPr>
      <w:rFonts w:hAnsi="Calibri" w:cs="Times New Roman"/>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2024-04-09T14:04:00Z</dcterms:created>
  <dc:creator>朱</dc:creator>
  <cp:lastModifiedBy>Serendipity</cp:lastModifiedBy>
  <dcterms:modified xsi:type="dcterms:W3CDTF">2024-04-10T05:03:15Z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785CCDA5371146A3AF9D3C017568A2D7_12</vt:lpwstr>
  </property>
</Properties>
</file>