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3707D">
      <w:pPr>
        <w:spacing w:before="0" w:after="120"/>
        <w:rPr>
          <w:rFonts w:ascii="Times New Roman" w:hAnsi="Times New Roman" w:eastAsia="宋体"/>
          <w:sz w:val="24"/>
          <w:szCs w:val="24"/>
        </w:rPr>
      </w:pPr>
      <w:bookmarkStart w:id="0" w:name="基于多模态卷积神经网络的翼型管翅片散热器流热性能预测与参数化拓扑寻优"/>
      <w:r>
        <w:rPr>
          <w:rFonts w:ascii="Times New Roman" w:hAnsi="Times New Roman" w:eastAsia="宋体"/>
          <w:sz w:val="24"/>
          <w:szCs w:val="24"/>
        </w:rPr>
        <w:t>中文题目：基于多模态卷积神经网络的翼型管翅片散热器形状与布局参数优化</w:t>
      </w:r>
    </w:p>
    <w:p w14:paraId="495D1267">
      <w:pPr>
        <w:spacing w:before="0" w:after="120"/>
        <w:rPr>
          <w:rFonts w:ascii="Times New Roman" w:hAnsi="Times New Roman" w:eastAsia="宋体"/>
          <w:sz w:val="24"/>
          <w:szCs w:val="24"/>
        </w:rPr>
      </w:pPr>
      <w:r>
        <w:rPr>
          <w:rFonts w:ascii="Times New Roman" w:hAnsi="Times New Roman" w:eastAsia="宋体"/>
          <w:sz w:val="24"/>
          <w:szCs w:val="24"/>
        </w:rPr>
        <w:t>英文题目：Shape and Layout Parameter Optimization of an Airfoil Tube-Fin Radiator Based on a Multimodal Convolutional Neural Network</w:t>
      </w:r>
    </w:p>
    <w:p w14:paraId="36F0DE49">
      <w:pPr>
        <w:spacing w:before="0" w:after="120"/>
        <w:rPr>
          <w:rFonts w:hint="default" w:eastAsia="宋体"/>
          <w:lang w:val="en-US" w:eastAsia="zh-CN"/>
        </w:rPr>
      </w:pPr>
      <w:r>
        <w:rPr>
          <w:rFonts w:ascii="Times New Roman" w:hAnsi="Times New Roman" w:eastAsia="宋体"/>
          <w:sz w:val="24"/>
          <w:szCs w:val="24"/>
        </w:rPr>
        <w:t>作者中文名：</w:t>
      </w:r>
      <w:r>
        <w:rPr>
          <w:rFonts w:hint="eastAsia" w:ascii="Times New Roman" w:hAnsi="Times New Roman" w:eastAsia="宋体"/>
          <w:sz w:val="24"/>
          <w:szCs w:val="24"/>
          <w:lang w:val="en-US" w:eastAsia="zh-CN"/>
        </w:rPr>
        <w:t>赵开明，何翔，明世雄，吴亦强，黄浪，龚志勇</w:t>
      </w:r>
    </w:p>
    <w:p w14:paraId="6F93261C">
      <w:pPr>
        <w:spacing w:before="0" w:after="120"/>
        <w:rPr>
          <w:rFonts w:hint="default" w:ascii="Times New Roman" w:hAnsi="Times New Roman" w:eastAsia="宋体"/>
          <w:sz w:val="24"/>
          <w:szCs w:val="24"/>
          <w:lang w:val="en-US" w:eastAsia="zh-CN"/>
        </w:rPr>
      </w:pPr>
      <w:r>
        <w:rPr>
          <w:rFonts w:hint="eastAsia" w:ascii="Times New Roman" w:hAnsi="Times New Roman" w:eastAsia="宋体"/>
          <w:sz w:val="24"/>
          <w:szCs w:val="24"/>
        </w:rPr>
        <w:t>作者英文名：Kaiming Zhao,Xiang He, Shixiong Ming,  Yiqiang Wu, Lang Huang, Zhiyong Gong</w:t>
      </w:r>
    </w:p>
    <w:p w14:paraId="7DB33732">
      <w:pPr>
        <w:spacing w:before="0" w:after="120"/>
      </w:pPr>
      <w:r>
        <w:rPr>
          <w:rFonts w:ascii="Times New Roman" w:hAnsi="Times New Roman" w:eastAsia="宋体"/>
          <w:sz w:val="24"/>
          <w:szCs w:val="24"/>
        </w:rPr>
        <w:t>作者单位中文：</w:t>
      </w:r>
      <w:r>
        <w:rPr>
          <w:rFonts w:hint="eastAsia" w:ascii="Times New Roman" w:hAnsi="Times New Roman" w:eastAsia="宋体"/>
          <w:sz w:val="24"/>
          <w:szCs w:val="24"/>
          <w:lang w:val="en-US" w:eastAsia="zh-CN"/>
        </w:rPr>
        <w:t>武汉轻工</w:t>
      </w:r>
      <w:r>
        <w:rPr>
          <w:rFonts w:ascii="Times New Roman" w:hAnsi="Times New Roman" w:eastAsia="宋体"/>
          <w:sz w:val="24"/>
          <w:szCs w:val="24"/>
        </w:rPr>
        <w:t xml:space="preserve">大学 / </w:t>
      </w:r>
      <w:r>
        <w:rPr>
          <w:rFonts w:hint="eastAsia" w:ascii="Times New Roman" w:hAnsi="Times New Roman" w:eastAsia="宋体"/>
          <w:sz w:val="24"/>
          <w:szCs w:val="24"/>
          <w:lang w:val="en-US" w:eastAsia="zh-CN"/>
        </w:rPr>
        <w:t>土木工程与建筑</w:t>
      </w:r>
      <w:r>
        <w:rPr>
          <w:rFonts w:ascii="Times New Roman" w:hAnsi="Times New Roman" w:eastAsia="宋体"/>
          <w:sz w:val="24"/>
          <w:szCs w:val="24"/>
        </w:rPr>
        <w:t xml:space="preserve">学院 </w:t>
      </w:r>
    </w:p>
    <w:p w14:paraId="7E16D516">
      <w:pPr>
        <w:spacing w:before="0" w:after="120"/>
        <w:rPr>
          <w:rFonts w:ascii="Times New Roman" w:hAnsi="Times New Roman" w:eastAsia="宋体"/>
          <w:sz w:val="24"/>
          <w:szCs w:val="24"/>
        </w:rPr>
      </w:pPr>
      <w:r>
        <w:rPr>
          <w:rFonts w:ascii="Times New Roman" w:hAnsi="Times New Roman" w:eastAsia="宋体"/>
          <w:sz w:val="24"/>
          <w:szCs w:val="24"/>
        </w:rPr>
        <w:t>作者单位英文：</w:t>
      </w:r>
      <w:r>
        <w:rPr>
          <w:rFonts w:hint="eastAsia" w:ascii="Times New Roman" w:hAnsi="Times New Roman" w:eastAsia="宋体"/>
          <w:sz w:val="24"/>
          <w:szCs w:val="24"/>
        </w:rPr>
        <w:t>School of Civil Engineering and Architecture, Wuhan Polytechnic University</w:t>
      </w:r>
    </w:p>
    <w:p w14:paraId="2BD42F7F">
      <w:pPr>
        <w:spacing w:before="0" w:after="12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第一</w:t>
      </w:r>
      <w:r>
        <w:rPr>
          <w:rFonts w:ascii="Times New Roman" w:hAnsi="Times New Roman" w:eastAsia="宋体"/>
          <w:sz w:val="24"/>
          <w:szCs w:val="24"/>
        </w:rPr>
        <w:t>作者：</w:t>
      </w:r>
      <w:r>
        <w:rPr>
          <w:rFonts w:hint="eastAsia" w:ascii="Times New Roman" w:hAnsi="Times New Roman" w:eastAsia="宋体"/>
          <w:sz w:val="24"/>
          <w:szCs w:val="24"/>
          <w:lang w:val="en-US" w:eastAsia="zh-CN"/>
        </w:rPr>
        <w:t>赵开明</w:t>
      </w:r>
    </w:p>
    <w:p w14:paraId="471F5D62">
      <w:pPr>
        <w:spacing w:before="0" w:after="120"/>
        <w:rPr>
          <w:rFonts w:hint="eastAsia" w:ascii="Times New Roman" w:hAnsi="Times New Roman" w:eastAsia="宋体"/>
          <w:sz w:val="24"/>
          <w:szCs w:val="24"/>
          <w:lang w:val="en-US" w:eastAsia="zh-CN"/>
        </w:rPr>
      </w:pPr>
      <w:r>
        <w:rPr>
          <w:rFonts w:ascii="宋体" w:hAnsi="宋体" w:eastAsia="宋体" w:cs="宋体"/>
          <w:sz w:val="24"/>
          <w:szCs w:val="24"/>
        </w:rPr>
        <w:t>通讯作者：</w:t>
      </w:r>
      <w:r>
        <w:rPr>
          <w:rFonts w:hint="eastAsia" w:ascii="Times New Roman" w:hAnsi="Times New Roman" w:eastAsia="宋体"/>
          <w:sz w:val="24"/>
          <w:szCs w:val="24"/>
          <w:lang w:val="en-US" w:eastAsia="zh-CN"/>
        </w:rPr>
        <w:t>赵开明</w:t>
      </w:r>
    </w:p>
    <w:p w14:paraId="4662B2B0">
      <w:pPr>
        <w:spacing w:before="0" w:after="120"/>
      </w:pPr>
      <w:r>
        <w:rPr>
          <w:rFonts w:ascii="Times New Roman" w:hAnsi="Times New Roman" w:eastAsia="宋体"/>
          <w:sz w:val="24"/>
          <w:szCs w:val="24"/>
        </w:rPr>
        <w:t>通讯地址：</w:t>
      </w:r>
      <w:r>
        <w:rPr>
          <w:rFonts w:hint="eastAsia" w:ascii="Times New Roman" w:hAnsi="Times New Roman" w:eastAsia="宋体"/>
          <w:sz w:val="24"/>
          <w:szCs w:val="24"/>
          <w:lang w:val="en-US" w:eastAsia="zh-CN"/>
        </w:rPr>
        <w:t>湖北</w:t>
      </w:r>
      <w:r>
        <w:rPr>
          <w:rFonts w:ascii="Times New Roman" w:hAnsi="Times New Roman" w:eastAsia="宋体"/>
          <w:sz w:val="24"/>
          <w:szCs w:val="24"/>
        </w:rPr>
        <w:t>省</w:t>
      </w:r>
      <w:r>
        <w:rPr>
          <w:rFonts w:hint="eastAsia" w:ascii="Times New Roman" w:hAnsi="Times New Roman" w:eastAsia="宋体"/>
          <w:sz w:val="24"/>
          <w:szCs w:val="24"/>
          <w:lang w:val="en-US" w:eastAsia="zh-CN"/>
        </w:rPr>
        <w:t>武汉</w:t>
      </w:r>
      <w:r>
        <w:rPr>
          <w:rFonts w:ascii="Times New Roman" w:hAnsi="Times New Roman" w:eastAsia="宋体"/>
          <w:sz w:val="24"/>
          <w:szCs w:val="24"/>
        </w:rPr>
        <w:t>市</w:t>
      </w:r>
      <w:r>
        <w:rPr>
          <w:rFonts w:hint="eastAsia" w:ascii="Times New Roman" w:hAnsi="Times New Roman" w:eastAsia="宋体"/>
          <w:sz w:val="24"/>
          <w:szCs w:val="24"/>
          <w:lang w:val="en-US" w:eastAsia="zh-CN"/>
        </w:rPr>
        <w:t>东西湖</w:t>
      </w:r>
      <w:r>
        <w:rPr>
          <w:rFonts w:ascii="Times New Roman" w:hAnsi="Times New Roman" w:eastAsia="宋体"/>
          <w:sz w:val="24"/>
          <w:szCs w:val="24"/>
        </w:rPr>
        <w:t>区</w:t>
      </w:r>
      <w:r>
        <w:rPr>
          <w:rFonts w:hint="eastAsia" w:ascii="Times New Roman" w:hAnsi="Times New Roman" w:eastAsia="宋体"/>
          <w:sz w:val="24"/>
          <w:szCs w:val="24"/>
          <w:lang w:val="en-US" w:eastAsia="zh-CN"/>
        </w:rPr>
        <w:t>常青花园学府南</w:t>
      </w:r>
      <w:r>
        <w:rPr>
          <w:rFonts w:ascii="Times New Roman" w:hAnsi="Times New Roman" w:eastAsia="宋体"/>
          <w:sz w:val="24"/>
          <w:szCs w:val="24"/>
        </w:rPr>
        <w:t>路</w:t>
      </w:r>
      <w:r>
        <w:rPr>
          <w:rFonts w:hint="eastAsia" w:ascii="Times New Roman" w:hAnsi="Times New Roman" w:eastAsia="宋体"/>
          <w:sz w:val="24"/>
          <w:szCs w:val="24"/>
          <w:lang w:val="en-US" w:eastAsia="zh-CN"/>
        </w:rPr>
        <w:t>68</w:t>
      </w:r>
      <w:r>
        <w:rPr>
          <w:rFonts w:ascii="Times New Roman" w:hAnsi="Times New Roman" w:eastAsia="宋体"/>
          <w:sz w:val="24"/>
          <w:szCs w:val="24"/>
        </w:rPr>
        <w:t>号</w:t>
      </w:r>
    </w:p>
    <w:p w14:paraId="7FF372CF">
      <w:pPr>
        <w:spacing w:before="0" w:after="120"/>
        <w:rPr>
          <w:rFonts w:hint="default" w:eastAsia="宋体"/>
          <w:lang w:val="en-US" w:eastAsia="zh-CN"/>
        </w:rPr>
      </w:pPr>
      <w:r>
        <w:rPr>
          <w:rFonts w:ascii="Times New Roman" w:hAnsi="Times New Roman" w:eastAsia="宋体"/>
          <w:sz w:val="24"/>
          <w:szCs w:val="24"/>
        </w:rPr>
        <w:t>邮政编码：</w:t>
      </w:r>
      <w:r>
        <w:rPr>
          <w:rFonts w:hint="eastAsia" w:ascii="Times New Roman" w:hAnsi="Times New Roman" w:eastAsia="宋体"/>
          <w:sz w:val="24"/>
          <w:szCs w:val="24"/>
          <w:lang w:val="en-US" w:eastAsia="zh-CN"/>
        </w:rPr>
        <w:t>430023</w:t>
      </w:r>
    </w:p>
    <w:p w14:paraId="2DC85420">
      <w:pPr>
        <w:spacing w:before="0" w:after="120"/>
        <w:rPr>
          <w:rFonts w:hint="default" w:ascii="Times New Roman" w:hAnsi="Times New Roman" w:eastAsia="宋体"/>
          <w:sz w:val="24"/>
          <w:szCs w:val="24"/>
          <w:lang w:val="en-US" w:eastAsia="zh-CN"/>
        </w:rPr>
      </w:pPr>
      <w:r>
        <w:rPr>
          <w:rFonts w:ascii="Times New Roman" w:hAnsi="Times New Roman" w:eastAsia="宋体"/>
          <w:sz w:val="24"/>
          <w:szCs w:val="24"/>
        </w:rPr>
        <w:t>电话：</w:t>
      </w:r>
      <w:r>
        <w:rPr>
          <w:rFonts w:hint="eastAsia" w:ascii="Times New Roman" w:hAnsi="Times New Roman" w:eastAsia="宋体"/>
          <w:sz w:val="24"/>
          <w:szCs w:val="24"/>
          <w:lang w:val="en-US" w:eastAsia="zh-CN"/>
        </w:rPr>
        <w:t>+86-</w:t>
      </w:r>
      <w:r>
        <w:rPr>
          <w:rFonts w:hint="eastAsia"/>
          <w:sz w:val="24"/>
          <w:szCs w:val="24"/>
          <w:lang w:val="en-US" w:eastAsia="zh-CN"/>
        </w:rPr>
        <w:t>17516290765</w:t>
      </w:r>
    </w:p>
    <w:p w14:paraId="7820DC49">
      <w:pPr>
        <w:spacing w:before="0" w:after="120"/>
        <w:rPr>
          <w:rFonts w:hint="default" w:ascii="Times New Roman" w:hAnsi="Times New Roman" w:eastAsia="宋体"/>
          <w:sz w:val="24"/>
          <w:szCs w:val="24"/>
          <w:lang w:val="en-US" w:eastAsia="zh-CN"/>
        </w:rPr>
      </w:pPr>
      <w:r>
        <w:rPr>
          <w:rFonts w:ascii="Times New Roman" w:hAnsi="Times New Roman" w:eastAsia="宋体"/>
          <w:sz w:val="24"/>
          <w:szCs w:val="24"/>
        </w:rPr>
        <w:t>Email：</w:t>
      </w:r>
      <w:r>
        <w:rPr>
          <w:rFonts w:hint="eastAsia"/>
          <w:sz w:val="24"/>
          <w:szCs w:val="24"/>
          <w:lang w:val="en-US" w:eastAsia="zh-CN"/>
        </w:rPr>
        <w:t>2061456792</w:t>
      </w:r>
      <w:r>
        <w:rPr>
          <w:rFonts w:hint="eastAsia" w:ascii="Times New Roman" w:hAnsi="Times New Roman" w:eastAsia="宋体"/>
          <w:sz w:val="24"/>
          <w:szCs w:val="24"/>
          <w:lang w:val="en-US" w:eastAsia="zh-CN"/>
        </w:rPr>
        <w:t>@qq.com</w:t>
      </w:r>
    </w:p>
    <w:p w14:paraId="1EE28381">
      <w:pPr>
        <w:spacing w:before="0" w:after="120"/>
      </w:pPr>
      <w:r>
        <w:rPr>
          <w:rFonts w:ascii="Times New Roman" w:hAnsi="Times New Roman" w:eastAsia="宋体"/>
          <w:sz w:val="24"/>
          <w:szCs w:val="24"/>
        </w:rPr>
        <w:t>作者简介：</w:t>
      </w:r>
      <w:r>
        <w:rPr>
          <w:rFonts w:hint="eastAsia"/>
          <w:sz w:val="24"/>
          <w:szCs w:val="24"/>
          <w:lang w:val="en-US" w:eastAsia="zh-CN"/>
        </w:rPr>
        <w:t>赵开明</w:t>
      </w:r>
      <w:r>
        <w:rPr>
          <w:rFonts w:ascii="Times New Roman" w:hAnsi="Times New Roman" w:eastAsia="宋体"/>
          <w:sz w:val="24"/>
          <w:szCs w:val="24"/>
        </w:rPr>
        <w:t>，男，</w:t>
      </w:r>
      <w:r>
        <w:rPr>
          <w:rFonts w:hint="eastAsia" w:ascii="Times New Roman" w:hAnsi="Times New Roman" w:eastAsia="宋体"/>
          <w:sz w:val="24"/>
          <w:szCs w:val="24"/>
          <w:lang w:val="en-US" w:eastAsia="zh-CN"/>
        </w:rPr>
        <w:t>200</w:t>
      </w:r>
      <w:r>
        <w:rPr>
          <w:rFonts w:hint="eastAsia"/>
          <w:sz w:val="24"/>
          <w:szCs w:val="24"/>
          <w:lang w:val="en-US" w:eastAsia="zh-CN"/>
        </w:rPr>
        <w:t>0</w:t>
      </w:r>
      <w:r>
        <w:rPr>
          <w:rFonts w:ascii="Times New Roman" w:hAnsi="Times New Roman" w:eastAsia="宋体"/>
          <w:sz w:val="24"/>
          <w:szCs w:val="24"/>
        </w:rPr>
        <w:t>年生，</w:t>
      </w:r>
      <w:r>
        <w:rPr>
          <w:rFonts w:hint="eastAsia" w:ascii="Times New Roman" w:hAnsi="Times New Roman" w:eastAsia="宋体"/>
          <w:sz w:val="24"/>
          <w:szCs w:val="24"/>
          <w:lang w:val="en-US" w:eastAsia="zh-CN"/>
        </w:rPr>
        <w:t>硕士研究生</w:t>
      </w:r>
      <w:r>
        <w:rPr>
          <w:rFonts w:ascii="Times New Roman" w:hAnsi="Times New Roman" w:eastAsia="宋体"/>
          <w:sz w:val="24"/>
          <w:szCs w:val="24"/>
        </w:rPr>
        <w:t>，主要研究方向为</w:t>
      </w:r>
      <w:r>
        <w:rPr>
          <w:rFonts w:hint="eastAsia" w:ascii="Times New Roman" w:hAnsi="Times New Roman" w:eastAsia="宋体"/>
          <w:sz w:val="24"/>
          <w:szCs w:val="24"/>
        </w:rPr>
        <w:t>工程热物理 / 强化传热 / 散热器结构优化 / CFD 数值模拟 / 机器学习辅助优化</w:t>
      </w:r>
      <w:r>
        <w:rPr>
          <w:rFonts w:ascii="Times New Roman" w:hAnsi="Times New Roman" w:eastAsia="宋体"/>
          <w:sz w:val="24"/>
          <w:szCs w:val="24"/>
        </w:rPr>
        <w:t>。</w:t>
      </w:r>
    </w:p>
    <w:p w14:paraId="40AD744B">
      <w:pPr>
        <w:pStyle w:val="2"/>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720" w:gutter="0"/>
          <w:pgNumType w:start="1"/>
          <w:cols w:space="720" w:num="1"/>
        </w:sectPr>
      </w:pPr>
    </w:p>
    <w:p w14:paraId="5FAB90DE">
      <w:pPr>
        <w:pStyle w:val="2"/>
      </w:pPr>
      <w:r>
        <w:t>基于多模态卷积神经网络的翼型管翅片散热器形状与布局参数优化</w:t>
      </w:r>
    </w:p>
    <w:p w14:paraId="4F9927C8">
      <w:pPr>
        <w:pStyle w:val="21"/>
        <w:keepNext w:val="0"/>
        <w:keepLines w:val="0"/>
        <w:widowControl/>
        <w:suppressLineNumbers w:val="0"/>
      </w:pPr>
      <w:r>
        <w:rPr>
          <w:rFonts w:hint="eastAsia"/>
          <w:b/>
          <w:bCs/>
        </w:rPr>
        <w:t>摘要：</w:t>
      </w:r>
      <w:r>
        <w:rPr>
          <w:rFonts w:hint="eastAsia"/>
        </w:rPr>
        <w:t>针对翼型管翅片散热器多参数设计中</w:t>
      </w:r>
      <w:r>
        <w:t xml:space="preserve"> CFD </w:t>
      </w:r>
      <w:r>
        <w:rPr>
          <w:rFonts w:hint="eastAsia"/>
        </w:rPr>
        <w:t>逐点寻优成本高、纯几何代理模型难以表征局部流场演化的问题，提出一种融合流场图像与几何参数的多模态</w:t>
      </w:r>
      <w:r>
        <w:t xml:space="preserve"> CNN </w:t>
      </w:r>
      <w:r>
        <w:rPr>
          <w:rFonts w:hint="eastAsia"/>
        </w:rPr>
        <w:t>形状与布局参数优化方法。以</w:t>
      </w:r>
      <w:r>
        <w:t xml:space="preserve"> NACA0012 </w:t>
      </w:r>
      <w:r>
        <w:rPr>
          <w:rFonts w:hint="eastAsia"/>
        </w:rPr>
        <w:t>对称翼型管阵列为基准构型，构建包含弯度、最大弯度位置、厚度、纵向间距、横向间距和交错位移的</w:t>
      </w:r>
      <w:r>
        <w:t xml:space="preserve"> 6 </w:t>
      </w:r>
      <w:r>
        <w:rPr>
          <w:rFonts w:hint="eastAsia"/>
        </w:rPr>
        <w:t>维参数化设计空间，并基于</w:t>
      </w:r>
      <w:r>
        <w:t xml:space="preserve"> COMSOL </w:t>
      </w:r>
      <w:r>
        <w:rPr>
          <w:rFonts w:hint="eastAsia"/>
        </w:rPr>
        <w:t>获得不同结构下的速度场、温度场、压力场及</w:t>
      </w:r>
      <m:oMath>
        <m:r>
          <m:rPr/>
          <w:rPr>
            <w:rFonts w:ascii="Times New Roman" w:hAnsi="Times New Roman" w:eastAsia="宋体"/>
            <w:sz w:val="21"/>
          </w:rPr>
          <m:t>Nu</m:t>
        </m:r>
      </m:oMath>
      <w:r>
        <w:rPr>
          <w:rFonts w:hint="eastAsia"/>
        </w:rPr>
        <w:t>、阻力系数</w:t>
      </w:r>
      <m:oMath>
        <m:r>
          <m:rPr/>
          <w:rPr>
            <w:rFonts w:ascii="Times New Roman" w:hAnsi="Times New Roman" w:eastAsia="宋体"/>
            <w:sz w:val="21"/>
          </w:rPr>
          <m:t>f</m:t>
        </m:r>
      </m:oMath>
      <w:r>
        <w:rPr>
          <w:rFonts w:hint="eastAsia"/>
        </w:rPr>
        <w:t>等性能指标。在此基础上，建立引入</w:t>
      </w:r>
      <w:r>
        <w:t xml:space="preserve"> CBAM </w:t>
      </w:r>
      <w:r>
        <w:rPr>
          <w:rFonts w:hint="eastAsia"/>
        </w:rPr>
        <w:t>注意力机制的多模态双流</w:t>
      </w:r>
      <w:r>
        <w:t xml:space="preserve"> CNN </w:t>
      </w:r>
      <w:r>
        <w:rPr>
          <w:rFonts w:hint="eastAsia"/>
        </w:rPr>
        <w:t>代理模型，并将其作为差分进化算法的快速适应度评估器。测试结果表明，模型对</w:t>
      </w:r>
      <w:r>
        <w:t xml:space="preserve"> </w:t>
      </w:r>
      <m:oMath>
        <m:r>
          <m:rPr/>
          <w:rPr>
            <w:rFonts w:ascii="Times New Roman" w:hAnsi="Times New Roman" w:eastAsia="宋体"/>
            <w:sz w:val="21"/>
          </w:rPr>
          <m:t>Nu</m:t>
        </m:r>
      </m:oMath>
      <w:r>
        <w:t xml:space="preserve"> </w:t>
      </w:r>
      <w:r>
        <w:rPr>
          <w:rFonts w:hint="eastAsia"/>
        </w:rPr>
        <w:t>和</w:t>
      </w:r>
      <w:r>
        <w:t xml:space="preserve"> </w:t>
      </w:r>
      <m:oMath>
        <m:r>
          <m:rPr/>
          <w:rPr>
            <w:rFonts w:ascii="Times New Roman" w:hAnsi="Times New Roman" w:eastAsia="宋体"/>
            <w:sz w:val="21"/>
          </w:rPr>
          <m:t>f</m:t>
        </m:r>
      </m:oMath>
      <w:r>
        <w:rPr>
          <w:rFonts w:hint="eastAsia"/>
        </w:rPr>
        <w:t>的预测决定系数分别达到</w:t>
      </w:r>
      <w:r>
        <w:t xml:space="preserve"> 0.9756 </w:t>
      </w:r>
      <w:r>
        <w:rPr>
          <w:rFonts w:hint="eastAsia"/>
        </w:rPr>
        <w:t>和</w:t>
      </w:r>
      <w:r>
        <w:t xml:space="preserve"> </w:t>
      </w:r>
      <w:r>
        <w:rPr>
          <w:rFonts w:hint="eastAsia"/>
        </w:rPr>
        <w:t>0.9633，较纯几何</w:t>
      </w:r>
      <w:r>
        <w:t xml:space="preserve"> MLP </w:t>
      </w:r>
      <w:r>
        <w:rPr>
          <w:rFonts w:hint="eastAsia"/>
        </w:rPr>
        <w:t>表现出更高预测精度。经</w:t>
      </w:r>
      <w:r>
        <w:t xml:space="preserve"> CFD </w:t>
      </w:r>
      <w:r>
        <w:rPr>
          <w:rFonts w:hint="eastAsia"/>
        </w:rPr>
        <w:t>复核，最优结构的</w:t>
      </w:r>
      <w:r>
        <w:t xml:space="preserve"> </w:t>
      </w:r>
      <m:oMath>
        <m:r>
          <m:rPr/>
          <w:rPr>
            <w:rFonts w:ascii="Times New Roman" w:hAnsi="Times New Roman" w:eastAsia="宋体"/>
            <w:sz w:val="21"/>
          </w:rPr>
          <m:t>Nu</m:t>
        </m:r>
      </m:oMath>
      <w:r>
        <w:rPr>
          <w:rFonts w:hint="eastAsia"/>
        </w:rPr>
        <w:t>、</w:t>
      </w:r>
      <w:r>
        <w:t xml:space="preserve">总换热率 </w:t>
      </w:r>
      <m:oMath>
        <m:sSub>
          <m:sSubPr>
            <m:ctrlPr>
              <w:rPr>
                <w:rFonts w:ascii="Cambria Math" w:hAnsi="Cambria Math" w:eastAsia="宋体"/>
                <w:sz w:val="21"/>
              </w:rPr>
            </m:ctrlPr>
          </m:sSubPr>
          <m:e>
            <m:r>
              <m:rPr/>
              <w:rPr>
                <w:rFonts w:ascii="Times New Roman" w:hAnsi="Times New Roman" w:eastAsia="宋体"/>
                <w:sz w:val="21"/>
                <w:lang w:eastAsia="zh-CN"/>
              </w:rPr>
              <m:t>Q</m:t>
            </m:r>
            <m:ctrlPr>
              <w:rPr>
                <w:rFonts w:ascii="Cambria Math" w:hAnsi="Cambria Math" w:eastAsia="宋体"/>
                <w:sz w:val="21"/>
              </w:rPr>
            </m:ctrlPr>
          </m:e>
          <m:sub>
            <m:r>
              <m:rPr>
                <m:sty m:val="p"/>
              </m:rPr>
              <w:rPr>
                <w:rFonts w:ascii="Times New Roman" w:hAnsi="Times New Roman" w:eastAsia="宋体"/>
                <w:sz w:val="21"/>
                <w:lang w:eastAsia="zh-CN"/>
              </w:rPr>
              <m:t>total</m:t>
            </m:r>
            <m:ctrlPr>
              <w:rPr>
                <w:rFonts w:ascii="Cambria Math" w:hAnsi="Cambria Math" w:eastAsia="宋体"/>
                <w:sz w:val="21"/>
              </w:rPr>
            </m:ctrlPr>
          </m:sub>
        </m:sSub>
      </m:oMath>
      <w:r>
        <w:t xml:space="preserve"> </w:t>
      </w:r>
      <w:r>
        <w:rPr>
          <w:rFonts w:hint="eastAsia"/>
        </w:rPr>
        <w:t>和综合评价因子</w:t>
      </w:r>
      <m:oMath>
        <m:r>
          <m:rPr/>
          <w:rPr>
            <w:rFonts w:ascii="Times New Roman" w:hAnsi="Times New Roman" w:eastAsia="宋体"/>
            <w:sz w:val="21"/>
          </w:rPr>
          <m:t>η</m:t>
        </m:r>
      </m:oMath>
      <w:r>
        <w:t xml:space="preserve"> </w:t>
      </w:r>
      <w:r>
        <w:rPr>
          <w:rFonts w:hint="eastAsia"/>
        </w:rPr>
        <w:t>分别提升</w:t>
      </w:r>
      <w:r>
        <w:t xml:space="preserve"> 6.03%、0.25% </w:t>
      </w:r>
      <w:r>
        <w:rPr>
          <w:rFonts w:hint="eastAsia"/>
        </w:rPr>
        <w:t>和</w:t>
      </w:r>
      <w:r>
        <w:t xml:space="preserve"> </w:t>
      </w:r>
      <w:r>
        <w:rPr>
          <w:rFonts w:hint="eastAsia"/>
        </w:rPr>
        <w:t>3.93%，翼型管平均温升降低约</w:t>
      </w:r>
      <w:r>
        <w:t xml:space="preserve"> </w:t>
      </w:r>
      <w:r>
        <w:rPr>
          <w:rFonts w:hint="eastAsia"/>
        </w:rPr>
        <w:t>5.45%，同时阻力系数</w:t>
      </w:r>
      <m:oMath>
        <m:r>
          <m:rPr/>
          <w:rPr>
            <w:rFonts w:ascii="Times New Roman" w:hAnsi="Times New Roman" w:eastAsia="宋体"/>
            <w:sz w:val="21"/>
          </w:rPr>
          <m:t>f</m:t>
        </m:r>
      </m:oMath>
      <w:r>
        <w:rPr>
          <w:rFonts w:hint="eastAsia"/>
        </w:rPr>
        <w:t>增加</w:t>
      </w:r>
      <w:r>
        <w:t xml:space="preserve"> </w:t>
      </w:r>
      <w:r>
        <w:rPr>
          <w:rFonts w:hint="eastAsia"/>
        </w:rPr>
        <w:t>6.18%，说明该结构在散热增强与流阻代价之间取得了一定折中。该方法可通过“代理预测—智能筛选—CFD</w:t>
      </w:r>
      <w:r>
        <w:t xml:space="preserve"> </w:t>
      </w:r>
      <w:r>
        <w:rPr>
          <w:rFonts w:hint="eastAsia"/>
        </w:rPr>
        <w:t>复核”流程降低候选结构筛选成本，为紧凑式散热器快速优化提供参考。</w:t>
      </w:r>
    </w:p>
    <w:p w14:paraId="3826BAD1">
      <w:pPr>
        <w:pStyle w:val="3"/>
      </w:pPr>
      <w:r>
        <w:rPr>
          <w:rFonts w:hint="eastAsia"/>
          <w:b/>
          <w:bCs/>
        </w:rPr>
        <w:t>关键词：</w:t>
      </w:r>
      <w:r>
        <w:rPr>
          <w:rFonts w:hint="eastAsia"/>
        </w:rPr>
        <w:t>多模态卷积神经网络；翼型管翅片散热器；流热耦合；形状与布局参数优化；强迫对流；差分进化算法</w:t>
      </w:r>
    </w:p>
    <w:p w14:paraId="7D316B6B">
      <w:pPr>
        <w:pStyle w:val="3"/>
      </w:pPr>
      <w:r>
        <w:rPr>
          <w:b/>
          <w:bCs/>
        </w:rPr>
        <w:t>Abstract:</w:t>
      </w:r>
      <w:r>
        <w:t xml:space="preserve"> To reduce the high computational cost of point-by-point CFD optimization and overcome the limited ability of geometry-only surrogate models to describe local flow-field evolution, a multimodal CNN-based shape and layout parameter optimization method integrating flow-field images with geometric parameters is proposed for an airfoil tube-fin radiator. Taking the NACA 0012 symmetric airfoil-tube array as the baseline configuration, a six-dimensional parametric design space is constructed, including camber, maximum camber position, thickness, longitudinal spacing, transverse spacing, and staggering offset. The velocity, temperature, and pressure fields, as well as the Nusselt number and resistance coefficient of different configurations, are obtained using COMSOL. On this basis, a multimodal dual-stream CNN surrogate model with a CBAM attention mechanism is developed and used as a fast fitness evaluator in the differential evolution algorithm. The test results show that the coefficients of determination for Nu and f reach 0.9756 and 0.9633, respectively, indicating higher prediction accuracy than the geometry-only MLP model. According to independent CFD verification, the optimal structure increases Nu, the unit-depth equivalent heat transfer rate </w:t>
      </w:r>
      <m:oMath>
        <m:sSub>
          <m:sSubPr>
            <m:ctrlPr>
              <w:rPr>
                <w:rFonts w:ascii="Cambria Math" w:hAnsi="Cambria Math" w:eastAsia="宋体"/>
                <w:sz w:val="21"/>
              </w:rPr>
            </m:ctrlPr>
          </m:sSubPr>
          <m:e>
            <m:r>
              <m:rPr/>
              <w:rPr>
                <w:rFonts w:ascii="Times New Roman" w:hAnsi="Times New Roman" w:eastAsia="宋体"/>
                <w:sz w:val="21"/>
                <w:lang w:eastAsia="zh-CN"/>
              </w:rPr>
              <m:t>Q</m:t>
            </m:r>
            <m:ctrlPr>
              <w:rPr>
                <w:rFonts w:ascii="Cambria Math" w:hAnsi="Cambria Math" w:eastAsia="宋体"/>
                <w:sz w:val="21"/>
              </w:rPr>
            </m:ctrlPr>
          </m:e>
          <m:sub>
            <m:r>
              <m:rPr>
                <m:sty m:val="p"/>
              </m:rPr>
              <w:rPr>
                <w:rFonts w:ascii="Times New Roman" w:hAnsi="Times New Roman" w:eastAsia="宋体"/>
                <w:sz w:val="21"/>
                <w:lang w:eastAsia="zh-CN"/>
              </w:rPr>
              <m:t>total</m:t>
            </m:r>
            <m:ctrlPr>
              <w:rPr>
                <w:rFonts w:ascii="Cambria Math" w:hAnsi="Cambria Math" w:eastAsia="宋体"/>
                <w:sz w:val="21"/>
              </w:rPr>
            </m:ctrlPr>
          </m:sub>
        </m:sSub>
      </m:oMath>
      <w:r>
        <w:t xml:space="preserve"> , and the comprehensive evaluation factor </w:t>
      </w:r>
      <m:oMath>
        <m:r>
          <m:rPr/>
          <w:rPr>
            <w:rFonts w:ascii="Times New Roman" w:hAnsi="Times New Roman" w:eastAsia="宋体"/>
            <w:sz w:val="21"/>
          </w:rPr>
          <m:t>η</m:t>
        </m:r>
      </m:oMath>
      <w:r>
        <w:t xml:space="preserve"> by 6.03%, 0.25%, and 3.93%, respectively, while reducing the average temperature rise of the airfoil tube by approximately 5.45%; meanwhile, the resistance coefficient f increases by 6.18%. The results indicate that the optimized structure achieves a reasonable compromise between heat dissipation enhancement and flow resistance penalty. The proposed “surrogate prediction—intelligent screening—CFD verification” procedure can reduce the screening cost of candidate structures and provide a reference for the rapid optimization of compact radiators.</w:t>
      </w:r>
    </w:p>
    <w:p w14:paraId="3745AAE8">
      <w:pPr>
        <w:pStyle w:val="21"/>
        <w:ind w:firstLine="482"/>
      </w:pPr>
      <w:r>
        <w:rPr>
          <w:rStyle w:val="26"/>
        </w:rPr>
        <w:t>Keywords:</w:t>
      </w:r>
      <w:r>
        <w:rPr>
          <w:rFonts w:hint="eastAsia"/>
        </w:rPr>
        <w:t>multimodal convolutional neural network; airfoil tube-fin radiator; flow-thermal coupling; shape and layout parameter optimization; forced convection; differential evolution algorithm</w:t>
      </w:r>
    </w:p>
    <w:p w14:paraId="06BA636C">
      <w:pPr>
        <w:pStyle w:val="4"/>
        <w:rPr>
          <w:lang w:eastAsia="zh-CN"/>
        </w:rPr>
      </w:pPr>
      <w:bookmarkStart w:id="1" w:name="引言"/>
      <w:r>
        <w:rPr>
          <w:lang w:eastAsia="zh-CN"/>
        </w:rPr>
        <w:t>1 引言</w:t>
      </w:r>
    </w:p>
    <w:p w14:paraId="3784D13E">
      <w:pPr>
        <w:pStyle w:val="21"/>
        <w:ind w:firstLine="480"/>
      </w:pPr>
      <w:r>
        <w:rPr>
          <w:rFonts w:hint="eastAsia"/>
        </w:rPr>
        <w:t>随着电子设备以及动力系统功率密度的持续提高，紧凑式换热器内部冷却通道中的管翅结构，对系统传热能力以及泵功消耗具有重要影响。在管翅式散热器设计中，通常可以通过改变换热管几何外形、尺寸参数以及阵列排布方式，破坏热边界层并增强流体扰动，从而提高气侧强迫对流换热性能。刘佳鑫等[1]对工程机械散热模块传热性能开展了数值与试验研究，指出常规管翅阵列在强化传热的同时，往往伴随较大的压降惩罚；雷翔宇等[2]运用 CFD 仿真探究了管翅参数对散热性能的影响，并进行了多目标优化设计；潘晟[3]、于明豪[4]采用基于 MMC-密度法的拓扑优化方法对散热器流道进行寻优，指出流热耦合迭代会带来较高的计算成本；OZGUC 等[5]采用均质化方法对微通道散热器进行拓扑优化，证实非连续阵列可以协同提升综合性能；王宝中[6]、冯少聪等[7]将航空翼型引入工程车辆管翅式散热器设计，并借助数值模拟与信噪比方法分析冷侧翼型管的敏感度，发现流线型特征能够有效推迟流动分离；Tariq 等[8]对交错与对齐排布的翼型管进行了传热特性对比，得出列间交错排布可减弱尾流热遮挡的结论。上述研究表明，翼型管的几何形状以及阵列排布方式会明显影响散热器的换热能力和流动阻力；但随着设计变量数量增加，依靠 CFD 逐点计算来开展传统优化，仍然面临较高的计算成本。</w:t>
      </w:r>
    </w:p>
    <w:p w14:paraId="7D5C1B66">
      <w:pPr>
        <w:pStyle w:val="21"/>
        <w:ind w:firstLine="480"/>
      </w:pPr>
      <w:r>
        <w:rPr>
          <w:rFonts w:hint="eastAsia"/>
        </w:rPr>
        <w:t>近年来，数据驱动算法被广泛用于加速多物理场优化过程。WANG 等[9]构建了深度学习预测模型，并将其用于三维冷却通道寻优，有效缩短了计算时间；朱高嘉等[10]、陈焱飙等[11]基于人工神经网络对散热器结构进行迭代优化，实现了从几何标量到宏观性能指标的快速映射。特别地，JIANG 等[12]采用反向传播人工神经网络（BP-ANN）并结合非支配排序遗传算法，对翼型印刷电路板式换热器（PCHE）的四维几何结构参数进行了寻优预测。然而，现有基于机器学习的散热结构优化研究，多数仍以几何标量作为输入，主要建立结构参数与 Nu、阻力因子或平均温度等宏观指标之间的数值关联。对于翼型管阵列这类流热耦合特征较强的结构，其宏观性能不仅取决于几何参数本身，还会受到尾迹偏转、流体滞止、局部热遮挡、边界层重构以及压力集中等空间物理过程的共同影响。若仅依靠低维几何标量，代理模型就难以充分利用 CFD 结果中已经包含的速度场、温度场以及压力场信息，从而削弱其对复杂流热耦合响应的表征能力。</w:t>
      </w:r>
    </w:p>
    <w:p w14:paraId="51941D20">
      <w:pPr>
        <w:pStyle w:val="21"/>
        <w:ind w:firstLine="480"/>
      </w:pPr>
      <w:r>
        <w:rPr>
          <w:rFonts w:hint="eastAsia"/>
        </w:rPr>
        <w:t>针对上述问题，提出一种融合流场图像与几何参数的多模态 CNN 形状与布局参数优化方法。该方法以 NACA0012 对称翼型为基准截面，构建包含弯度、最大弯度位置、厚度等翼型管形状参数，以及纵向间距、横向间距和列间交错位移等管间布局参数的 6 维设计空间；同时考虑尾流干涉、热遮挡、局部压力集中及流阻增加等因素，以 Nu 和 f 为主要预测目标，并通过综合评价因子衡量换热强化与流阻代价之间的折中关系。在具体实现上，基于 CFD 模拟生成 500 组不同参数组合下的流热耦合样本，提取速度场、温度场、压力场云图以及 Nu、f 等性能标签，训练引入 CBAM 注意力机制的多模态双流 CNN 学习“几何参数 + 流场图像 → Nu/f”的非线性映射关系。随后，将训练后的代理模型嵌入差分进化算法进行候选方案筛选，并对最优结构重新开展 COMSOL 独立复核，进一步结合速度场和温度场云图分析优化结构的散热强化机理。</w:t>
      </w:r>
    </w:p>
    <w:bookmarkEnd w:id="1"/>
    <w:p w14:paraId="3A2E453E">
      <w:pPr>
        <w:pStyle w:val="4"/>
        <w:rPr>
          <w:lang w:eastAsia="zh-CN"/>
        </w:rPr>
      </w:pPr>
      <w:bookmarkStart w:id="2" w:name="数值模型与评价方法"/>
      <w:r>
        <w:rPr>
          <w:lang w:eastAsia="zh-CN"/>
        </w:rPr>
        <w:t>2 数值模型与评价方法</w:t>
      </w:r>
    </w:p>
    <w:p w14:paraId="1C233597">
      <w:pPr>
        <w:pStyle w:val="5"/>
        <w:ind w:left="480"/>
        <w:rPr>
          <w:lang w:eastAsia="zh-CN"/>
        </w:rPr>
      </w:pPr>
      <w:bookmarkStart w:id="3" w:name="物理模型与设计变量"/>
      <w:r>
        <w:rPr>
          <w:lang w:eastAsia="zh-CN"/>
        </w:rPr>
        <w:t>2.1 物理模型与设计变量</w:t>
      </w:r>
    </w:p>
    <w:p w14:paraId="0DCBA213">
      <w:pPr>
        <w:pStyle w:val="21"/>
        <w:ind w:firstLine="480"/>
      </w:pPr>
      <w:r>
        <w:rPr>
          <w:rFonts w:hint="eastAsia"/>
        </w:rPr>
        <w:t>以紧凑式翼型管翅片散热器气侧流动与换热过程为研究对象，选取包含</w:t>
      </w:r>
      <w:r>
        <w:t xml:space="preserve"> 3×8 </w:t>
      </w:r>
      <w:r>
        <w:rPr>
          <w:rFonts w:hint="eastAsia"/>
        </w:rPr>
        <w:t>翼型换热管阵列的二维代表性计算域进行分析。该模型在降低计算量的同时，可保留空气绕流、尾迹干涉、热遮挡和局部压降损失等主要现象。管内冷却液流动不再单独求解，翼型管固体区域等效为具有恒定体积生热率</w:t>
      </w:r>
      <w:r>
        <w:t xml:space="preserve"> qᵥ </w:t>
      </w:r>
      <w:r>
        <w:rPr>
          <w:rFonts w:hint="eastAsia"/>
        </w:rPr>
        <w:t>的热源区域。</w:t>
      </w:r>
    </w:p>
    <w:p w14:paraId="58155990">
      <w:pPr>
        <w:pStyle w:val="21"/>
        <w:ind w:firstLine="480"/>
      </w:pPr>
      <w:r>
        <w:rPr>
          <w:rFonts w:hint="eastAsia"/>
        </w:rPr>
        <w:t>为描述翼型管外形和阵列排布，首先定义 6 个几何参数，如图 1 所示。其中，翼型管外形参数包括最大弯度</w:t>
      </w:r>
      <m:oMath>
        <m:r>
          <m:rPr/>
          <w:rPr>
            <w:rFonts w:ascii="Cambria Math" w:hAnsi="Cambria Math"/>
          </w:rPr>
          <m:t>m</m:t>
        </m:r>
      </m:oMath>
      <w:r>
        <w:rPr>
          <w:rFonts w:hint="eastAsia"/>
        </w:rPr>
        <w:t xml:space="preserve">、最大弯度位置 </w:t>
      </w:r>
      <m:oMath>
        <m:r>
          <m:rPr/>
          <w:rPr>
            <w:rFonts w:ascii="Cambria Math" w:hAnsi="Cambria Math"/>
          </w:rPr>
          <m:t>p</m:t>
        </m:r>
      </m:oMath>
      <w:r>
        <w:rPr>
          <w:rFonts w:hint="eastAsia"/>
        </w:rPr>
        <w:t xml:space="preserve"> 和最大厚度</w:t>
      </w:r>
      <m:oMath>
        <m:r>
          <m:rPr/>
          <w:rPr>
            <w:rFonts w:ascii="Cambria Math" w:hAnsi="Cambria Math"/>
          </w:rPr>
          <m:t>t</m:t>
        </m:r>
      </m:oMath>
      <w:r>
        <w:rPr>
          <w:rFonts w:hint="eastAsia"/>
        </w:rPr>
        <w:t xml:space="preserve">；阵列布局参数包括横向间距 </w:t>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s</m:t>
            </m:r>
            <m:ctrlPr>
              <w:rPr>
                <w:rFonts w:ascii="Cambria Math" w:hAnsi="Cambria Math"/>
              </w:rPr>
            </m:ctrlPr>
          </m:sub>
        </m:sSub>
      </m:oMath>
      <w:r>
        <w:rPr>
          <w:rFonts w:hint="eastAsia"/>
        </w:rPr>
        <w:t>、纵向间距</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 xml:space="preserve"> 和列间交错位移</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oMath>
      <w:r>
        <w:rPr>
          <w:rFonts w:hint="eastAsia"/>
        </w:rPr>
        <w:t>。</w:t>
      </w: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698D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000" w:type="pct"/>
          </w:tcPr>
          <w:p w14:paraId="4619DF06">
            <w:pPr>
              <w:pStyle w:val="3"/>
              <w:widowControl w:val="0"/>
              <w:spacing w:line="240" w:lineRule="auto"/>
              <w:ind w:firstLine="0" w:firstLineChars="0"/>
              <w:jc w:val="both"/>
              <w:rPr>
                <w:rFonts w:hint="eastAsia" w:eastAsia="宋体"/>
                <w:b/>
                <w:bCs/>
                <w:lang w:eastAsia="zh-CN"/>
              </w:rPr>
            </w:pPr>
            <w:bookmarkStart w:id="4" w:name="_Hlk229577622"/>
            <w:r>
              <w:rPr>
                <w:rFonts w:hint="eastAsia" w:eastAsia="宋体"/>
                <w:b/>
                <w:bCs/>
                <w:lang w:eastAsia="zh-CN"/>
              </w:rPr>
              <w:drawing>
                <wp:inline distT="0" distB="0" distL="114300" distR="114300">
                  <wp:extent cx="5339715" cy="1195070"/>
                  <wp:effectExtent l="0" t="0" r="13335" b="5080"/>
                  <wp:docPr id="9" name="图片 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2"/>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339715" cy="1195070"/>
                          </a:xfrm>
                          <a:prstGeom prst="rect">
                            <a:avLst/>
                          </a:prstGeom>
                        </pic:spPr>
                      </pic:pic>
                    </a:graphicData>
                  </a:graphic>
                </wp:inline>
              </w:drawing>
            </w:r>
          </w:p>
        </w:tc>
      </w:tr>
      <w:tr w14:paraId="4D2E0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000" w:type="pct"/>
          </w:tcPr>
          <w:p w14:paraId="2EAD6075">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Fig. 1 Definition of airfoil-tube shape and array layout parameters</w:t>
            </w:r>
          </w:p>
          <w:p w14:paraId="008D70D3">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b/>
                <w:bCs/>
                <w:lang w:eastAsia="zh-CN"/>
              </w:rPr>
            </w:pPr>
            <w:r>
              <w:rPr>
                <w:rFonts w:hint="eastAsia"/>
                <w:sz w:val="21"/>
                <w:szCs w:val="21"/>
                <w:lang w:eastAsia="zh-CN"/>
              </w:rPr>
              <w:t>图1  翼型管形状与阵列布局参数定义图</w:t>
            </w:r>
          </w:p>
        </w:tc>
      </w:tr>
      <w:bookmarkEnd w:id="4"/>
    </w:tbl>
    <w:p w14:paraId="3B115AD6">
      <w:pPr>
        <w:pStyle w:val="3"/>
      </w:pPr>
      <w:r>
        <w:rPr>
          <w:lang w:eastAsia="zh-CN"/>
        </w:rPr>
        <w:t>单个翼型换热管基于 NACA 四位数翼型方程生成。</w:t>
      </w:r>
      <w:r>
        <w:t xml:space="preserve"> </w:t>
      </w:r>
      <w:r>
        <w:rPr>
          <w:rFonts w:hint="eastAsia"/>
          <w:lang w:val="en-US" w:eastAsia="zh-CN"/>
        </w:rPr>
        <w:t>使用</w:t>
      </w:r>
      <w:r>
        <w:t xml:space="preserve">Ta、Twa、Tb、Ts、Tt </w:t>
      </w:r>
      <w:r>
        <w:rPr>
          <w:rFonts w:hint="eastAsia"/>
        </w:rPr>
        <w:t>和</w:t>
      </w:r>
      <w:r>
        <w:t xml:space="preserve"> Tad </w:t>
      </w:r>
      <w:r>
        <w:rPr>
          <w:rFonts w:hint="eastAsia"/>
        </w:rPr>
        <w:t>作为</w:t>
      </w:r>
      <w:r>
        <w:t xml:space="preserve"> 6 </w:t>
      </w:r>
      <w:r>
        <w:rPr>
          <w:rFonts w:hint="eastAsia"/>
        </w:rPr>
        <w:t>个参数化控制量，并以翼型管弦长</w:t>
      </w:r>
      <w:r>
        <w:t xml:space="preserve"> c </w:t>
      </w:r>
      <w:r>
        <w:rPr>
          <w:rFonts w:hint="eastAsia"/>
        </w:rPr>
        <w:t>为基准换算实际几何尺寸：</w:t>
      </w:r>
    </w:p>
    <w:p w14:paraId="7AFA47CD">
      <w:pPr>
        <w:pStyle w:val="3"/>
        <w:spacing w:before="0" w:after="0"/>
        <w:ind w:firstLine="480"/>
        <w:rPr>
          <w:lang w:eastAsia="zh-CN"/>
        </w:rPr>
      </w:pPr>
      <w:r>
        <w:rPr>
          <w:lang w:eastAsia="zh-CN"/>
        </w:rPr>
        <w:t>：</w:t>
      </w:r>
    </w:p>
    <w:tbl>
      <w:tblPr>
        <w:tblStyle w:val="23"/>
        <w:tblW w:w="8278" w:type="dxa"/>
        <w:jc w:val="center"/>
        <w:tblLayout w:type="fixed"/>
        <w:tblCellMar>
          <w:top w:w="0" w:type="dxa"/>
          <w:left w:w="10" w:type="dxa"/>
          <w:bottom w:w="0" w:type="dxa"/>
          <w:right w:w="10" w:type="dxa"/>
        </w:tblCellMar>
      </w:tblPr>
      <w:tblGrid>
        <w:gridCol w:w="7217"/>
        <w:gridCol w:w="1061"/>
      </w:tblGrid>
      <w:tr w14:paraId="5AA5A937">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6EA188C4">
            <w:pPr>
              <w:spacing w:before="0" w:after="0" w:line="240" w:lineRule="auto"/>
              <w:ind w:firstLine="480" w:firstLineChars="200"/>
              <w:jc w:val="center"/>
              <w:rPr>
                <w:rFonts w:hAnsi="Cambria Math"/>
              </w:rPr>
            </w:pPr>
            <m:oMathPara>
              <m:oMathParaPr>
                <m:jc m:val="center"/>
              </m:oMathParaPr>
              <m:oMath>
                <m:r>
                  <m:rPr/>
                  <m:t>m</m:t>
                </m:r>
                <m:r>
                  <m:rPr>
                    <m:sty m:val="p"/>
                  </m:rPr>
                  <m:t>=</m:t>
                </m:r>
                <m:sSub>
                  <m:sSubPr/>
                  <m:e>
                    <m:r>
                      <m:rPr/>
                      <m:t>T</m:t>
                    </m:r>
                  </m:e>
                  <m:sub>
                    <m:r>
                      <m:rPr/>
                      <m:t>a</m:t>
                    </m:r>
                  </m:sub>
                </m:sSub>
                <m:r>
                  <m:rPr/>
                  <m:t>c</m:t>
                </m:r>
                <m:r>
                  <m:rPr>
                    <m:sty m:val="p"/>
                  </m:rPr>
                  <m:t>,</m:t>
                </m:r>
                <m:r>
                  <m:rPr/>
                  <m:t> p</m:t>
                </m:r>
                <m:r>
                  <m:rPr>
                    <m:sty m:val="p"/>
                  </m:rPr>
                  <m:t>=</m:t>
                </m:r>
                <m:sSub>
                  <m:sSubPr/>
                  <m:e>
                    <m:r>
                      <m:rPr/>
                      <m:t>T</m:t>
                    </m:r>
                  </m:e>
                  <m:sub>
                    <m:r>
                      <m:rPr/>
                      <m:t>wa</m:t>
                    </m:r>
                  </m:sub>
                </m:sSub>
                <m:r>
                  <m:rPr/>
                  <m:t>c</m:t>
                </m:r>
                <m:r>
                  <m:rPr>
                    <m:sty m:val="p"/>
                  </m:rPr>
                  <m:t>,</m:t>
                </m:r>
                <m:r>
                  <m:rPr/>
                  <m:t> t</m:t>
                </m:r>
                <m:r>
                  <m:rPr>
                    <m:sty m:val="p"/>
                  </m:rPr>
                  <m:t>=</m:t>
                </m:r>
                <m:sSub>
                  <m:sSubPr/>
                  <m:e>
                    <m:r>
                      <m:rPr/>
                      <m:t>T</m:t>
                    </m:r>
                  </m:e>
                  <m:sub>
                    <m:r>
                      <m:rPr/>
                      <m:t>b</m:t>
                    </m:r>
                  </m:sub>
                </m:sSub>
                <m:r>
                  <m:rPr/>
                  <m:t>c</m:t>
                </m:r>
              </m:oMath>
            </m:oMathPara>
          </w:p>
        </w:tc>
        <w:tc>
          <w:tcPr>
            <w:tcW w:w="1061" w:type="dxa"/>
            <w:tcBorders>
              <w:top w:val="nil"/>
              <w:left w:val="nil"/>
              <w:bottom w:val="nil"/>
              <w:right w:val="nil"/>
            </w:tcBorders>
            <w:vAlign w:val="center"/>
          </w:tcPr>
          <w:p w14:paraId="4608CCCD">
            <w:pPr>
              <w:ind w:firstLine="0" w:firstLineChars="0"/>
              <w:jc w:val="right"/>
            </w:pPr>
            <w:r>
              <w:rPr>
                <w:rFonts w:eastAsia="Times New Roman"/>
                <w:sz w:val="21"/>
                <w:szCs w:val="21"/>
              </w:rPr>
              <w:t>(1)</w:t>
            </w:r>
          </w:p>
        </w:tc>
      </w:tr>
      <w:tr w14:paraId="1742D561">
        <w:tblPrEx>
          <w:tblCellMar>
            <w:top w:w="0" w:type="dxa"/>
            <w:left w:w="10" w:type="dxa"/>
            <w:bottom w:w="0" w:type="dxa"/>
            <w:right w:w="10" w:type="dxa"/>
          </w:tblCellMar>
        </w:tblPrEx>
        <w:trPr>
          <w:trHeight w:val="90" w:hRule="atLeast"/>
          <w:jc w:val="center"/>
        </w:trPr>
        <w:tc>
          <w:tcPr>
            <w:tcW w:w="7217" w:type="dxa"/>
            <w:tcBorders>
              <w:top w:val="nil"/>
              <w:left w:val="nil"/>
              <w:bottom w:val="nil"/>
              <w:right w:val="nil"/>
            </w:tcBorders>
            <w:vAlign w:val="center"/>
          </w:tcPr>
          <w:p w14:paraId="20598D88">
            <w:pPr>
              <w:spacing w:before="0" w:after="0" w:line="240" w:lineRule="auto"/>
              <w:ind w:firstLine="480" w:firstLineChars="200"/>
              <w:jc w:val="center"/>
              <w:rPr>
                <w:rFonts w:hAnsi="Cambria Math"/>
              </w:rPr>
            </w:pPr>
            <m:oMathPara>
              <m:oMathParaPr>
                <m:jc m:val="center"/>
              </m:oMathParaPr>
              <m:oMath>
                <m:sSub>
                  <m:sSubPr/>
                  <m:e>
                    <m:r>
                      <m:rPr/>
                      <m:t>S</m:t>
                    </m:r>
                  </m:e>
                  <m:sub>
                    <m:r>
                      <m:rPr/>
                      <m:t>s</m:t>
                    </m:r>
                  </m:sub>
                </m:sSub>
                <m:r>
                  <m:rPr>
                    <m:sty m:val="p"/>
                  </m:rPr>
                  <m:t>=</m:t>
                </m:r>
                <m:sSub>
                  <m:sSubPr/>
                  <m:e>
                    <m:r>
                      <m:rPr/>
                      <m:t>T</m:t>
                    </m:r>
                  </m:e>
                  <m:sub>
                    <m:r>
                      <m:rPr/>
                      <m:t>s</m:t>
                    </m:r>
                  </m:sub>
                </m:sSub>
                <m:r>
                  <m:rPr/>
                  <m:t>c</m:t>
                </m:r>
                <m:r>
                  <m:rPr>
                    <m:sty m:val="p"/>
                  </m:rPr>
                  <m:t>,</m:t>
                </m:r>
                <m:r>
                  <m:rPr/>
                  <m:t> </m:t>
                </m:r>
                <m:sSub>
                  <m:sSubPr/>
                  <m:e>
                    <m:r>
                      <m:rPr/>
                      <m:t>S</m:t>
                    </m:r>
                  </m:e>
                  <m:sub>
                    <m:r>
                      <m:rPr/>
                      <m:t>t</m:t>
                    </m:r>
                  </m:sub>
                </m:sSub>
                <m:r>
                  <m:rPr>
                    <m:sty m:val="p"/>
                  </m:rPr>
                  <m:t>=</m:t>
                </m:r>
                <m:sSub>
                  <m:sSubPr/>
                  <m:e>
                    <m:r>
                      <m:rPr/>
                      <m:t>T</m:t>
                    </m:r>
                  </m:e>
                  <m:sub>
                    <m:r>
                      <m:rPr/>
                      <m:t>t</m:t>
                    </m:r>
                  </m:sub>
                </m:sSub>
                <m:r>
                  <m:rPr/>
                  <m:t>c</m:t>
                </m:r>
                <m:r>
                  <m:rPr>
                    <m:sty m:val="p"/>
                  </m:rPr>
                  <m:t>,</m:t>
                </m:r>
                <m:r>
                  <m:rPr/>
                  <m:t> </m:t>
                </m:r>
                <m:sSub>
                  <m:sSubPr/>
                  <m:e>
                    <m:r>
                      <m:rPr/>
                      <m:t>S</m:t>
                    </m:r>
                  </m:e>
                  <m:sub>
                    <m:r>
                      <m:rPr/>
                      <m:t>d</m:t>
                    </m:r>
                  </m:sub>
                </m:sSub>
                <m:r>
                  <m:rPr>
                    <m:sty m:val="p"/>
                  </m:rPr>
                  <m:t>=</m:t>
                </m:r>
                <m:sSub>
                  <m:sSubPr/>
                  <m:e>
                    <m:r>
                      <m:rPr/>
                      <m:t>T</m:t>
                    </m:r>
                  </m:e>
                  <m:sub>
                    <m:r>
                      <m:rPr/>
                      <m:t>ad</m:t>
                    </m:r>
                  </m:sub>
                </m:sSub>
                <m:r>
                  <m:rPr/>
                  <m:t>c</m:t>
                </m:r>
              </m:oMath>
            </m:oMathPara>
          </w:p>
        </w:tc>
        <w:tc>
          <w:tcPr>
            <w:tcW w:w="1061" w:type="dxa"/>
            <w:tcBorders>
              <w:top w:val="nil"/>
              <w:left w:val="nil"/>
              <w:bottom w:val="nil"/>
              <w:right w:val="nil"/>
            </w:tcBorders>
            <w:vAlign w:val="center"/>
          </w:tcPr>
          <w:p w14:paraId="26975920">
            <w:pPr>
              <w:ind w:firstLine="0" w:firstLineChars="0"/>
              <w:jc w:val="right"/>
            </w:pPr>
            <w:r>
              <w:rPr>
                <w:rFonts w:eastAsia="Times New Roman"/>
                <w:sz w:val="21"/>
                <w:szCs w:val="21"/>
              </w:rPr>
              <w:t>(2)</w:t>
            </w:r>
          </w:p>
        </w:tc>
      </w:tr>
    </w:tbl>
    <w:p w14:paraId="7A0098EA">
      <w:pPr>
        <w:pStyle w:val="21"/>
        <w:ind w:firstLine="480"/>
      </w:pPr>
      <w:r>
        <w:t>式中，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m:t>
            </m:r>
            <m:ctrlPr>
              <w:rPr>
                <w:rFonts w:ascii="Cambria Math" w:hAnsi="Cambria Math"/>
              </w:rPr>
            </m:ctrlPr>
          </m:sub>
        </m:sSub>
      </m:oMath>
      <w:r>
        <w:t>为弯度系数，</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wa</m:t>
            </m:r>
            <m:ctrlPr>
              <w:rPr>
                <w:rFonts w:ascii="Cambria Math" w:hAnsi="Cambria Math"/>
              </w:rPr>
            </m:ctrlPr>
          </m:sub>
        </m:sSub>
      </m:oMath>
      <w:r>
        <w:t>为最大弯度位置，</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oMath>
      <w:r>
        <w:t>为厚度系数，</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oMath>
      <w:r>
        <w:t xml:space="preserve"> 为横向间距，</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ctrlPr>
              <w:rPr>
                <w:rFonts w:ascii="Cambria Math" w:hAnsi="Cambria Math"/>
              </w:rPr>
            </m:ctrlPr>
          </m:sub>
        </m:sSub>
      </m:oMath>
      <w:r>
        <w:t>为纵向间距，</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ad</m:t>
            </m:r>
            <m:ctrlPr>
              <w:rPr>
                <w:rFonts w:ascii="Cambria Math" w:hAnsi="Cambria Math"/>
              </w:rPr>
            </m:ctrlPr>
          </m:sub>
        </m:sSub>
      </m:oMath>
      <w:r>
        <w:t xml:space="preserve"> 为列间交错位移。表 1 中给出了各无量纲设计变量的取值范围。需要说明的是，</w:t>
      </w:r>
      <w:r>
        <w:rPr>
          <w:rFonts w:ascii="Times New Roman" w:hAnsi="Times New Roman"/>
          <w:sz w:val="24"/>
        </w:rPr>
        <w:t xml:space="preserve">表 1 </w:t>
      </w:r>
      <w:r>
        <w:rPr>
          <w:rFonts w:hint="eastAsia"/>
          <w:sz w:val="24"/>
          <w:lang w:val="en-US" w:eastAsia="zh-CN"/>
        </w:rPr>
        <w:t>为</w:t>
      </w:r>
      <w:r>
        <w:rPr>
          <w:rFonts w:ascii="Times New Roman" w:hAnsi="Times New Roman"/>
          <w:sz w:val="24"/>
        </w:rPr>
        <w:t>各参数化控制量的取值范围</w:t>
      </w:r>
      <w:r>
        <w:t>；在 COMSOL 建模时，需根据给定弦长 c 将其换算为实际几何尺寸后生成计算模型。为便于性能对比，选取无弯度且完全对齐排布的对称翼型管阵列作为基准模型（Baseline），即</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m:t>
            </m:r>
            <m:ctrlPr>
              <w:rPr>
                <w:rFonts w:ascii="Cambria Math" w:hAnsi="Cambria Math"/>
              </w:rPr>
            </m:ctrlPr>
          </m:sub>
        </m:sSub>
      </m:oMath>
      <w:r>
        <w:t>= 0、</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ad</m:t>
            </m:r>
            <m:ctrlPr>
              <w:rPr>
                <w:rFonts w:ascii="Cambria Math" w:hAnsi="Cambria Math"/>
              </w:rPr>
            </m:ctrlPr>
          </m:sub>
        </m:sSub>
      </m:oMath>
      <w:r>
        <w:t xml:space="preserve"> = 0。</w:t>
      </w:r>
    </w:p>
    <w:p w14:paraId="03F74F6F">
      <w:pPr>
        <w:pStyle w:val="3"/>
        <w:spacing w:before="120" w:after="120" w:line="240" w:lineRule="auto"/>
        <w:ind w:firstLineChars="0"/>
        <w:jc w:val="center"/>
        <w:rPr>
          <w:lang w:eastAsia="zh-CN"/>
        </w:rPr>
      </w:pPr>
      <w:r>
        <w:rPr>
          <w:sz w:val="21"/>
          <w:lang w:eastAsia="zh-CN"/>
        </w:rPr>
        <w:t>表1　</w:t>
      </w:r>
      <w:r>
        <w:rPr>
          <w:rFonts w:hint="eastAsia"/>
          <w:sz w:val="21"/>
          <w:lang w:eastAsia="zh-CN"/>
        </w:rPr>
        <w:t>翼型管阵列 6 维参数化设计变量及其取值范围</w:t>
      </w:r>
    </w:p>
    <w:tbl>
      <w:tblPr>
        <w:tblStyle w:val="23"/>
        <w:tblW w:w="8856"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 w:type="dxa"/>
          <w:bottom w:w="0" w:type="dxa"/>
          <w:right w:w="10" w:type="dxa"/>
        </w:tblCellMar>
      </w:tblPr>
      <w:tblGrid>
        <w:gridCol w:w="2192"/>
        <w:gridCol w:w="2192"/>
        <w:gridCol w:w="2192"/>
        <w:gridCol w:w="2280"/>
      </w:tblGrid>
      <w:tr w14:paraId="222EA3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blHeader/>
          <w:jc w:val="center"/>
        </w:trPr>
        <w:tc>
          <w:tcPr>
            <w:tcW w:w="1264" w:type="dxa"/>
            <w:tcBorders>
              <w:top w:val="single" w:color="000000" w:sz="8" w:space="0"/>
              <w:left w:val="nil"/>
              <w:bottom w:val="single" w:color="000000" w:sz="4" w:space="0"/>
              <w:right w:val="nil"/>
            </w:tcBorders>
            <w:vAlign w:val="center"/>
          </w:tcPr>
          <w:p w14:paraId="41AF03B4">
            <w:pPr>
              <w:spacing w:line="240" w:lineRule="auto"/>
              <w:ind w:firstLine="0" w:firstLineChars="0"/>
              <w:jc w:val="center"/>
            </w:pPr>
            <w:r>
              <w:rPr>
                <w:b/>
                <w:bCs/>
                <w:sz w:val="21"/>
                <w:szCs w:val="21"/>
              </w:rPr>
              <w:t>参数符号</w:t>
            </w:r>
          </w:p>
        </w:tc>
        <w:tc>
          <w:tcPr>
            <w:tcW w:w="1264" w:type="dxa"/>
            <w:tcBorders>
              <w:top w:val="single" w:color="000000" w:sz="8" w:space="0"/>
              <w:left w:val="nil"/>
              <w:bottom w:val="single" w:color="000000" w:sz="4" w:space="0"/>
              <w:right w:val="nil"/>
            </w:tcBorders>
            <w:vAlign w:val="center"/>
          </w:tcPr>
          <w:p w14:paraId="722DFAF0">
            <w:pPr>
              <w:spacing w:line="240" w:lineRule="auto"/>
              <w:ind w:firstLine="0" w:firstLineChars="0"/>
              <w:jc w:val="center"/>
            </w:pPr>
            <w:r>
              <w:rPr>
                <w:b/>
                <w:bCs/>
                <w:sz w:val="21"/>
                <w:szCs w:val="21"/>
              </w:rPr>
              <w:t>物理意义</w:t>
            </w:r>
          </w:p>
        </w:tc>
        <w:tc>
          <w:tcPr>
            <w:tcW w:w="1264" w:type="dxa"/>
            <w:tcBorders>
              <w:top w:val="single" w:color="000000" w:sz="8" w:space="0"/>
              <w:left w:val="nil"/>
              <w:bottom w:val="single" w:color="000000" w:sz="4" w:space="0"/>
              <w:right w:val="nil"/>
            </w:tcBorders>
            <w:vAlign w:val="center"/>
          </w:tcPr>
          <w:p w14:paraId="6900AE43">
            <w:pPr>
              <w:spacing w:line="240" w:lineRule="auto"/>
              <w:ind w:firstLine="0" w:firstLineChars="0"/>
              <w:jc w:val="center"/>
            </w:pPr>
            <w:r>
              <w:rPr>
                <w:b/>
                <w:bCs/>
                <w:sz w:val="21"/>
                <w:szCs w:val="21"/>
              </w:rPr>
              <w:t>变量类型</w:t>
            </w:r>
          </w:p>
        </w:tc>
        <w:tc>
          <w:tcPr>
            <w:tcW w:w="1315" w:type="dxa"/>
            <w:tcBorders>
              <w:top w:val="single" w:color="000000" w:sz="8" w:space="0"/>
              <w:left w:val="nil"/>
              <w:bottom w:val="single" w:color="000000" w:sz="4" w:space="0"/>
              <w:right w:val="nil"/>
            </w:tcBorders>
            <w:vAlign w:val="center"/>
          </w:tcPr>
          <w:p w14:paraId="5A2A41E4">
            <w:pPr>
              <w:spacing w:line="240" w:lineRule="auto"/>
              <w:ind w:firstLine="0" w:firstLineChars="0"/>
              <w:jc w:val="center"/>
            </w:pPr>
            <w:r>
              <w:rPr>
                <w:b/>
                <w:bCs/>
                <w:sz w:val="21"/>
                <w:szCs w:val="21"/>
              </w:rPr>
              <w:t>取值范围</w:t>
            </w:r>
          </w:p>
        </w:tc>
      </w:tr>
      <w:tr w14:paraId="1E9D9C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264" w:type="dxa"/>
            <w:tcBorders>
              <w:top w:val="nil"/>
              <w:left w:val="nil"/>
              <w:bottom w:val="nil"/>
              <w:right w:val="nil"/>
            </w:tcBorders>
            <w:vAlign w:val="center"/>
          </w:tcPr>
          <w:p w14:paraId="72504B0A">
            <w:pPr>
              <w:spacing w:line="240" w:lineRule="auto"/>
              <w:ind w:firstLine="0" w:firstLineChars="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m:t>
                    </m:r>
                    <m:ctrlPr>
                      <w:rPr>
                        <w:rFonts w:ascii="Cambria Math" w:hAnsi="Cambria Math"/>
                      </w:rPr>
                    </m:ctrlPr>
                  </m:sub>
                </m:sSub>
              </m:oMath>
            </m:oMathPara>
          </w:p>
        </w:tc>
        <w:tc>
          <w:tcPr>
            <w:tcW w:w="1264" w:type="dxa"/>
            <w:tcBorders>
              <w:top w:val="nil"/>
              <w:left w:val="nil"/>
              <w:bottom w:val="nil"/>
              <w:right w:val="nil"/>
            </w:tcBorders>
            <w:vAlign w:val="center"/>
          </w:tcPr>
          <w:p w14:paraId="0D5BB9F8">
            <w:pPr>
              <w:spacing w:line="240" w:lineRule="auto"/>
              <w:ind w:firstLine="0" w:firstLineChars="0"/>
              <w:jc w:val="center"/>
            </w:pPr>
            <w:r>
              <w:rPr>
                <w:sz w:val="21"/>
                <w:szCs w:val="21"/>
              </w:rPr>
              <w:t>弯度系数</w:t>
            </w:r>
          </w:p>
        </w:tc>
        <w:tc>
          <w:tcPr>
            <w:tcW w:w="1264" w:type="dxa"/>
            <w:tcBorders>
              <w:top w:val="nil"/>
              <w:left w:val="nil"/>
              <w:bottom w:val="nil"/>
              <w:right w:val="nil"/>
            </w:tcBorders>
            <w:vAlign w:val="center"/>
          </w:tcPr>
          <w:p w14:paraId="12FA11F9">
            <w:pPr>
              <w:spacing w:line="240" w:lineRule="auto"/>
              <w:ind w:firstLine="0" w:firstLineChars="0"/>
              <w:jc w:val="center"/>
            </w:pPr>
            <w:r>
              <w:rPr>
                <w:sz w:val="21"/>
                <w:szCs w:val="21"/>
              </w:rPr>
              <w:t>形状特征</w:t>
            </w:r>
          </w:p>
        </w:tc>
        <w:tc>
          <w:tcPr>
            <w:tcW w:w="1315" w:type="dxa"/>
            <w:tcBorders>
              <w:top w:val="nil"/>
              <w:left w:val="nil"/>
              <w:bottom w:val="nil"/>
              <w:right w:val="nil"/>
            </w:tcBorders>
            <w:vAlign w:val="center"/>
          </w:tcPr>
          <w:p w14:paraId="1E903DBF">
            <w:pPr>
              <w:spacing w:line="240" w:lineRule="auto"/>
              <w:ind w:firstLine="0" w:firstLineChars="0"/>
              <w:jc w:val="center"/>
            </w:pPr>
            <w:r>
              <w:rPr>
                <w:sz w:val="21"/>
                <w:szCs w:val="21"/>
              </w:rPr>
              <w:t>0.00～0.05</w:t>
            </w:r>
          </w:p>
        </w:tc>
      </w:tr>
      <w:tr w14:paraId="66B159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264" w:type="dxa"/>
            <w:tcBorders>
              <w:top w:val="nil"/>
              <w:left w:val="nil"/>
              <w:bottom w:val="nil"/>
              <w:right w:val="nil"/>
            </w:tcBorders>
            <w:vAlign w:val="center"/>
          </w:tcPr>
          <w:p w14:paraId="1F8526D5">
            <w:pPr>
              <w:spacing w:line="240" w:lineRule="auto"/>
              <w:ind w:firstLine="0" w:firstLineChars="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wa</m:t>
                    </m:r>
                    <m:ctrlPr>
                      <w:rPr>
                        <w:rFonts w:ascii="Cambria Math" w:hAnsi="Cambria Math"/>
                      </w:rPr>
                    </m:ctrlPr>
                  </m:sub>
                </m:sSub>
              </m:oMath>
            </m:oMathPara>
          </w:p>
        </w:tc>
        <w:tc>
          <w:tcPr>
            <w:tcW w:w="1264" w:type="dxa"/>
            <w:tcBorders>
              <w:top w:val="nil"/>
              <w:left w:val="nil"/>
              <w:bottom w:val="nil"/>
              <w:right w:val="nil"/>
            </w:tcBorders>
            <w:vAlign w:val="center"/>
          </w:tcPr>
          <w:p w14:paraId="522F7AF1">
            <w:pPr>
              <w:spacing w:line="240" w:lineRule="auto"/>
              <w:ind w:firstLine="0" w:firstLineChars="0"/>
              <w:jc w:val="center"/>
            </w:pPr>
            <w:r>
              <w:rPr>
                <w:sz w:val="21"/>
                <w:szCs w:val="21"/>
              </w:rPr>
              <w:t>最大弯位</w:t>
            </w:r>
          </w:p>
        </w:tc>
        <w:tc>
          <w:tcPr>
            <w:tcW w:w="1264" w:type="dxa"/>
            <w:tcBorders>
              <w:top w:val="nil"/>
              <w:left w:val="nil"/>
              <w:bottom w:val="nil"/>
              <w:right w:val="nil"/>
            </w:tcBorders>
            <w:vAlign w:val="center"/>
          </w:tcPr>
          <w:p w14:paraId="028C46EC">
            <w:pPr>
              <w:spacing w:line="240" w:lineRule="auto"/>
              <w:ind w:firstLine="0" w:firstLineChars="0"/>
              <w:jc w:val="center"/>
            </w:pPr>
            <w:r>
              <w:rPr>
                <w:sz w:val="21"/>
                <w:szCs w:val="21"/>
              </w:rPr>
              <w:t>形状特征</w:t>
            </w:r>
          </w:p>
        </w:tc>
        <w:tc>
          <w:tcPr>
            <w:tcW w:w="1315" w:type="dxa"/>
            <w:tcBorders>
              <w:top w:val="nil"/>
              <w:left w:val="nil"/>
              <w:bottom w:val="nil"/>
              <w:right w:val="nil"/>
            </w:tcBorders>
            <w:vAlign w:val="center"/>
          </w:tcPr>
          <w:p w14:paraId="5A897744">
            <w:pPr>
              <w:spacing w:line="240" w:lineRule="auto"/>
              <w:ind w:firstLine="0" w:firstLineChars="0"/>
              <w:jc w:val="center"/>
            </w:pPr>
            <w:r>
              <w:rPr>
                <w:sz w:val="21"/>
                <w:szCs w:val="21"/>
              </w:rPr>
              <w:t>0.20～0.60</w:t>
            </w:r>
          </w:p>
        </w:tc>
      </w:tr>
      <w:tr w14:paraId="55F50A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264" w:type="dxa"/>
            <w:tcBorders>
              <w:top w:val="nil"/>
              <w:left w:val="nil"/>
              <w:bottom w:val="nil"/>
              <w:right w:val="nil"/>
            </w:tcBorders>
            <w:vAlign w:val="center"/>
          </w:tcPr>
          <w:p w14:paraId="3CD68ADE">
            <w:pPr>
              <w:spacing w:line="240" w:lineRule="auto"/>
              <w:ind w:firstLine="0" w:firstLineChars="0"/>
              <w:jc w:val="center"/>
            </w:pPr>
            <m:oMathPara>
              <m:oMathParaPr>
                <m:jc m:val="center"/>
              </m:oMathParaPr>
              <m:oMath>
                <m:sSub>
                  <m:sSubPr/>
                  <m:e>
                    <m:r>
                      <m:rPr/>
                      <m:t>T</m:t>
                    </m:r>
                  </m:e>
                  <m:sub>
                    <m:r>
                      <m:rPr/>
                      <m:t>b</m:t>
                    </m:r>
                  </m:sub>
                </m:sSub>
              </m:oMath>
            </m:oMathPara>
          </w:p>
        </w:tc>
        <w:tc>
          <w:tcPr>
            <w:tcW w:w="1264" w:type="dxa"/>
            <w:tcBorders>
              <w:top w:val="nil"/>
              <w:left w:val="nil"/>
              <w:bottom w:val="nil"/>
              <w:right w:val="nil"/>
            </w:tcBorders>
            <w:vAlign w:val="center"/>
          </w:tcPr>
          <w:p w14:paraId="0D9A2A76">
            <w:pPr>
              <w:spacing w:line="240" w:lineRule="auto"/>
              <w:ind w:firstLine="0" w:firstLineChars="0"/>
              <w:jc w:val="center"/>
            </w:pPr>
            <w:r>
              <w:rPr>
                <w:sz w:val="21"/>
                <w:szCs w:val="21"/>
              </w:rPr>
              <w:t>厚度系数</w:t>
            </w:r>
          </w:p>
        </w:tc>
        <w:tc>
          <w:tcPr>
            <w:tcW w:w="1264" w:type="dxa"/>
            <w:tcBorders>
              <w:top w:val="nil"/>
              <w:left w:val="nil"/>
              <w:bottom w:val="nil"/>
              <w:right w:val="nil"/>
            </w:tcBorders>
            <w:vAlign w:val="center"/>
          </w:tcPr>
          <w:p w14:paraId="6E5BB31A">
            <w:pPr>
              <w:spacing w:line="240" w:lineRule="auto"/>
              <w:ind w:firstLine="0" w:firstLineChars="0"/>
              <w:jc w:val="center"/>
            </w:pPr>
            <w:r>
              <w:rPr>
                <w:sz w:val="21"/>
                <w:szCs w:val="21"/>
              </w:rPr>
              <w:t>形状特征</w:t>
            </w:r>
          </w:p>
        </w:tc>
        <w:tc>
          <w:tcPr>
            <w:tcW w:w="1315" w:type="dxa"/>
            <w:tcBorders>
              <w:top w:val="nil"/>
              <w:left w:val="nil"/>
              <w:bottom w:val="nil"/>
              <w:right w:val="nil"/>
            </w:tcBorders>
            <w:vAlign w:val="center"/>
          </w:tcPr>
          <w:p w14:paraId="4EF2DC2A">
            <w:pPr>
              <w:spacing w:line="240" w:lineRule="auto"/>
              <w:ind w:firstLine="0" w:firstLineChars="0"/>
              <w:jc w:val="center"/>
            </w:pPr>
            <w:r>
              <w:rPr>
                <w:sz w:val="21"/>
                <w:szCs w:val="21"/>
              </w:rPr>
              <w:t>0.08～0.15</w:t>
            </w:r>
          </w:p>
        </w:tc>
      </w:tr>
      <w:tr w14:paraId="7EA225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264" w:type="dxa"/>
            <w:tcBorders>
              <w:top w:val="nil"/>
              <w:left w:val="nil"/>
              <w:bottom w:val="nil"/>
              <w:right w:val="nil"/>
            </w:tcBorders>
            <w:vAlign w:val="center"/>
          </w:tcPr>
          <w:p w14:paraId="34A0C923">
            <w:pPr>
              <w:spacing w:line="240" w:lineRule="auto"/>
              <w:ind w:firstLine="0" w:firstLineChars="0"/>
              <w:jc w:val="center"/>
            </w:pPr>
            <m:oMathPara>
              <m:oMathParaPr>
                <m:jc m:val="center"/>
              </m:oMathParaPr>
              <m:oMath>
                <m:sSub>
                  <m:sSubPr/>
                  <m:e>
                    <m:r>
                      <m:rPr/>
                      <m:t>T</m:t>
                    </m:r>
                  </m:e>
                  <m:sub>
                    <m:r>
                      <m:rPr/>
                      <m:t>s</m:t>
                    </m:r>
                  </m:sub>
                </m:sSub>
              </m:oMath>
            </m:oMathPara>
          </w:p>
        </w:tc>
        <w:tc>
          <w:tcPr>
            <w:tcW w:w="1264" w:type="dxa"/>
            <w:tcBorders>
              <w:top w:val="nil"/>
              <w:left w:val="nil"/>
              <w:bottom w:val="nil"/>
              <w:right w:val="nil"/>
            </w:tcBorders>
            <w:vAlign w:val="center"/>
          </w:tcPr>
          <w:p w14:paraId="17510821">
            <w:pPr>
              <w:spacing w:line="240" w:lineRule="auto"/>
              <w:ind w:firstLine="0" w:firstLineChars="0"/>
              <w:jc w:val="center"/>
            </w:pPr>
            <w:r>
              <w:rPr>
                <w:sz w:val="21"/>
                <w:szCs w:val="21"/>
              </w:rPr>
              <w:t>横向间距</w:t>
            </w:r>
          </w:p>
        </w:tc>
        <w:tc>
          <w:tcPr>
            <w:tcW w:w="1264" w:type="dxa"/>
            <w:tcBorders>
              <w:top w:val="nil"/>
              <w:left w:val="nil"/>
              <w:bottom w:val="nil"/>
              <w:right w:val="nil"/>
            </w:tcBorders>
            <w:vAlign w:val="center"/>
          </w:tcPr>
          <w:p w14:paraId="1AB1873F">
            <w:pPr>
              <w:spacing w:line="240" w:lineRule="auto"/>
              <w:ind w:firstLine="0" w:firstLineChars="0"/>
              <w:jc w:val="center"/>
            </w:pPr>
            <w:r>
              <w:rPr>
                <w:sz w:val="21"/>
                <w:szCs w:val="21"/>
              </w:rPr>
              <w:t>布局特征</w:t>
            </w:r>
          </w:p>
        </w:tc>
        <w:tc>
          <w:tcPr>
            <w:tcW w:w="1315" w:type="dxa"/>
            <w:tcBorders>
              <w:top w:val="nil"/>
              <w:left w:val="nil"/>
              <w:bottom w:val="nil"/>
              <w:right w:val="nil"/>
            </w:tcBorders>
            <w:vAlign w:val="center"/>
          </w:tcPr>
          <w:p w14:paraId="279E4AA3">
            <w:pPr>
              <w:spacing w:line="240" w:lineRule="auto"/>
              <w:ind w:firstLine="0" w:firstLineChars="0"/>
              <w:jc w:val="center"/>
            </w:pPr>
            <w:r>
              <w:rPr>
                <w:sz w:val="21"/>
                <w:szCs w:val="21"/>
              </w:rPr>
              <w:t>0.50～1.50</w:t>
            </w:r>
          </w:p>
        </w:tc>
      </w:tr>
      <w:tr w14:paraId="4CDFC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264" w:type="dxa"/>
            <w:tcBorders>
              <w:top w:val="nil"/>
              <w:left w:val="nil"/>
              <w:bottom w:val="nil"/>
              <w:right w:val="nil"/>
            </w:tcBorders>
            <w:vAlign w:val="center"/>
          </w:tcPr>
          <w:p w14:paraId="2D80F619">
            <w:pPr>
              <w:spacing w:line="240" w:lineRule="auto"/>
              <w:ind w:firstLine="0" w:firstLineChars="0"/>
              <w:jc w:val="center"/>
            </w:pPr>
            <m:oMathPara>
              <m:oMathParaPr>
                <m:jc m:val="center"/>
              </m:oMathParaPr>
              <m:oMath>
                <m:sSub>
                  <m:sSubPr/>
                  <m:e>
                    <m:r>
                      <m:rPr/>
                      <m:t>T</m:t>
                    </m:r>
                  </m:e>
                  <m:sub>
                    <m:r>
                      <m:rPr/>
                      <m:t>t</m:t>
                    </m:r>
                  </m:sub>
                </m:sSub>
              </m:oMath>
            </m:oMathPara>
          </w:p>
        </w:tc>
        <w:tc>
          <w:tcPr>
            <w:tcW w:w="1264" w:type="dxa"/>
            <w:tcBorders>
              <w:top w:val="nil"/>
              <w:left w:val="nil"/>
              <w:bottom w:val="nil"/>
              <w:right w:val="nil"/>
            </w:tcBorders>
            <w:vAlign w:val="center"/>
          </w:tcPr>
          <w:p w14:paraId="476DDA4C">
            <w:pPr>
              <w:spacing w:line="240" w:lineRule="auto"/>
              <w:ind w:firstLine="0" w:firstLineChars="0"/>
              <w:jc w:val="center"/>
            </w:pPr>
            <w:r>
              <w:rPr>
                <w:rFonts w:hint="eastAsia"/>
                <w:sz w:val="21"/>
                <w:szCs w:val="21"/>
                <w:lang w:eastAsia="zh-CN"/>
              </w:rPr>
              <w:t>纵</w:t>
            </w:r>
            <w:r>
              <w:rPr>
                <w:sz w:val="21"/>
                <w:szCs w:val="21"/>
              </w:rPr>
              <w:t>向间距</w:t>
            </w:r>
          </w:p>
        </w:tc>
        <w:tc>
          <w:tcPr>
            <w:tcW w:w="1264" w:type="dxa"/>
            <w:tcBorders>
              <w:top w:val="nil"/>
              <w:left w:val="nil"/>
              <w:bottom w:val="nil"/>
              <w:right w:val="nil"/>
            </w:tcBorders>
            <w:vAlign w:val="center"/>
          </w:tcPr>
          <w:p w14:paraId="5C5C7ECF">
            <w:pPr>
              <w:spacing w:line="240" w:lineRule="auto"/>
              <w:ind w:firstLine="0" w:firstLineChars="0"/>
              <w:jc w:val="center"/>
            </w:pPr>
            <w:r>
              <w:rPr>
                <w:sz w:val="21"/>
                <w:szCs w:val="21"/>
              </w:rPr>
              <w:t>布局特征</w:t>
            </w:r>
          </w:p>
        </w:tc>
        <w:tc>
          <w:tcPr>
            <w:tcW w:w="1315" w:type="dxa"/>
            <w:tcBorders>
              <w:top w:val="nil"/>
              <w:left w:val="nil"/>
              <w:bottom w:val="nil"/>
              <w:right w:val="nil"/>
            </w:tcBorders>
            <w:vAlign w:val="center"/>
          </w:tcPr>
          <w:p w14:paraId="6379A5EF">
            <w:pPr>
              <w:spacing w:line="240" w:lineRule="auto"/>
              <w:ind w:firstLine="0" w:firstLineChars="0"/>
              <w:jc w:val="center"/>
            </w:pPr>
            <w:r>
              <w:rPr>
                <w:sz w:val="21"/>
                <w:szCs w:val="21"/>
              </w:rPr>
              <w:t>0.50～1.20</w:t>
            </w:r>
          </w:p>
        </w:tc>
      </w:tr>
      <w:tr w14:paraId="33FA27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264" w:type="dxa"/>
            <w:tcBorders>
              <w:top w:val="nil"/>
              <w:left w:val="nil"/>
              <w:bottom w:val="single" w:color="000000" w:sz="8" w:space="0"/>
              <w:right w:val="nil"/>
            </w:tcBorders>
            <w:vAlign w:val="center"/>
          </w:tcPr>
          <w:p w14:paraId="3EF27A6A">
            <w:pPr>
              <w:spacing w:line="240" w:lineRule="auto"/>
              <w:ind w:firstLine="0" w:firstLineChars="0"/>
              <w:jc w:val="center"/>
            </w:pPr>
            <m:oMathPara>
              <m:oMathParaPr>
                <m:jc m:val="center"/>
              </m:oMathParaPr>
              <m:oMath>
                <m:sSub>
                  <m:sSubPr/>
                  <m:e>
                    <m:r>
                      <m:rPr/>
                      <m:t>T</m:t>
                    </m:r>
                  </m:e>
                  <m:sub>
                    <m:r>
                      <m:rPr/>
                      <m:t>ad</m:t>
                    </m:r>
                  </m:sub>
                </m:sSub>
              </m:oMath>
            </m:oMathPara>
          </w:p>
        </w:tc>
        <w:tc>
          <w:tcPr>
            <w:tcW w:w="1264" w:type="dxa"/>
            <w:tcBorders>
              <w:top w:val="nil"/>
              <w:left w:val="nil"/>
              <w:bottom w:val="single" w:color="000000" w:sz="8" w:space="0"/>
              <w:right w:val="nil"/>
            </w:tcBorders>
            <w:vAlign w:val="center"/>
          </w:tcPr>
          <w:p w14:paraId="774F073A">
            <w:pPr>
              <w:spacing w:line="240" w:lineRule="auto"/>
              <w:ind w:firstLine="0" w:firstLineChars="0"/>
              <w:jc w:val="center"/>
            </w:pPr>
            <w:r>
              <w:rPr>
                <w:sz w:val="21"/>
                <w:szCs w:val="21"/>
              </w:rPr>
              <w:t>交错位移</w:t>
            </w:r>
          </w:p>
        </w:tc>
        <w:tc>
          <w:tcPr>
            <w:tcW w:w="1264" w:type="dxa"/>
            <w:tcBorders>
              <w:top w:val="nil"/>
              <w:left w:val="nil"/>
              <w:bottom w:val="single" w:color="000000" w:sz="8" w:space="0"/>
              <w:right w:val="nil"/>
            </w:tcBorders>
            <w:vAlign w:val="center"/>
          </w:tcPr>
          <w:p w14:paraId="2DD52A4B">
            <w:pPr>
              <w:spacing w:line="240" w:lineRule="auto"/>
              <w:ind w:firstLine="0" w:firstLineChars="0"/>
              <w:jc w:val="center"/>
            </w:pPr>
            <w:r>
              <w:rPr>
                <w:sz w:val="21"/>
                <w:szCs w:val="21"/>
              </w:rPr>
              <w:t>布局特征</w:t>
            </w:r>
          </w:p>
        </w:tc>
        <w:tc>
          <w:tcPr>
            <w:tcW w:w="1315" w:type="dxa"/>
            <w:tcBorders>
              <w:top w:val="nil"/>
              <w:left w:val="nil"/>
              <w:bottom w:val="single" w:color="000000" w:sz="8" w:space="0"/>
              <w:right w:val="nil"/>
            </w:tcBorders>
            <w:vAlign w:val="center"/>
          </w:tcPr>
          <w:p w14:paraId="65C43A36">
            <w:pPr>
              <w:spacing w:line="240" w:lineRule="auto"/>
              <w:ind w:firstLine="0" w:firstLineChars="0"/>
              <w:jc w:val="center"/>
            </w:pPr>
            <w:r>
              <w:rPr>
                <w:sz w:val="21"/>
                <w:szCs w:val="21"/>
              </w:rPr>
              <w:t>0.00～1.00</w:t>
            </w:r>
          </w:p>
        </w:tc>
      </w:tr>
      <w:bookmarkEnd w:id="3"/>
    </w:tbl>
    <w:p w14:paraId="5EED157D">
      <w:pPr>
        <w:pStyle w:val="5"/>
        <w:ind w:left="480"/>
        <w:rPr>
          <w:lang w:eastAsia="zh-CN"/>
        </w:rPr>
      </w:pPr>
      <w:bookmarkStart w:id="5" w:name="控制方程与边界条件"/>
      <w:r>
        <w:rPr>
          <w:lang w:eastAsia="zh-CN"/>
        </w:rPr>
        <w:t>2.2 控制方程与边界条件</w:t>
      </w:r>
    </w:p>
    <w:p w14:paraId="437E7AAD">
      <w:pPr>
        <w:pStyle w:val="32"/>
      </w:pPr>
      <w:r>
        <w:rPr>
          <w:rFonts w:hint="eastAsia"/>
        </w:rPr>
        <w:t>采用</w:t>
      </w:r>
      <w:r>
        <w:t xml:space="preserve"> COMSOL Multiphysics </w:t>
      </w:r>
      <w:r>
        <w:rPr>
          <w:rFonts w:hint="eastAsia"/>
        </w:rPr>
        <w:t>对翼型管翅片散热器气侧流动与换热过程进行流热耦合模拟。冷却介质为空气，视为定常、不可压缩牛顿流体；翼型管固体区域与空气流体区域通过流固界面耦合换热，忽略热辐射影响。实际求解采用有量纲物性参数、几何尺寸和边界条件，相关计算输入如表</w:t>
      </w:r>
      <w:r>
        <w:t xml:space="preserve"> 2 </w:t>
      </w:r>
      <w:r>
        <w:rPr>
          <w:rFonts w:hint="eastAsia"/>
        </w:rPr>
        <w:t>所示。</w:t>
      </w:r>
    </w:p>
    <w:p w14:paraId="63EEE8EB">
      <w:pPr>
        <w:pStyle w:val="3"/>
        <w:spacing w:before="120" w:after="120" w:line="240" w:lineRule="auto"/>
        <w:ind w:firstLineChars="0"/>
        <w:jc w:val="center"/>
        <w:rPr>
          <w:color w:val="000000" w:themeColor="text1"/>
          <w:lang w:eastAsia="zh-CN"/>
          <w14:textFill>
            <w14:solidFill>
              <w14:schemeClr w14:val="tx1"/>
            </w14:solidFill>
          </w14:textFill>
        </w:rPr>
      </w:pPr>
      <w:r>
        <w:rPr>
          <w:sz w:val="21"/>
          <w:lang w:eastAsia="zh-CN"/>
        </w:rPr>
        <w:t>表2　</w:t>
      </w:r>
      <w:r>
        <w:rPr>
          <w:rFonts w:hint="eastAsia"/>
          <w:b w:val="0"/>
          <w:bCs w:val="0"/>
          <w:color w:val="000000" w:themeColor="text1"/>
          <w:sz w:val="21"/>
          <w:lang w:eastAsia="zh-CN"/>
          <w14:textFill>
            <w14:solidFill>
              <w14:schemeClr w14:val="tx1"/>
            </w14:solidFill>
          </w14:textFill>
        </w:rPr>
        <w:t>计算物性参数与边界条件设置</w:t>
      </w:r>
    </w:p>
    <w:tbl>
      <w:tblPr>
        <w:tblStyle w:val="23"/>
        <w:tblW w:w="867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3949"/>
        <w:gridCol w:w="1010"/>
        <w:gridCol w:w="1923"/>
        <w:gridCol w:w="1795"/>
      </w:tblGrid>
      <w:tr w14:paraId="032878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blHeader/>
          <w:jc w:val="center"/>
        </w:trPr>
        <w:tc>
          <w:tcPr>
            <w:tcW w:w="3949" w:type="dxa"/>
            <w:tcBorders>
              <w:top w:val="single" w:color="000000" w:sz="12" w:space="0"/>
              <w:left w:val="nil"/>
              <w:bottom w:val="nil"/>
              <w:right w:val="nil"/>
            </w:tcBorders>
            <w:tcMar>
              <w:top w:w="-1" w:type="dxa"/>
              <w:left w:w="-1" w:type="dxa"/>
              <w:bottom w:w="-1" w:type="dxa"/>
              <w:right w:w="-1" w:type="dxa"/>
            </w:tcMar>
            <w:vAlign w:val="center"/>
          </w:tcPr>
          <w:p w14:paraId="5F6A5BC2">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b/>
                <w:bCs/>
                <w:sz w:val="21"/>
                <w:szCs w:val="21"/>
              </w:rPr>
              <w:t>参数</w:t>
            </w:r>
          </w:p>
        </w:tc>
        <w:tc>
          <w:tcPr>
            <w:tcW w:w="1010" w:type="dxa"/>
            <w:tcBorders>
              <w:top w:val="single" w:color="000000" w:sz="12" w:space="0"/>
              <w:left w:val="nil"/>
              <w:bottom w:val="nil"/>
              <w:right w:val="nil"/>
            </w:tcBorders>
            <w:tcMar>
              <w:top w:w="-1" w:type="dxa"/>
              <w:left w:w="-1" w:type="dxa"/>
              <w:bottom w:w="-1" w:type="dxa"/>
              <w:right w:w="-1" w:type="dxa"/>
            </w:tcMar>
            <w:vAlign w:val="center"/>
          </w:tcPr>
          <w:p w14:paraId="0E4EF9E5">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b/>
                <w:bCs/>
                <w:sz w:val="21"/>
                <w:szCs w:val="21"/>
              </w:rPr>
              <w:t>符号</w:t>
            </w:r>
          </w:p>
        </w:tc>
        <w:tc>
          <w:tcPr>
            <w:tcW w:w="1923" w:type="dxa"/>
            <w:tcBorders>
              <w:top w:val="single" w:color="000000" w:sz="12" w:space="0"/>
              <w:left w:val="nil"/>
              <w:bottom w:val="nil"/>
              <w:right w:val="nil"/>
            </w:tcBorders>
            <w:tcMar>
              <w:top w:w="-1" w:type="dxa"/>
              <w:left w:w="-1" w:type="dxa"/>
              <w:bottom w:w="-1" w:type="dxa"/>
              <w:right w:w="-1" w:type="dxa"/>
            </w:tcMar>
            <w:vAlign w:val="center"/>
          </w:tcPr>
          <w:p w14:paraId="06D5868F">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b/>
                <w:bCs/>
                <w:sz w:val="21"/>
                <w:szCs w:val="21"/>
              </w:rPr>
              <w:t>数值</w:t>
            </w:r>
          </w:p>
        </w:tc>
        <w:tc>
          <w:tcPr>
            <w:tcW w:w="1795" w:type="dxa"/>
            <w:tcBorders>
              <w:top w:val="single" w:color="000000" w:sz="12" w:space="0"/>
              <w:left w:val="nil"/>
              <w:bottom w:val="nil"/>
              <w:right w:val="nil"/>
            </w:tcBorders>
            <w:tcMar>
              <w:top w:w="-1" w:type="dxa"/>
              <w:left w:w="-1" w:type="dxa"/>
              <w:bottom w:w="-1" w:type="dxa"/>
              <w:right w:w="-1" w:type="dxa"/>
            </w:tcMar>
            <w:vAlign w:val="center"/>
          </w:tcPr>
          <w:p w14:paraId="4897D08C">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b/>
                <w:bCs/>
                <w:sz w:val="21"/>
                <w:szCs w:val="21"/>
              </w:rPr>
              <w:t>单位</w:t>
            </w:r>
          </w:p>
        </w:tc>
      </w:tr>
      <w:tr w14:paraId="2F7818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single" w:color="auto" w:sz="4" w:space="0"/>
              <w:left w:val="nil"/>
              <w:bottom w:val="nil"/>
              <w:right w:val="nil"/>
            </w:tcBorders>
            <w:tcMar>
              <w:top w:w="-1" w:type="dxa"/>
              <w:left w:w="-1" w:type="dxa"/>
              <w:bottom w:w="-1" w:type="dxa"/>
              <w:right w:w="-1" w:type="dxa"/>
            </w:tcMar>
            <w:vAlign w:val="center"/>
          </w:tcPr>
          <w:p w14:paraId="429D16D1">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空气密度</w:t>
            </w:r>
          </w:p>
        </w:tc>
        <w:tc>
          <w:tcPr>
            <w:tcW w:w="1010" w:type="dxa"/>
            <w:tcBorders>
              <w:top w:val="single" w:color="auto" w:sz="4" w:space="0"/>
              <w:left w:val="nil"/>
              <w:bottom w:val="nil"/>
              <w:right w:val="nil"/>
            </w:tcBorders>
            <w:tcMar>
              <w:top w:w="-1" w:type="dxa"/>
              <w:left w:w="-1" w:type="dxa"/>
              <w:bottom w:w="-1" w:type="dxa"/>
              <w:right w:w="-1" w:type="dxa"/>
            </w:tcMar>
            <w:vAlign w:val="center"/>
          </w:tcPr>
          <w:p w14:paraId="1F8123C6">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ρ</w:t>
            </w:r>
          </w:p>
        </w:tc>
        <w:tc>
          <w:tcPr>
            <w:tcW w:w="1923" w:type="dxa"/>
            <w:tcBorders>
              <w:top w:val="single" w:color="auto" w:sz="4" w:space="0"/>
              <w:left w:val="nil"/>
              <w:bottom w:val="nil"/>
              <w:right w:val="nil"/>
            </w:tcBorders>
            <w:tcMar>
              <w:top w:w="-1" w:type="dxa"/>
              <w:left w:w="-1" w:type="dxa"/>
              <w:bottom w:w="-1" w:type="dxa"/>
              <w:right w:w="-1" w:type="dxa"/>
            </w:tcMar>
            <w:vAlign w:val="center"/>
          </w:tcPr>
          <w:p w14:paraId="3846373A">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1.2</w:t>
            </w:r>
          </w:p>
        </w:tc>
        <w:tc>
          <w:tcPr>
            <w:tcW w:w="1795" w:type="dxa"/>
            <w:tcBorders>
              <w:top w:val="single" w:color="auto" w:sz="4" w:space="0"/>
              <w:left w:val="nil"/>
              <w:bottom w:val="nil"/>
              <w:right w:val="nil"/>
            </w:tcBorders>
            <w:tcMar>
              <w:top w:w="-1" w:type="dxa"/>
              <w:left w:w="-1" w:type="dxa"/>
              <w:bottom w:w="-1" w:type="dxa"/>
              <w:right w:w="-1" w:type="dxa"/>
            </w:tcMar>
            <w:vAlign w:val="center"/>
          </w:tcPr>
          <w:p w14:paraId="78C16CCE">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kg/m³</w:t>
            </w:r>
          </w:p>
        </w:tc>
      </w:tr>
      <w:tr w14:paraId="680CCF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2D562485">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空气动力黏度</w:t>
            </w:r>
          </w:p>
        </w:tc>
        <w:tc>
          <w:tcPr>
            <w:tcW w:w="1010" w:type="dxa"/>
            <w:tcBorders>
              <w:top w:val="nil"/>
              <w:left w:val="nil"/>
              <w:bottom w:val="nil"/>
              <w:right w:val="nil"/>
            </w:tcBorders>
            <w:tcMar>
              <w:top w:w="-1" w:type="dxa"/>
              <w:left w:w="-1" w:type="dxa"/>
              <w:bottom w:w="-1" w:type="dxa"/>
              <w:right w:w="-1" w:type="dxa"/>
            </w:tcMar>
            <w:vAlign w:val="center"/>
          </w:tcPr>
          <w:p w14:paraId="5CC3CD18">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μ</w:t>
            </w:r>
          </w:p>
        </w:tc>
        <w:tc>
          <w:tcPr>
            <w:tcW w:w="1923" w:type="dxa"/>
            <w:tcBorders>
              <w:top w:val="nil"/>
              <w:left w:val="nil"/>
              <w:bottom w:val="nil"/>
              <w:right w:val="nil"/>
            </w:tcBorders>
            <w:tcMar>
              <w:top w:w="-1" w:type="dxa"/>
              <w:left w:w="-1" w:type="dxa"/>
              <w:bottom w:w="-1" w:type="dxa"/>
              <w:right w:w="-1" w:type="dxa"/>
            </w:tcMar>
            <w:vAlign w:val="center"/>
          </w:tcPr>
          <w:p w14:paraId="5E9FF632">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1.8×10⁻⁵</w:t>
            </w:r>
          </w:p>
        </w:tc>
        <w:tc>
          <w:tcPr>
            <w:tcW w:w="1795" w:type="dxa"/>
            <w:tcBorders>
              <w:top w:val="nil"/>
              <w:left w:val="nil"/>
              <w:bottom w:val="nil"/>
              <w:right w:val="nil"/>
            </w:tcBorders>
            <w:tcMar>
              <w:top w:w="-1" w:type="dxa"/>
              <w:left w:w="-1" w:type="dxa"/>
              <w:bottom w:w="-1" w:type="dxa"/>
              <w:right w:w="-1" w:type="dxa"/>
            </w:tcMar>
            <w:vAlign w:val="center"/>
          </w:tcPr>
          <w:p w14:paraId="39B4CC42">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Pa·s</w:t>
            </w:r>
          </w:p>
        </w:tc>
      </w:tr>
      <w:tr w14:paraId="47F18C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4E860A2F">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空气定压比热容</w:t>
            </w:r>
          </w:p>
        </w:tc>
        <w:tc>
          <w:tcPr>
            <w:tcW w:w="1010" w:type="dxa"/>
            <w:tcBorders>
              <w:top w:val="nil"/>
              <w:left w:val="nil"/>
              <w:bottom w:val="nil"/>
              <w:right w:val="nil"/>
            </w:tcBorders>
            <w:tcMar>
              <w:top w:w="-1" w:type="dxa"/>
              <w:left w:w="-1" w:type="dxa"/>
              <w:bottom w:w="-1" w:type="dxa"/>
              <w:right w:w="-1" w:type="dxa"/>
            </w:tcMar>
            <w:vAlign w:val="center"/>
          </w:tcPr>
          <w:p w14:paraId="07419DD8">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cp</w:t>
            </w:r>
          </w:p>
        </w:tc>
        <w:tc>
          <w:tcPr>
            <w:tcW w:w="1923" w:type="dxa"/>
            <w:tcBorders>
              <w:top w:val="nil"/>
              <w:left w:val="nil"/>
              <w:bottom w:val="nil"/>
              <w:right w:val="nil"/>
            </w:tcBorders>
            <w:tcMar>
              <w:top w:w="-1" w:type="dxa"/>
              <w:left w:w="-1" w:type="dxa"/>
              <w:bottom w:w="-1" w:type="dxa"/>
              <w:right w:w="-1" w:type="dxa"/>
            </w:tcMar>
            <w:vAlign w:val="center"/>
          </w:tcPr>
          <w:p w14:paraId="7B51291A">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1005</w:t>
            </w:r>
          </w:p>
        </w:tc>
        <w:tc>
          <w:tcPr>
            <w:tcW w:w="1795" w:type="dxa"/>
            <w:tcBorders>
              <w:top w:val="nil"/>
              <w:left w:val="nil"/>
              <w:bottom w:val="nil"/>
              <w:right w:val="nil"/>
            </w:tcBorders>
            <w:tcMar>
              <w:top w:w="-1" w:type="dxa"/>
              <w:left w:w="-1" w:type="dxa"/>
              <w:bottom w:w="-1" w:type="dxa"/>
              <w:right w:w="-1" w:type="dxa"/>
            </w:tcMar>
            <w:vAlign w:val="center"/>
          </w:tcPr>
          <w:p w14:paraId="73A2CF24">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J/(kg·K)</w:t>
            </w:r>
          </w:p>
        </w:tc>
      </w:tr>
      <w:tr w14:paraId="7381D5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189FE899">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空气导热系数</w:t>
            </w:r>
          </w:p>
        </w:tc>
        <w:tc>
          <w:tcPr>
            <w:tcW w:w="1010" w:type="dxa"/>
            <w:tcBorders>
              <w:top w:val="nil"/>
              <w:left w:val="nil"/>
              <w:bottom w:val="nil"/>
              <w:right w:val="nil"/>
            </w:tcBorders>
            <w:tcMar>
              <w:top w:w="-1" w:type="dxa"/>
              <w:left w:w="-1" w:type="dxa"/>
              <w:bottom w:w="-1" w:type="dxa"/>
              <w:right w:w="-1" w:type="dxa"/>
            </w:tcMar>
            <w:vAlign w:val="center"/>
          </w:tcPr>
          <w:p w14:paraId="49AAF6C5">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ka</w:t>
            </w:r>
          </w:p>
        </w:tc>
        <w:tc>
          <w:tcPr>
            <w:tcW w:w="1923" w:type="dxa"/>
            <w:tcBorders>
              <w:top w:val="nil"/>
              <w:left w:val="nil"/>
              <w:bottom w:val="nil"/>
              <w:right w:val="nil"/>
            </w:tcBorders>
            <w:tcMar>
              <w:top w:w="-1" w:type="dxa"/>
              <w:left w:w="-1" w:type="dxa"/>
              <w:bottom w:w="-1" w:type="dxa"/>
              <w:right w:w="-1" w:type="dxa"/>
            </w:tcMar>
            <w:vAlign w:val="center"/>
          </w:tcPr>
          <w:p w14:paraId="3EC9BE74">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0.026</w:t>
            </w:r>
          </w:p>
        </w:tc>
        <w:tc>
          <w:tcPr>
            <w:tcW w:w="1795" w:type="dxa"/>
            <w:tcBorders>
              <w:top w:val="nil"/>
              <w:left w:val="nil"/>
              <w:bottom w:val="nil"/>
              <w:right w:val="nil"/>
            </w:tcBorders>
            <w:tcMar>
              <w:top w:w="-1" w:type="dxa"/>
              <w:left w:w="-1" w:type="dxa"/>
              <w:bottom w:w="-1" w:type="dxa"/>
              <w:right w:w="-1" w:type="dxa"/>
            </w:tcMar>
            <w:vAlign w:val="center"/>
          </w:tcPr>
          <w:p w14:paraId="5C9C4EA4">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W/(m·K)</w:t>
            </w:r>
          </w:p>
        </w:tc>
      </w:tr>
      <w:tr w14:paraId="3F63E4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56FB9178">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翼型管材料</w:t>
            </w:r>
          </w:p>
        </w:tc>
        <w:tc>
          <w:tcPr>
            <w:tcW w:w="1010" w:type="dxa"/>
            <w:tcBorders>
              <w:top w:val="nil"/>
              <w:left w:val="nil"/>
              <w:bottom w:val="nil"/>
              <w:right w:val="nil"/>
            </w:tcBorders>
            <w:tcMar>
              <w:top w:w="-1" w:type="dxa"/>
              <w:left w:w="-1" w:type="dxa"/>
              <w:bottom w:w="-1" w:type="dxa"/>
              <w:right w:w="-1" w:type="dxa"/>
            </w:tcMar>
            <w:vAlign w:val="center"/>
          </w:tcPr>
          <w:p w14:paraId="0C088FEC">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w:t>
            </w:r>
          </w:p>
        </w:tc>
        <w:tc>
          <w:tcPr>
            <w:tcW w:w="1923" w:type="dxa"/>
            <w:tcBorders>
              <w:top w:val="nil"/>
              <w:left w:val="nil"/>
              <w:bottom w:val="nil"/>
              <w:right w:val="nil"/>
            </w:tcBorders>
            <w:tcMar>
              <w:top w:w="-1" w:type="dxa"/>
              <w:left w:w="-1" w:type="dxa"/>
              <w:bottom w:w="-1" w:type="dxa"/>
              <w:right w:w="-1" w:type="dxa"/>
            </w:tcMar>
            <w:vAlign w:val="center"/>
          </w:tcPr>
          <w:p w14:paraId="3F8616B8">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铝</w:t>
            </w:r>
          </w:p>
        </w:tc>
        <w:tc>
          <w:tcPr>
            <w:tcW w:w="1795" w:type="dxa"/>
            <w:tcBorders>
              <w:top w:val="nil"/>
              <w:left w:val="nil"/>
              <w:bottom w:val="nil"/>
              <w:right w:val="nil"/>
            </w:tcBorders>
            <w:tcMar>
              <w:top w:w="-1" w:type="dxa"/>
              <w:left w:w="-1" w:type="dxa"/>
              <w:bottom w:w="-1" w:type="dxa"/>
              <w:right w:w="-1" w:type="dxa"/>
            </w:tcMar>
            <w:vAlign w:val="center"/>
          </w:tcPr>
          <w:p w14:paraId="16225D59">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w:t>
            </w:r>
          </w:p>
        </w:tc>
      </w:tr>
      <w:tr w14:paraId="74EABB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7638E2BC">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翼型管弦长</w:t>
            </w:r>
          </w:p>
        </w:tc>
        <w:tc>
          <w:tcPr>
            <w:tcW w:w="1010" w:type="dxa"/>
            <w:tcBorders>
              <w:top w:val="nil"/>
              <w:left w:val="nil"/>
              <w:bottom w:val="nil"/>
              <w:right w:val="nil"/>
            </w:tcBorders>
            <w:tcMar>
              <w:top w:w="-1" w:type="dxa"/>
              <w:left w:w="-1" w:type="dxa"/>
              <w:bottom w:w="-1" w:type="dxa"/>
              <w:right w:w="-1" w:type="dxa"/>
            </w:tcMar>
            <w:vAlign w:val="center"/>
          </w:tcPr>
          <w:p w14:paraId="7F5F44EC">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c</w:t>
            </w:r>
          </w:p>
        </w:tc>
        <w:tc>
          <w:tcPr>
            <w:tcW w:w="1923" w:type="dxa"/>
            <w:tcBorders>
              <w:top w:val="nil"/>
              <w:left w:val="nil"/>
              <w:bottom w:val="nil"/>
              <w:right w:val="nil"/>
            </w:tcBorders>
            <w:tcMar>
              <w:top w:w="-1" w:type="dxa"/>
              <w:left w:w="-1" w:type="dxa"/>
              <w:bottom w:w="-1" w:type="dxa"/>
              <w:right w:w="-1" w:type="dxa"/>
            </w:tcMar>
            <w:vAlign w:val="center"/>
          </w:tcPr>
          <w:p w14:paraId="04E4110B">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0.01</w:t>
            </w:r>
          </w:p>
        </w:tc>
        <w:tc>
          <w:tcPr>
            <w:tcW w:w="1795" w:type="dxa"/>
            <w:tcBorders>
              <w:top w:val="nil"/>
              <w:left w:val="nil"/>
              <w:bottom w:val="nil"/>
              <w:right w:val="nil"/>
            </w:tcBorders>
            <w:tcMar>
              <w:top w:w="-1" w:type="dxa"/>
              <w:left w:w="-1" w:type="dxa"/>
              <w:bottom w:w="-1" w:type="dxa"/>
              <w:right w:w="-1" w:type="dxa"/>
            </w:tcMar>
            <w:vAlign w:val="center"/>
          </w:tcPr>
          <w:p w14:paraId="3C6E777D">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m</w:t>
            </w:r>
          </w:p>
        </w:tc>
      </w:tr>
      <w:tr w14:paraId="721A15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6C27BCBE">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翼型管固体密度</w:t>
            </w:r>
          </w:p>
        </w:tc>
        <w:tc>
          <w:tcPr>
            <w:tcW w:w="1010" w:type="dxa"/>
            <w:tcBorders>
              <w:top w:val="nil"/>
              <w:left w:val="nil"/>
              <w:bottom w:val="nil"/>
              <w:right w:val="nil"/>
            </w:tcBorders>
            <w:tcMar>
              <w:top w:w="-1" w:type="dxa"/>
              <w:left w:w="-1" w:type="dxa"/>
              <w:bottom w:w="-1" w:type="dxa"/>
              <w:right w:w="-1" w:type="dxa"/>
            </w:tcMar>
            <w:vAlign w:val="center"/>
          </w:tcPr>
          <w:p w14:paraId="4B80BB7C">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ρs</w:t>
            </w:r>
          </w:p>
        </w:tc>
        <w:tc>
          <w:tcPr>
            <w:tcW w:w="1923" w:type="dxa"/>
            <w:tcBorders>
              <w:top w:val="nil"/>
              <w:left w:val="nil"/>
              <w:bottom w:val="nil"/>
              <w:right w:val="nil"/>
            </w:tcBorders>
            <w:tcMar>
              <w:top w:w="-1" w:type="dxa"/>
              <w:left w:w="-1" w:type="dxa"/>
              <w:bottom w:w="-1" w:type="dxa"/>
              <w:right w:w="-1" w:type="dxa"/>
            </w:tcMar>
            <w:vAlign w:val="center"/>
          </w:tcPr>
          <w:p w14:paraId="24A564A2">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2700</w:t>
            </w:r>
          </w:p>
        </w:tc>
        <w:tc>
          <w:tcPr>
            <w:tcW w:w="1795" w:type="dxa"/>
            <w:tcBorders>
              <w:top w:val="nil"/>
              <w:left w:val="nil"/>
              <w:bottom w:val="nil"/>
              <w:right w:val="nil"/>
            </w:tcBorders>
            <w:tcMar>
              <w:top w:w="-1" w:type="dxa"/>
              <w:left w:w="-1" w:type="dxa"/>
              <w:bottom w:w="-1" w:type="dxa"/>
              <w:right w:w="-1" w:type="dxa"/>
            </w:tcMar>
            <w:vAlign w:val="center"/>
          </w:tcPr>
          <w:p w14:paraId="7812537F">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kg/m³</w:t>
            </w:r>
          </w:p>
        </w:tc>
      </w:tr>
      <w:tr w14:paraId="0BB04A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6DAE9B5B">
            <w:pPr>
              <w:spacing w:before="0" w:after="0" w:line="240" w:lineRule="auto"/>
              <w:ind w:left="0" w:leftChars="0" w:right="0" w:rightChars="0" w:firstLine="0" w:firstLineChars="0"/>
              <w:jc w:val="center"/>
              <w:rPr>
                <w:rFonts w:ascii="宋体"/>
                <w:lang w:eastAsia="zh-CN"/>
              </w:rPr>
            </w:pPr>
            <w:r>
              <w:rPr>
                <w:rFonts w:hint="default" w:ascii="Times New Roman" w:hAnsi="Times New Roman" w:eastAsia="宋体" w:cs="Times New Roman"/>
                <w:sz w:val="21"/>
                <w:szCs w:val="21"/>
              </w:rPr>
              <w:t>翼型管固体导热系数</w:t>
            </w:r>
          </w:p>
        </w:tc>
        <w:tc>
          <w:tcPr>
            <w:tcW w:w="1010" w:type="dxa"/>
            <w:tcBorders>
              <w:top w:val="nil"/>
              <w:left w:val="nil"/>
              <w:bottom w:val="nil"/>
              <w:right w:val="nil"/>
            </w:tcBorders>
            <w:tcMar>
              <w:top w:w="-1" w:type="dxa"/>
              <w:left w:w="-1" w:type="dxa"/>
              <w:bottom w:w="-1" w:type="dxa"/>
              <w:right w:w="-1" w:type="dxa"/>
            </w:tcMar>
            <w:vAlign w:val="center"/>
          </w:tcPr>
          <w:p w14:paraId="5E8AE12D">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ks</w:t>
            </w:r>
          </w:p>
        </w:tc>
        <w:tc>
          <w:tcPr>
            <w:tcW w:w="1923" w:type="dxa"/>
            <w:tcBorders>
              <w:top w:val="nil"/>
              <w:left w:val="nil"/>
              <w:bottom w:val="nil"/>
              <w:right w:val="nil"/>
            </w:tcBorders>
            <w:tcMar>
              <w:top w:w="-1" w:type="dxa"/>
              <w:left w:w="-1" w:type="dxa"/>
              <w:bottom w:w="-1" w:type="dxa"/>
              <w:right w:w="-1" w:type="dxa"/>
            </w:tcMar>
            <w:vAlign w:val="center"/>
          </w:tcPr>
          <w:p w14:paraId="10ED6393">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238</w:t>
            </w:r>
          </w:p>
        </w:tc>
        <w:tc>
          <w:tcPr>
            <w:tcW w:w="1795" w:type="dxa"/>
            <w:tcBorders>
              <w:top w:val="nil"/>
              <w:left w:val="nil"/>
              <w:bottom w:val="nil"/>
              <w:right w:val="nil"/>
            </w:tcBorders>
            <w:tcMar>
              <w:top w:w="-1" w:type="dxa"/>
              <w:left w:w="-1" w:type="dxa"/>
              <w:bottom w:w="-1" w:type="dxa"/>
              <w:right w:w="-1" w:type="dxa"/>
            </w:tcMar>
            <w:vAlign w:val="center"/>
          </w:tcPr>
          <w:p w14:paraId="7E11CB46">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W/(m·K)</w:t>
            </w:r>
          </w:p>
        </w:tc>
      </w:tr>
      <w:tr w14:paraId="15148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05298C8C">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sz w:val="21"/>
                <w:szCs w:val="21"/>
              </w:rPr>
              <w:t>翼型管固体定压比热容</w:t>
            </w:r>
          </w:p>
        </w:tc>
        <w:tc>
          <w:tcPr>
            <w:tcW w:w="1010" w:type="dxa"/>
            <w:tcBorders>
              <w:top w:val="nil"/>
              <w:left w:val="nil"/>
              <w:bottom w:val="nil"/>
              <w:right w:val="nil"/>
            </w:tcBorders>
            <w:tcMar>
              <w:top w:w="-1" w:type="dxa"/>
              <w:left w:w="-1" w:type="dxa"/>
              <w:bottom w:w="-1" w:type="dxa"/>
              <w:right w:w="-1" w:type="dxa"/>
            </w:tcMar>
            <w:vAlign w:val="center"/>
          </w:tcPr>
          <w:p w14:paraId="2601919B">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sz w:val="21"/>
                <w:szCs w:val="21"/>
              </w:rPr>
              <w:t>cps</w:t>
            </w:r>
          </w:p>
        </w:tc>
        <w:tc>
          <w:tcPr>
            <w:tcW w:w="1923" w:type="dxa"/>
            <w:tcBorders>
              <w:top w:val="nil"/>
              <w:left w:val="nil"/>
              <w:bottom w:val="nil"/>
              <w:right w:val="nil"/>
            </w:tcBorders>
            <w:tcMar>
              <w:top w:w="-1" w:type="dxa"/>
              <w:left w:w="-1" w:type="dxa"/>
              <w:bottom w:w="-1" w:type="dxa"/>
              <w:right w:w="-1" w:type="dxa"/>
            </w:tcMar>
            <w:vAlign w:val="center"/>
          </w:tcPr>
          <w:p w14:paraId="253BAA5F">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sz w:val="21"/>
                <w:szCs w:val="21"/>
              </w:rPr>
              <w:t>900</w:t>
            </w:r>
          </w:p>
        </w:tc>
        <w:tc>
          <w:tcPr>
            <w:tcW w:w="1795" w:type="dxa"/>
            <w:tcBorders>
              <w:top w:val="nil"/>
              <w:left w:val="nil"/>
              <w:bottom w:val="nil"/>
              <w:right w:val="nil"/>
            </w:tcBorders>
            <w:tcMar>
              <w:top w:w="-1" w:type="dxa"/>
              <w:left w:w="-1" w:type="dxa"/>
              <w:bottom w:w="-1" w:type="dxa"/>
              <w:right w:w="-1" w:type="dxa"/>
            </w:tcMar>
            <w:vAlign w:val="center"/>
          </w:tcPr>
          <w:p w14:paraId="7D03C7CA">
            <w:pPr>
              <w:spacing w:before="0" w:after="0" w:line="240" w:lineRule="auto"/>
              <w:ind w:left="0" w:leftChars="0" w:right="0" w:rightChars="0" w:firstLine="0" w:firstLineChars="0"/>
              <w:jc w:val="center"/>
              <w:rPr>
                <w:rFonts w:ascii="宋体"/>
                <w:b/>
              </w:rPr>
            </w:pPr>
            <w:r>
              <w:rPr>
                <w:rFonts w:hint="default" w:ascii="Times New Roman" w:hAnsi="Times New Roman" w:eastAsia="宋体" w:cs="Times New Roman"/>
                <w:sz w:val="21"/>
                <w:szCs w:val="21"/>
              </w:rPr>
              <w:t>J/(kg·K)</w:t>
            </w:r>
          </w:p>
        </w:tc>
      </w:tr>
      <w:tr w14:paraId="65781E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4EF073C7">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入口平均速度</w:t>
            </w:r>
          </w:p>
        </w:tc>
        <w:tc>
          <w:tcPr>
            <w:tcW w:w="1010" w:type="dxa"/>
            <w:tcBorders>
              <w:top w:val="nil"/>
              <w:left w:val="nil"/>
              <w:bottom w:val="nil"/>
              <w:right w:val="nil"/>
            </w:tcBorders>
            <w:tcMar>
              <w:top w:w="-1" w:type="dxa"/>
              <w:left w:w="-1" w:type="dxa"/>
              <w:bottom w:w="-1" w:type="dxa"/>
              <w:right w:w="-1" w:type="dxa"/>
            </w:tcMar>
            <w:vAlign w:val="center"/>
          </w:tcPr>
          <w:p w14:paraId="7996686A">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u_in</w:t>
            </w:r>
          </w:p>
        </w:tc>
        <w:tc>
          <w:tcPr>
            <w:tcW w:w="1923" w:type="dxa"/>
            <w:tcBorders>
              <w:top w:val="nil"/>
              <w:left w:val="nil"/>
              <w:bottom w:val="nil"/>
              <w:right w:val="nil"/>
            </w:tcBorders>
            <w:tcMar>
              <w:top w:w="-1" w:type="dxa"/>
              <w:left w:w="-1" w:type="dxa"/>
              <w:bottom w:w="-1" w:type="dxa"/>
              <w:right w:w="-1" w:type="dxa"/>
            </w:tcMar>
            <w:vAlign w:val="center"/>
          </w:tcPr>
          <w:p w14:paraId="1A30A385">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5</w:t>
            </w:r>
          </w:p>
        </w:tc>
        <w:tc>
          <w:tcPr>
            <w:tcW w:w="1795" w:type="dxa"/>
            <w:tcBorders>
              <w:top w:val="nil"/>
              <w:left w:val="nil"/>
              <w:bottom w:val="nil"/>
              <w:right w:val="nil"/>
            </w:tcBorders>
            <w:tcMar>
              <w:top w:w="-1" w:type="dxa"/>
              <w:left w:w="-1" w:type="dxa"/>
              <w:bottom w:w="-1" w:type="dxa"/>
              <w:right w:w="-1" w:type="dxa"/>
            </w:tcMar>
            <w:vAlign w:val="center"/>
          </w:tcPr>
          <w:p w14:paraId="56FDE647">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m/s</w:t>
            </w:r>
          </w:p>
        </w:tc>
      </w:tr>
      <w:tr w14:paraId="5AD040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jc w:val="center"/>
        </w:trPr>
        <w:tc>
          <w:tcPr>
            <w:tcW w:w="3949" w:type="dxa"/>
            <w:tcBorders>
              <w:top w:val="nil"/>
              <w:left w:val="nil"/>
              <w:bottom w:val="nil"/>
              <w:right w:val="nil"/>
            </w:tcBorders>
            <w:tcMar>
              <w:top w:w="-1" w:type="dxa"/>
              <w:left w:w="-1" w:type="dxa"/>
              <w:bottom w:w="-1" w:type="dxa"/>
              <w:right w:w="-1" w:type="dxa"/>
            </w:tcMar>
            <w:vAlign w:val="center"/>
          </w:tcPr>
          <w:p w14:paraId="4C291794">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入口温度</w:t>
            </w:r>
          </w:p>
        </w:tc>
        <w:tc>
          <w:tcPr>
            <w:tcW w:w="1010" w:type="dxa"/>
            <w:tcBorders>
              <w:top w:val="nil"/>
              <w:left w:val="nil"/>
              <w:bottom w:val="nil"/>
              <w:right w:val="nil"/>
            </w:tcBorders>
            <w:tcMar>
              <w:top w:w="-1" w:type="dxa"/>
              <w:left w:w="-1" w:type="dxa"/>
              <w:bottom w:w="-1" w:type="dxa"/>
              <w:right w:w="-1" w:type="dxa"/>
            </w:tcMar>
            <w:vAlign w:val="center"/>
          </w:tcPr>
          <w:p w14:paraId="5F7A7410">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T_in</w:t>
            </w:r>
          </w:p>
        </w:tc>
        <w:tc>
          <w:tcPr>
            <w:tcW w:w="1923" w:type="dxa"/>
            <w:tcBorders>
              <w:top w:val="nil"/>
              <w:left w:val="nil"/>
              <w:bottom w:val="nil"/>
              <w:right w:val="nil"/>
            </w:tcBorders>
            <w:tcMar>
              <w:top w:w="-1" w:type="dxa"/>
              <w:left w:w="-1" w:type="dxa"/>
              <w:bottom w:w="-1" w:type="dxa"/>
              <w:right w:w="-1" w:type="dxa"/>
            </w:tcMar>
            <w:vAlign w:val="center"/>
          </w:tcPr>
          <w:p w14:paraId="77C367D8">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293.15</w:t>
            </w:r>
          </w:p>
        </w:tc>
        <w:tc>
          <w:tcPr>
            <w:tcW w:w="1795" w:type="dxa"/>
            <w:tcBorders>
              <w:top w:val="nil"/>
              <w:left w:val="nil"/>
              <w:bottom w:val="nil"/>
              <w:right w:val="nil"/>
            </w:tcBorders>
            <w:tcMar>
              <w:top w:w="-1" w:type="dxa"/>
              <w:left w:w="-1" w:type="dxa"/>
              <w:bottom w:w="-1" w:type="dxa"/>
              <w:right w:w="-1" w:type="dxa"/>
            </w:tcMar>
            <w:vAlign w:val="center"/>
          </w:tcPr>
          <w:p w14:paraId="1E73C81A">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K</w:t>
            </w:r>
          </w:p>
        </w:tc>
      </w:tr>
      <w:tr w14:paraId="0AE4B4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0234F0F6">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出口静压</w:t>
            </w:r>
          </w:p>
        </w:tc>
        <w:tc>
          <w:tcPr>
            <w:tcW w:w="1010" w:type="dxa"/>
            <w:tcBorders>
              <w:top w:val="nil"/>
              <w:left w:val="nil"/>
              <w:bottom w:val="nil"/>
              <w:right w:val="nil"/>
            </w:tcBorders>
            <w:tcMar>
              <w:top w:w="-1" w:type="dxa"/>
              <w:left w:w="-1" w:type="dxa"/>
              <w:bottom w:w="-1" w:type="dxa"/>
              <w:right w:w="-1" w:type="dxa"/>
            </w:tcMar>
            <w:vAlign w:val="center"/>
          </w:tcPr>
          <w:p w14:paraId="440CCB7C">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p_out</w:t>
            </w:r>
          </w:p>
        </w:tc>
        <w:tc>
          <w:tcPr>
            <w:tcW w:w="1923" w:type="dxa"/>
            <w:tcBorders>
              <w:top w:val="nil"/>
              <w:left w:val="nil"/>
              <w:bottom w:val="nil"/>
              <w:right w:val="nil"/>
            </w:tcBorders>
            <w:tcMar>
              <w:top w:w="-1" w:type="dxa"/>
              <w:left w:w="-1" w:type="dxa"/>
              <w:bottom w:w="-1" w:type="dxa"/>
              <w:right w:w="-1" w:type="dxa"/>
            </w:tcMar>
            <w:vAlign w:val="center"/>
          </w:tcPr>
          <w:p w14:paraId="39E71DC8">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0</w:t>
            </w:r>
          </w:p>
        </w:tc>
        <w:tc>
          <w:tcPr>
            <w:tcW w:w="1795" w:type="dxa"/>
            <w:tcBorders>
              <w:top w:val="nil"/>
              <w:left w:val="nil"/>
              <w:bottom w:val="nil"/>
              <w:right w:val="nil"/>
            </w:tcBorders>
            <w:tcMar>
              <w:top w:w="-1" w:type="dxa"/>
              <w:left w:w="-1" w:type="dxa"/>
              <w:bottom w:w="-1" w:type="dxa"/>
              <w:right w:w="-1" w:type="dxa"/>
            </w:tcMar>
            <w:vAlign w:val="center"/>
          </w:tcPr>
          <w:p w14:paraId="726E41F1">
            <w:pPr>
              <w:spacing w:before="0" w:after="0" w:line="240" w:lineRule="auto"/>
              <w:ind w:left="0" w:leftChars="0" w:right="0" w:rightChars="0" w:firstLine="0" w:firstLineChars="0"/>
              <w:jc w:val="center"/>
              <w:rPr>
                <w:rFonts w:ascii="宋体"/>
              </w:rPr>
            </w:pPr>
            <w:r>
              <w:rPr>
                <w:rFonts w:hint="default" w:ascii="Times New Roman" w:hAnsi="Times New Roman" w:eastAsia="宋体" w:cs="Times New Roman"/>
                <w:sz w:val="21"/>
                <w:szCs w:val="21"/>
              </w:rPr>
              <w:t>Pa</w:t>
            </w:r>
          </w:p>
        </w:tc>
      </w:tr>
      <w:tr w14:paraId="575B82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02FD19F4">
            <w:pPr>
              <w:spacing w:before="0" w:after="0" w:line="240" w:lineRule="auto"/>
              <w:ind w:left="0" w:leftChars="0" w:right="0" w:rightChars="0" w:firstLine="0" w:firstLineChars="0"/>
              <w:jc w:val="center"/>
              <w:rPr>
                <w:rFonts w:ascii="宋体"/>
                <w:szCs w:val="21"/>
              </w:rPr>
            </w:pPr>
            <w:r>
              <w:rPr>
                <w:rFonts w:hint="default" w:ascii="Times New Roman" w:hAnsi="Times New Roman" w:eastAsia="宋体" w:cs="Times New Roman"/>
                <w:sz w:val="21"/>
                <w:szCs w:val="21"/>
              </w:rPr>
              <w:t>体积生热率</w:t>
            </w:r>
          </w:p>
        </w:tc>
        <w:tc>
          <w:tcPr>
            <w:tcW w:w="1010" w:type="dxa"/>
            <w:tcBorders>
              <w:top w:val="nil"/>
              <w:left w:val="nil"/>
              <w:bottom w:val="nil"/>
              <w:right w:val="nil"/>
            </w:tcBorders>
            <w:tcMar>
              <w:top w:w="-1" w:type="dxa"/>
              <w:left w:w="-1" w:type="dxa"/>
              <w:bottom w:w="-1" w:type="dxa"/>
              <w:right w:w="-1" w:type="dxa"/>
            </w:tcMar>
            <w:vAlign w:val="center"/>
          </w:tcPr>
          <w:p w14:paraId="42D947CF">
            <w:pPr>
              <w:spacing w:before="0" w:after="0" w:line="240" w:lineRule="auto"/>
              <w:ind w:left="0" w:leftChars="0" w:right="0" w:rightChars="0" w:firstLine="0" w:firstLineChars="0"/>
              <w:jc w:val="center"/>
              <w:rPr>
                <w:rFonts w:ascii="宋体"/>
                <w:szCs w:val="21"/>
              </w:rPr>
            </w:pPr>
            <m:oMathPara>
              <m:oMath>
                <m:sSub>
                  <m:sSubPr/>
                  <m:e>
                    <m:r>
                      <m:rPr/>
                      <m:t>q</m:t>
                    </m:r>
                  </m:e>
                  <m:sub>
                    <m:r>
                      <m:rPr/>
                      <m:t>v</m:t>
                    </m:r>
                  </m:sub>
                </m:sSub>
              </m:oMath>
            </m:oMathPara>
          </w:p>
        </w:tc>
        <w:tc>
          <w:tcPr>
            <w:tcW w:w="1923" w:type="dxa"/>
            <w:tcBorders>
              <w:top w:val="nil"/>
              <w:left w:val="nil"/>
              <w:bottom w:val="nil"/>
              <w:right w:val="nil"/>
            </w:tcBorders>
            <w:tcMar>
              <w:top w:w="-1" w:type="dxa"/>
              <w:left w:w="-1" w:type="dxa"/>
              <w:bottom w:w="-1" w:type="dxa"/>
              <w:right w:w="-1" w:type="dxa"/>
            </w:tcMar>
            <w:vAlign w:val="center"/>
          </w:tcPr>
          <w:p w14:paraId="24A4A373">
            <w:pPr>
              <w:spacing w:before="0" w:after="0" w:line="240" w:lineRule="auto"/>
              <w:ind w:left="0" w:leftChars="0" w:right="0" w:rightChars="0" w:firstLine="0" w:firstLineChars="0"/>
              <w:jc w:val="center"/>
              <w:rPr>
                <w:rFonts w:ascii="宋体"/>
                <w:szCs w:val="21"/>
              </w:rPr>
            </w:pPr>
            <w:r>
              <w:rPr>
                <w:rFonts w:hint="default" w:ascii="Times New Roman" w:hAnsi="Times New Roman" w:eastAsia="宋体" w:cs="Times New Roman"/>
                <w:sz w:val="21"/>
                <w:szCs w:val="21"/>
              </w:rPr>
              <w:t>1×10⁷</w:t>
            </w:r>
          </w:p>
        </w:tc>
        <w:tc>
          <w:tcPr>
            <w:tcW w:w="1795" w:type="dxa"/>
            <w:tcBorders>
              <w:top w:val="nil"/>
              <w:left w:val="nil"/>
              <w:bottom w:val="nil"/>
              <w:right w:val="nil"/>
            </w:tcBorders>
            <w:tcMar>
              <w:top w:w="-1" w:type="dxa"/>
              <w:left w:w="-1" w:type="dxa"/>
              <w:bottom w:w="-1" w:type="dxa"/>
              <w:right w:w="-1" w:type="dxa"/>
            </w:tcMar>
            <w:vAlign w:val="center"/>
          </w:tcPr>
          <w:p w14:paraId="5B1F35B0">
            <w:pPr>
              <w:spacing w:before="0" w:after="0" w:line="240" w:lineRule="auto"/>
              <w:ind w:left="0" w:leftChars="0" w:right="0" w:rightChars="0" w:firstLine="0" w:firstLineChars="0"/>
              <w:jc w:val="center"/>
              <w:rPr>
                <w:rFonts w:ascii="宋体"/>
                <w:szCs w:val="21"/>
              </w:rPr>
            </w:pPr>
            <w:r>
              <w:rPr>
                <w:rFonts w:hint="default" w:ascii="Times New Roman" w:hAnsi="Times New Roman" w:eastAsia="宋体" w:cs="Times New Roman"/>
                <w:sz w:val="21"/>
                <w:szCs w:val="21"/>
              </w:rPr>
              <w:t>W/m³</w:t>
            </w:r>
          </w:p>
        </w:tc>
      </w:tr>
      <w:tr w14:paraId="73F708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3949" w:type="dxa"/>
            <w:tcBorders>
              <w:top w:val="nil"/>
              <w:left w:val="nil"/>
              <w:bottom w:val="nil"/>
              <w:right w:val="nil"/>
            </w:tcBorders>
            <w:tcMar>
              <w:top w:w="-1" w:type="dxa"/>
              <w:left w:w="-1" w:type="dxa"/>
              <w:bottom w:w="-1" w:type="dxa"/>
              <w:right w:w="-1" w:type="dxa"/>
            </w:tcMar>
            <w:vAlign w:val="center"/>
          </w:tcPr>
          <w:p w14:paraId="6CAFC862">
            <w:pPr>
              <w:spacing w:before="0" w:after="0" w:line="240" w:lineRule="auto"/>
              <w:ind w:left="0" w:leftChars="0" w:right="0" w:rightChars="0" w:firstLine="0" w:firstLineChars="0"/>
              <w:jc w:val="center"/>
              <w:rPr>
                <w:rFonts w:ascii="宋体"/>
                <w:szCs w:val="21"/>
              </w:rPr>
            </w:pPr>
            <w:r>
              <w:rPr>
                <w:rFonts w:hint="default" w:ascii="Times New Roman" w:hAnsi="Times New Roman" w:eastAsia="宋体" w:cs="Times New Roman"/>
                <w:sz w:val="21"/>
                <w:szCs w:val="21"/>
              </w:rPr>
              <w:t>入口雷诺数</w:t>
            </w:r>
          </w:p>
        </w:tc>
        <w:tc>
          <w:tcPr>
            <w:tcW w:w="1010" w:type="dxa"/>
            <w:tcBorders>
              <w:top w:val="nil"/>
              <w:left w:val="nil"/>
              <w:bottom w:val="nil"/>
              <w:right w:val="nil"/>
            </w:tcBorders>
            <w:tcMar>
              <w:top w:w="-1" w:type="dxa"/>
              <w:left w:w="-1" w:type="dxa"/>
              <w:bottom w:w="-1" w:type="dxa"/>
              <w:right w:w="-1" w:type="dxa"/>
            </w:tcMar>
            <w:vAlign w:val="center"/>
          </w:tcPr>
          <w:p w14:paraId="2EA74CA4">
            <w:pPr>
              <w:spacing w:before="0" w:after="0" w:line="240" w:lineRule="auto"/>
              <w:ind w:left="0" w:leftChars="0" w:right="0" w:rightChars="0" w:firstLine="0" w:firstLineChars="0"/>
              <w:jc w:val="center"/>
              <w:rPr>
                <w:rFonts w:ascii="宋体"/>
                <w:szCs w:val="21"/>
              </w:rPr>
            </w:pPr>
            <m:oMathPara>
              <m:oMath>
                <m:r>
                  <m:rPr/>
                  <w:rPr>
                    <w:rFonts w:ascii="Cambria Math" w:hAnsi="Cambria Math"/>
                  </w:rPr>
                  <m:t>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oMath>
            </m:oMathPara>
          </w:p>
        </w:tc>
        <w:tc>
          <w:tcPr>
            <w:tcW w:w="1923" w:type="dxa"/>
            <w:tcBorders>
              <w:top w:val="nil"/>
              <w:left w:val="nil"/>
              <w:bottom w:val="nil"/>
              <w:right w:val="nil"/>
            </w:tcBorders>
            <w:tcMar>
              <w:top w:w="-1" w:type="dxa"/>
              <w:left w:w="-1" w:type="dxa"/>
              <w:bottom w:w="-1" w:type="dxa"/>
              <w:right w:w="-1" w:type="dxa"/>
            </w:tcMar>
            <w:vAlign w:val="center"/>
          </w:tcPr>
          <w:p w14:paraId="6333FEED">
            <w:pPr>
              <w:spacing w:before="0" w:after="0" w:line="240" w:lineRule="auto"/>
              <w:ind w:left="0" w:leftChars="0" w:right="0" w:rightChars="0" w:firstLine="0" w:firstLineChars="0"/>
              <w:jc w:val="center"/>
              <w:rPr>
                <w:rFonts w:ascii="宋体"/>
                <w:szCs w:val="21"/>
              </w:rPr>
            </w:pPr>
            <w:r>
              <w:rPr>
                <w:rFonts w:hint="default" w:ascii="Times New Roman" w:hAnsi="Times New Roman" w:eastAsia="宋体" w:cs="Times New Roman"/>
                <w:sz w:val="21"/>
                <w:szCs w:val="21"/>
              </w:rPr>
              <w:t>3.33×10³</w:t>
            </w:r>
          </w:p>
        </w:tc>
        <w:tc>
          <w:tcPr>
            <w:tcW w:w="1795" w:type="dxa"/>
            <w:tcBorders>
              <w:top w:val="nil"/>
              <w:left w:val="nil"/>
              <w:bottom w:val="nil"/>
              <w:right w:val="nil"/>
            </w:tcBorders>
            <w:tcMar>
              <w:top w:w="-1" w:type="dxa"/>
              <w:left w:w="-1" w:type="dxa"/>
              <w:bottom w:w="-1" w:type="dxa"/>
              <w:right w:w="-1" w:type="dxa"/>
            </w:tcMar>
            <w:vAlign w:val="center"/>
          </w:tcPr>
          <w:p w14:paraId="5CC7B1A6">
            <w:pPr>
              <w:spacing w:before="0" w:after="0" w:line="240" w:lineRule="auto"/>
              <w:ind w:left="0" w:leftChars="0" w:right="0" w:rightChars="0" w:firstLine="0" w:firstLineChars="0"/>
              <w:jc w:val="center"/>
              <w:rPr>
                <w:rFonts w:ascii="宋体"/>
                <w:szCs w:val="21"/>
              </w:rPr>
            </w:pPr>
            <w:r>
              <w:rPr>
                <w:rFonts w:hint="default" w:ascii="Times New Roman" w:hAnsi="Times New Roman" w:eastAsia="宋体" w:cs="Times New Roman"/>
                <w:sz w:val="21"/>
                <w:szCs w:val="21"/>
              </w:rPr>
              <w:t>—</w:t>
            </w:r>
          </w:p>
        </w:tc>
      </w:tr>
    </w:tbl>
    <w:p w14:paraId="32C3A35E">
      <w:pPr>
        <w:pStyle w:val="32"/>
        <w:spacing w:before="0" w:after="0"/>
        <w:ind w:firstLine="480"/>
        <w:rPr>
          <w:lang w:eastAsia="zh-CN"/>
        </w:rPr>
      </w:pPr>
      <w:r>
        <w:rPr>
          <w:lang w:eastAsia="zh-CN"/>
        </w:rPr>
        <w:t>以翼型管弦长 c 和入口平均速度 u_in 作为参考尺度，入口雷诺数定义为：</w:t>
      </w:r>
    </w:p>
    <w:tbl>
      <w:tblPr>
        <w:tblStyle w:val="23"/>
        <w:tblW w:w="8278" w:type="dxa"/>
        <w:jc w:val="center"/>
        <w:tblLayout w:type="fixed"/>
        <w:tblCellMar>
          <w:top w:w="0" w:type="dxa"/>
          <w:left w:w="10" w:type="dxa"/>
          <w:bottom w:w="0" w:type="dxa"/>
          <w:right w:w="10" w:type="dxa"/>
        </w:tblCellMar>
      </w:tblPr>
      <w:tblGrid>
        <w:gridCol w:w="7217"/>
        <w:gridCol w:w="1061"/>
      </w:tblGrid>
      <w:tr w14:paraId="3E843619">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165F0BDE">
            <w:pPr>
              <w:spacing w:line="240" w:lineRule="auto"/>
              <w:ind w:firstLine="480"/>
              <w:jc w:val="center"/>
              <w:rPr>
                <w:rFonts w:hAnsi="Cambria Math"/>
              </w:rPr>
            </w:pPr>
            <m:oMathPara>
              <m:oMath>
                <m:r>
                  <m:rPr/>
                  <w:rPr>
                    <w:rFonts w:ascii="Cambria Math" w:hAnsi="Cambria Math"/>
                  </w:rPr>
                  <m:t>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ρ</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c</m:t>
                    </m:r>
                    <m:ctrlPr>
                      <w:rPr>
                        <w:rFonts w:ascii="Cambria Math" w:hAnsi="Cambria Math"/>
                      </w:rPr>
                    </m:ctrlPr>
                  </m:num>
                  <m:den>
                    <m:r>
                      <m:rPr/>
                      <w:rPr>
                        <w:rFonts w:ascii="Cambria Math" w:hAnsi="Cambria Math"/>
                      </w:rPr>
                      <m:t>μ</m:t>
                    </m:r>
                    <m:ctrlPr>
                      <w:rPr>
                        <w:rFonts w:ascii="Cambria Math" w:hAnsi="Cambria Math"/>
                      </w:rPr>
                    </m:ctrlPr>
                  </m:den>
                </m:f>
              </m:oMath>
            </m:oMathPara>
          </w:p>
        </w:tc>
        <w:tc>
          <w:tcPr>
            <w:tcW w:w="1061" w:type="dxa"/>
            <w:tcBorders>
              <w:top w:val="nil"/>
              <w:left w:val="nil"/>
              <w:bottom w:val="nil"/>
              <w:right w:val="nil"/>
            </w:tcBorders>
            <w:vAlign w:val="center"/>
          </w:tcPr>
          <w:p w14:paraId="5756F866">
            <w:pPr>
              <w:ind w:firstLine="0" w:firstLineChars="0"/>
              <w:jc w:val="right"/>
            </w:pPr>
            <w:r>
              <w:rPr>
                <w:rFonts w:eastAsia="Times New Roman"/>
                <w:sz w:val="21"/>
                <w:szCs w:val="21"/>
              </w:rPr>
              <w:t>(3)</w:t>
            </w:r>
          </w:p>
        </w:tc>
      </w:tr>
    </w:tbl>
    <w:p w14:paraId="711C3D23">
      <w:pPr>
        <w:pStyle w:val="32"/>
        <w:spacing w:before="0" w:after="0"/>
        <w:ind w:firstLine="480"/>
        <w:rPr>
          <w:lang w:eastAsia="zh-CN"/>
        </w:rPr>
      </w:pPr>
      <w:r>
        <w:rPr>
          <w:lang w:eastAsia="zh-CN"/>
        </w:rPr>
        <w:t>式中，ρ、u_in、c 和 μ 分别为空气密度、入口速度、翼型弦长和动力黏度。代入表 2 参数可得</w:t>
      </w:r>
      <m:oMath>
        <m:r>
          <m:rPr/>
          <w:rPr>
            <w:rFonts w:ascii="Cambria Math" w:hAnsi="Cambria Math"/>
          </w:rPr>
          <m:t>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oMath>
      <w:r>
        <w:rPr>
          <w:lang w:eastAsia="zh-CN"/>
        </w:rPr>
        <w:t xml:space="preserve"> ≈ 3.33×10³。由于研究重点在于比较不同参数化布局方案的稳态平均换热与流阻差异，采用稳态层流模型进行相对性能评价。</w:t>
      </w:r>
      <w:r>
        <w:rPr>
          <w:rFonts w:hint="eastAsia"/>
          <w:lang w:eastAsia="zh-CN"/>
        </w:rPr>
        <w:t>需要说明的是，本文采用稳态层流模型的目的在于在相同入口条件、相同物性参数和相同求解设置下比较不同翼型管阵列构型之间的相对换热与流阻差异，而非对复杂瞬态涡脱落或湍流脉动结构进行精细解析。为降低模型假设带来的不确定性，本文通过网格无关性验证、基准构型与已有文献结果对比以及最优结构的独立 CFD 复核，对数值模型和优化结果进行交叉确认。后续研究可进一步引入非稳态或湍流模型，以评估复杂瞬态流动对局部换热和压降预测的影响。</w:t>
      </w:r>
    </w:p>
    <w:p w14:paraId="75B065F1">
      <w:pPr>
        <w:pStyle w:val="3"/>
      </w:pPr>
      <w:r>
        <w:rPr>
          <w:rFonts w:hint="eastAsia"/>
        </w:rPr>
        <w:t>流体区域满足不可压缩流动控制方程，主要包括质量守恒方程、动量方程和能量方程：</w:t>
      </w:r>
    </w:p>
    <w:tbl>
      <w:tblPr>
        <w:tblStyle w:val="23"/>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217"/>
        <w:gridCol w:w="1061"/>
      </w:tblGrid>
      <w:tr w14:paraId="26E0E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217" w:type="dxa"/>
            <w:tcBorders>
              <w:top w:val="nil"/>
              <w:left w:val="nil"/>
              <w:bottom w:val="nil"/>
              <w:right w:val="nil"/>
              <w:insideH w:val="nil"/>
              <w:insideV w:val="nil"/>
            </w:tcBorders>
            <w:vAlign w:val="center"/>
          </w:tcPr>
          <w:p w14:paraId="21786EE7">
            <w:pPr>
              <w:spacing w:before="0" w:after="0" w:line="240" w:lineRule="auto"/>
              <w:jc w:val="center"/>
            </w:pPr>
            <m:oMathPara>
              <m:oMathParaPr>
                <m:jc m:val="center"/>
              </m:oMathParaPr>
              <m:oMath>
                <m:r>
                  <m:rPr>
                    <m:sty m:val="p"/>
                  </m:rPr>
                  <m:t>∇⋅</m:t>
                </m:r>
                <m:r>
                  <m:rPr>
                    <m:sty m:val="b"/>
                  </m:rPr>
                  <m:t>u</m:t>
                </m:r>
                <m:r>
                  <m:rPr>
                    <m:sty m:val="p"/>
                  </m:rPr>
                  <m:t>=</m:t>
                </m:r>
                <m:r>
                  <m:rPr/>
                  <m:t>0</m:t>
                </m:r>
              </m:oMath>
            </m:oMathPara>
          </w:p>
        </w:tc>
        <w:tc>
          <w:tcPr>
            <w:tcW w:w="1061" w:type="dxa"/>
            <w:tcBorders>
              <w:top w:val="nil"/>
              <w:left w:val="nil"/>
              <w:bottom w:val="nil"/>
              <w:right w:val="nil"/>
              <w:insideH w:val="nil"/>
              <w:insideV w:val="nil"/>
            </w:tcBorders>
            <w:vAlign w:val="center"/>
          </w:tcPr>
          <w:p w14:paraId="3B2D9AD7">
            <w:pPr>
              <w:ind w:left="0" w:leftChars="0" w:right="0" w:rightChars="0" w:firstLine="0" w:firstLineChars="0"/>
              <w:jc w:val="right"/>
            </w:pPr>
            <w:r>
              <w:rPr>
                <w:rFonts w:hint="default" w:ascii="Times New Roman" w:hAnsi="Times New Roman" w:eastAsia="Times New Roman" w:cs="Times New Roman"/>
                <w:sz w:val="21"/>
                <w:szCs w:val="21"/>
              </w:rPr>
              <w:t>(</w:t>
            </w:r>
            <w:r>
              <w:rPr>
                <w:rFonts w:hint="eastAsia" w:cs="Times New Roman"/>
                <w:sz w:val="21"/>
                <w:szCs w:val="21"/>
                <w:lang w:val="en-US" w:eastAsia="zh-CN"/>
              </w:rPr>
              <w:t>4</w:t>
            </w:r>
            <w:r>
              <w:rPr>
                <w:rFonts w:hint="default" w:ascii="Times New Roman" w:hAnsi="Times New Roman" w:eastAsia="Times New Roman" w:cs="Times New Roman"/>
                <w:sz w:val="21"/>
                <w:szCs w:val="21"/>
              </w:rPr>
              <w:t>)</w:t>
            </w:r>
          </w:p>
        </w:tc>
      </w:tr>
      <w:tr w14:paraId="4E506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217" w:type="dxa"/>
            <w:tcBorders>
              <w:top w:val="nil"/>
              <w:left w:val="nil"/>
              <w:bottom w:val="nil"/>
              <w:right w:val="nil"/>
              <w:insideH w:val="nil"/>
              <w:insideV w:val="nil"/>
            </w:tcBorders>
            <w:vAlign w:val="center"/>
          </w:tcPr>
          <w:p w14:paraId="26DC6CC3">
            <w:pPr>
              <w:spacing w:before="0" w:after="0" w:line="240" w:lineRule="auto"/>
              <w:jc w:val="center"/>
            </w:pPr>
            <m:oMathPara>
              <m:oMathParaPr>
                <m:jc m:val="center"/>
              </m:oMathParaPr>
              <m:oMath>
                <m:r>
                  <m:rPr/>
                  <m:t>ρ</m:t>
                </m:r>
                <m:r>
                  <m:rPr>
                    <m:sty m:val="p"/>
                  </m:rPr>
                  <m:t>(</m:t>
                </m:r>
                <m:r>
                  <m:rPr>
                    <m:sty m:val="b"/>
                  </m:rPr>
                  <m:t>u</m:t>
                </m:r>
                <m:r>
                  <m:rPr>
                    <m:sty m:val="p"/>
                  </m:rPr>
                  <m:t>⋅∇)</m:t>
                </m:r>
                <m:r>
                  <m:rPr>
                    <m:sty m:val="b"/>
                  </m:rPr>
                  <m:t>u</m:t>
                </m:r>
                <m:r>
                  <m:rPr>
                    <m:sty m:val="p"/>
                  </m:rPr>
                  <m:t>=−∇</m:t>
                </m:r>
                <m:r>
                  <m:rPr/>
                  <m:t>p</m:t>
                </m:r>
                <m:r>
                  <m:rPr>
                    <m:sty m:val="p"/>
                  </m:rPr>
                  <m:t>+</m:t>
                </m:r>
                <m:r>
                  <m:rPr/>
                  <m:t>μ</m:t>
                </m:r>
                <m:sSup>
                  <m:sSupPr/>
                  <m:e>
                    <m:r>
                      <m:rPr>
                        <m:sty m:val="p"/>
                      </m:rPr>
                      <m:t>∇</m:t>
                    </m:r>
                  </m:e>
                  <m:sup>
                    <m:r>
                      <m:rPr/>
                      <m:t>2</m:t>
                    </m:r>
                  </m:sup>
                </m:sSup>
                <m:r>
                  <m:rPr>
                    <m:sty m:val="b"/>
                  </m:rPr>
                  <m:t>u</m:t>
                </m:r>
              </m:oMath>
            </m:oMathPara>
          </w:p>
        </w:tc>
        <w:tc>
          <w:tcPr>
            <w:tcW w:w="1061" w:type="dxa"/>
            <w:tcBorders>
              <w:top w:val="nil"/>
              <w:left w:val="nil"/>
              <w:bottom w:val="nil"/>
              <w:right w:val="nil"/>
              <w:insideH w:val="nil"/>
              <w:insideV w:val="nil"/>
            </w:tcBorders>
            <w:vAlign w:val="center"/>
          </w:tcPr>
          <w:p w14:paraId="31A32E44">
            <w:pPr>
              <w:ind w:left="0" w:leftChars="0" w:right="0" w:rightChars="0" w:firstLine="0" w:firstLineChars="0"/>
              <w:jc w:val="right"/>
            </w:pPr>
            <w:r>
              <w:rPr>
                <w:rFonts w:hint="default" w:ascii="Times New Roman" w:hAnsi="Times New Roman" w:eastAsia="Times New Roman" w:cs="Times New Roman"/>
                <w:sz w:val="21"/>
                <w:szCs w:val="21"/>
              </w:rPr>
              <w:t>(</w:t>
            </w:r>
            <w:r>
              <w:rPr>
                <w:rFonts w:hint="eastAsia" w:cs="Times New Roman"/>
                <w:sz w:val="21"/>
                <w:szCs w:val="21"/>
                <w:lang w:val="en-US" w:eastAsia="zh-CN"/>
              </w:rPr>
              <w:t>5</w:t>
            </w:r>
            <w:r>
              <w:rPr>
                <w:rFonts w:hint="default" w:ascii="Times New Roman" w:hAnsi="Times New Roman" w:eastAsia="Times New Roman" w:cs="Times New Roman"/>
                <w:sz w:val="21"/>
                <w:szCs w:val="21"/>
              </w:rPr>
              <w:t>)</w:t>
            </w:r>
          </w:p>
        </w:tc>
      </w:tr>
      <w:tr w14:paraId="782C9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217" w:type="dxa"/>
            <w:tcBorders>
              <w:top w:val="nil"/>
              <w:left w:val="nil"/>
              <w:bottom w:val="nil"/>
              <w:right w:val="nil"/>
              <w:insideH w:val="nil"/>
              <w:insideV w:val="nil"/>
            </w:tcBorders>
            <w:vAlign w:val="center"/>
          </w:tcPr>
          <w:p w14:paraId="2203AD9E">
            <w:pPr>
              <w:spacing w:before="0" w:after="0" w:line="240" w:lineRule="auto"/>
              <w:jc w:val="center"/>
            </w:pPr>
            <m:oMathPara>
              <m:oMathParaPr>
                <m:jc m:val="center"/>
              </m:oMathParaPr>
              <m:oMath>
                <m:r>
                  <m:rPr/>
                  <m:t>ρ</m:t>
                </m:r>
                <m:sSub>
                  <m:sSubPr/>
                  <m:e>
                    <m:r>
                      <m:rPr/>
                      <m:t>c</m:t>
                    </m:r>
                  </m:e>
                  <m:sub>
                    <m:r>
                      <m:rPr/>
                      <m:t>p</m:t>
                    </m:r>
                  </m:sub>
                </m:sSub>
                <m:r>
                  <m:rPr>
                    <m:sty m:val="p"/>
                  </m:rPr>
                  <m:t>(</m:t>
                </m:r>
                <m:r>
                  <m:rPr>
                    <m:sty m:val="b"/>
                  </m:rPr>
                  <m:t>u</m:t>
                </m:r>
                <m:r>
                  <m:rPr>
                    <m:sty m:val="p"/>
                  </m:rPr>
                  <m:t>⋅∇</m:t>
                </m:r>
                <m:r>
                  <m:rPr/>
                  <m:t>T</m:t>
                </m:r>
                <m:r>
                  <m:rPr>
                    <m:sty m:val="p"/>
                  </m:rPr>
                  <m:t>)=∇⋅(</m:t>
                </m:r>
                <m:sSub>
                  <m:sSubPr/>
                  <m:e>
                    <m:r>
                      <m:rPr/>
                      <m:t>k</m:t>
                    </m:r>
                  </m:e>
                  <m:sub>
                    <m:r>
                      <m:rPr/>
                      <m:t>a</m:t>
                    </m:r>
                  </m:sub>
                </m:sSub>
                <m:r>
                  <m:rPr>
                    <m:sty m:val="p"/>
                  </m:rPr>
                  <m:t>∇</m:t>
                </m:r>
                <m:r>
                  <m:rPr/>
                  <m:t>T</m:t>
                </m:r>
                <m:r>
                  <m:rPr>
                    <m:sty m:val="p"/>
                  </m:rPr>
                  <m:t>)</m:t>
                </m:r>
              </m:oMath>
            </m:oMathPara>
          </w:p>
        </w:tc>
        <w:tc>
          <w:tcPr>
            <w:tcW w:w="1061" w:type="dxa"/>
            <w:tcBorders>
              <w:top w:val="nil"/>
              <w:left w:val="nil"/>
              <w:bottom w:val="nil"/>
              <w:right w:val="nil"/>
              <w:insideH w:val="nil"/>
              <w:insideV w:val="nil"/>
            </w:tcBorders>
            <w:vAlign w:val="center"/>
          </w:tcPr>
          <w:p w14:paraId="2153368B">
            <w:pPr>
              <w:ind w:left="0" w:leftChars="0" w:right="0" w:rightChars="0" w:firstLine="0" w:firstLineChars="0"/>
              <w:jc w:val="right"/>
            </w:pPr>
            <w:r>
              <w:rPr>
                <w:rFonts w:hint="default" w:ascii="Times New Roman" w:hAnsi="Times New Roman" w:eastAsia="Times New Roman" w:cs="Times New Roman"/>
                <w:sz w:val="21"/>
                <w:szCs w:val="21"/>
              </w:rPr>
              <w:t>(</w:t>
            </w:r>
            <w:r>
              <w:rPr>
                <w:rFonts w:hint="eastAsia" w:cs="Times New Roman"/>
                <w:sz w:val="21"/>
                <w:szCs w:val="21"/>
                <w:lang w:val="en-US" w:eastAsia="zh-CN"/>
              </w:rPr>
              <w:t>6</w:t>
            </w:r>
            <w:r>
              <w:rPr>
                <w:rFonts w:hint="default" w:ascii="Times New Roman" w:hAnsi="Times New Roman" w:eastAsia="Times New Roman" w:cs="Times New Roman"/>
                <w:sz w:val="21"/>
                <w:szCs w:val="21"/>
              </w:rPr>
              <w:t>)</w:t>
            </w:r>
          </w:p>
        </w:tc>
      </w:tr>
    </w:tbl>
    <w:p w14:paraId="6C040EFF">
      <w:pPr>
        <w:pStyle w:val="32"/>
      </w:pPr>
      <w:r>
        <w:rPr>
          <w:rFonts w:hint="eastAsia"/>
        </w:rPr>
        <w:t>固体翼型管区域只考虑导热和体积生热，其能量方程可写为：</w:t>
      </w:r>
    </w:p>
    <w:tbl>
      <w:tblPr>
        <w:tblStyle w:val="23"/>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217"/>
        <w:gridCol w:w="1061"/>
      </w:tblGrid>
      <w:tr w14:paraId="04DE3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217" w:type="dxa"/>
            <w:tcBorders>
              <w:top w:val="nil"/>
              <w:left w:val="nil"/>
              <w:bottom w:val="nil"/>
              <w:right w:val="nil"/>
              <w:insideH w:val="nil"/>
              <w:insideV w:val="nil"/>
            </w:tcBorders>
            <w:vAlign w:val="center"/>
          </w:tcPr>
          <w:p w14:paraId="69041179">
            <w:pPr>
              <w:spacing w:before="0" w:after="0" w:line="240" w:lineRule="auto"/>
              <w:jc w:val="center"/>
            </w:pPr>
            <m:oMathPara>
              <m:oMathParaPr>
                <m:jc m:val="center"/>
              </m:oMathParaPr>
              <m:oMath>
                <m:r>
                  <m:rPr>
                    <m:sty m:val="p"/>
                  </m:rPr>
                  <m:t>∇⋅(</m:t>
                </m:r>
                <m:sSub>
                  <m:sSubPr/>
                  <m:e>
                    <m:r>
                      <m:rPr/>
                      <m:t>k</m:t>
                    </m:r>
                  </m:e>
                  <m:sub>
                    <m:r>
                      <m:rPr/>
                      <m:t>s</m:t>
                    </m:r>
                  </m:sub>
                </m:sSub>
                <m:r>
                  <m:rPr>
                    <m:sty m:val="p"/>
                  </m:rPr>
                  <m:t>∇</m:t>
                </m:r>
                <m:r>
                  <m:rPr/>
                  <m:t>T</m:t>
                </m:r>
                <m:r>
                  <m:rPr>
                    <m:sty m:val="p"/>
                  </m:rPr>
                  <m:t>)+</m:t>
                </m:r>
                <m:sSub>
                  <m:sSubPr/>
                  <m:e>
                    <m:r>
                      <m:rPr/>
                      <m:t>q</m:t>
                    </m:r>
                  </m:e>
                  <m:sub>
                    <m:r>
                      <m:rPr/>
                      <m:t>v</m:t>
                    </m:r>
                  </m:sub>
                </m:sSub>
                <m:r>
                  <m:rPr>
                    <m:sty m:val="p"/>
                  </m:rPr>
                  <m:t>=</m:t>
                </m:r>
                <m:r>
                  <m:rPr/>
                  <m:t>0</m:t>
                </m:r>
              </m:oMath>
            </m:oMathPara>
          </w:p>
        </w:tc>
        <w:tc>
          <w:tcPr>
            <w:tcW w:w="1061" w:type="dxa"/>
            <w:tcBorders>
              <w:top w:val="nil"/>
              <w:left w:val="nil"/>
              <w:bottom w:val="nil"/>
              <w:right w:val="nil"/>
              <w:insideH w:val="nil"/>
              <w:insideV w:val="nil"/>
            </w:tcBorders>
            <w:vAlign w:val="center"/>
          </w:tcPr>
          <w:p w14:paraId="5DE748FE">
            <w:pPr>
              <w:ind w:left="0" w:leftChars="0" w:right="0" w:rightChars="0" w:firstLine="0" w:firstLineChars="0"/>
              <w:jc w:val="right"/>
            </w:pPr>
            <w:r>
              <w:rPr>
                <w:rFonts w:hint="default" w:ascii="Times New Roman" w:hAnsi="Times New Roman" w:eastAsia="Times New Roman" w:cs="Times New Roman"/>
                <w:sz w:val="21"/>
                <w:szCs w:val="21"/>
              </w:rPr>
              <w:t>(</w:t>
            </w:r>
            <w:r>
              <w:rPr>
                <w:rFonts w:hint="eastAsia" w:cs="Times New Roman"/>
                <w:sz w:val="21"/>
                <w:szCs w:val="21"/>
                <w:lang w:val="en-US" w:eastAsia="zh-CN"/>
              </w:rPr>
              <w:t>7</w:t>
            </w:r>
            <w:r>
              <w:rPr>
                <w:rFonts w:hint="default" w:ascii="Times New Roman" w:hAnsi="Times New Roman" w:eastAsia="Times New Roman" w:cs="Times New Roman"/>
                <w:sz w:val="21"/>
                <w:szCs w:val="21"/>
              </w:rPr>
              <w:t>)</w:t>
            </w:r>
          </w:p>
        </w:tc>
      </w:tr>
    </w:tbl>
    <w:p w14:paraId="018483A1">
      <w:pPr>
        <w:pStyle w:val="32"/>
      </w:pPr>
      <w:r>
        <w:rPr>
          <w:rFonts w:hint="eastAsia"/>
        </w:rPr>
        <w:t>式中，</w:t>
      </w:r>
      <m:oMath>
        <m:r>
          <m:rPr>
            <m:sty m:val="b"/>
          </m:rPr>
          <m:t>u</m:t>
        </m:r>
      </m:oMath>
      <w:r>
        <w:t xml:space="preserve"> </w:t>
      </w:r>
      <w:r>
        <w:rPr>
          <w:rFonts w:hint="eastAsia"/>
        </w:rPr>
        <w:t>为速度矢量，</w:t>
      </w:r>
      <m:oMath>
        <m:r>
          <m:rPr/>
          <m:t>p</m:t>
        </m:r>
      </m:oMath>
      <w:r>
        <w:rPr>
          <w:rFonts w:hint="eastAsia"/>
        </w:rPr>
        <w:t>为压力，</w:t>
      </w:r>
      <m:oMath>
        <m:r>
          <m:rPr/>
          <m:t>T</m:t>
        </m:r>
      </m:oMath>
      <w:r>
        <w:t xml:space="preserve"> </w:t>
      </w:r>
      <w:r>
        <w:rPr>
          <w:rFonts w:hint="eastAsia"/>
        </w:rPr>
        <w:t>为温度，</w:t>
      </w:r>
      <m:oMath>
        <m:r>
          <m:rPr/>
          <m:t>ρ</m:t>
        </m:r>
      </m:oMath>
      <w:r>
        <w:rPr>
          <w:rFonts w:hint="eastAsia"/>
        </w:rPr>
        <w:t>、</w:t>
      </w:r>
      <m:oMath>
        <m:r>
          <m:rPr/>
          <m:t>μ</m:t>
        </m:r>
      </m:oMath>
      <w:r>
        <w:rPr>
          <w:rFonts w:hint="eastAsia"/>
        </w:rPr>
        <w:t>、</w:t>
      </w:r>
      <m:oMath>
        <m:sSub>
          <m:sSubPr/>
          <m:e>
            <m:r>
              <m:rPr/>
              <m:t>c</m:t>
            </m:r>
          </m:e>
          <m:sub>
            <m:r>
              <m:rPr/>
              <m:t>p</m:t>
            </m:r>
          </m:sub>
        </m:sSub>
      </m:oMath>
      <w:r>
        <w:t xml:space="preserve"> </w:t>
      </w:r>
      <w:r>
        <w:rPr>
          <w:rFonts w:hint="eastAsia"/>
        </w:rPr>
        <w:t>和</w:t>
      </w:r>
      <m:oMath>
        <m:sSub>
          <m:sSubPr/>
          <m:e>
            <m:r>
              <m:rPr/>
              <m:t>k</m:t>
            </m:r>
          </m:e>
          <m:sub>
            <m:r>
              <m:rPr/>
              <m:t>a</m:t>
            </m:r>
          </m:sub>
        </m:sSub>
      </m:oMath>
      <w:r>
        <w:rPr>
          <w:rFonts w:hint="eastAsia"/>
        </w:rPr>
        <w:t>分别为空气密度、动力黏度、定压比热容和导热系数，</w:t>
      </w:r>
      <m:oMath>
        <m:sSub>
          <m:sSubPr/>
          <m:e>
            <m:r>
              <m:rPr/>
              <m:t>k</m:t>
            </m:r>
          </m:e>
          <m:sub>
            <m:r>
              <m:rPr/>
              <m:t>s</m:t>
            </m:r>
          </m:sub>
        </m:sSub>
      </m:oMath>
      <w:r>
        <w:t xml:space="preserve"> </w:t>
      </w:r>
      <w:r>
        <w:rPr>
          <w:rFonts w:hint="eastAsia"/>
        </w:rPr>
        <w:t>为翼型管固体导热系数，</w:t>
      </w:r>
      <m:oMath>
        <m:sSub>
          <m:sSubPr/>
          <m:e>
            <m:r>
              <m:rPr/>
              <m:t>q</m:t>
            </m:r>
          </m:e>
          <m:sub>
            <m:r>
              <m:rPr/>
              <m:t>v</m:t>
            </m:r>
          </m:sub>
        </m:sSub>
      </m:oMath>
      <w:r>
        <w:t xml:space="preserve"> </w:t>
      </w:r>
      <w:r>
        <w:rPr>
          <w:rFonts w:hint="eastAsia"/>
        </w:rPr>
        <w:t>为体积生热率。</w:t>
      </w:r>
    </w:p>
    <w:p w14:paraId="280E3666">
      <w:pPr>
        <w:pStyle w:val="3"/>
      </w:pPr>
      <w:r>
        <w:rPr>
          <w:rFonts w:hint="eastAsia"/>
        </w:rPr>
        <w:t>实际计算中，入口设置为速度入口，u_in</w:t>
      </w:r>
      <w:r>
        <w:t xml:space="preserve"> = 5 </w:t>
      </w:r>
      <w:r>
        <w:rPr>
          <w:rFonts w:hint="eastAsia"/>
        </w:rPr>
        <w:t>m/s，T_in</w:t>
      </w:r>
      <w:r>
        <w:t xml:space="preserve"> = 293.15 </w:t>
      </w:r>
      <w:r>
        <w:rPr>
          <w:rFonts w:hint="eastAsia"/>
        </w:rPr>
        <w:t>K；出口设置为压力出口，p_out</w:t>
      </w:r>
      <w:r>
        <w:t xml:space="preserve"> = 0 </w:t>
      </w:r>
      <w:r>
        <w:rPr>
          <w:rFonts w:hint="eastAsia"/>
        </w:rPr>
        <w:t>Pa；流固界面满足无滑移、温度连续和热流连续条件；上下边界采用对称滑移边界。计算域及边界条件如图</w:t>
      </w:r>
      <w:r>
        <w:t xml:space="preserve"> 2 </w:t>
      </w:r>
      <w:r>
        <w:rPr>
          <w:rFonts w:hint="eastAsia"/>
        </w:rPr>
        <w:t>所示。求解过程中，在翼型前缘、尾缘及流固交界面附近进行局部网格加密，并采用稳态分离式算法结合伪时间步进策略提高收敛稳定性；当速度、压力、温度残差及压降、翼型管平均温度等监测量趋于稳定时，判定计算达到稳态收敛。</w:t>
      </w:r>
    </w:p>
    <w:p w14:paraId="364B127D">
      <w:pPr>
        <w:pStyle w:val="3"/>
        <w:rPr>
          <w:lang w:eastAsia="zh-CN"/>
        </w:rPr>
      </w:pP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4209E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000" w:type="pct"/>
          </w:tcPr>
          <w:p w14:paraId="0BFB481B">
            <w:pPr>
              <w:pStyle w:val="3"/>
              <w:widowControl w:val="0"/>
              <w:spacing w:line="240" w:lineRule="auto"/>
              <w:ind w:firstLine="0" w:firstLineChars="0"/>
              <w:jc w:val="both"/>
              <w:rPr>
                <w:rFonts w:hint="eastAsia" w:eastAsia="宋体"/>
                <w:b/>
                <w:bCs/>
                <w:lang w:eastAsia="zh-CN"/>
              </w:rPr>
            </w:pPr>
            <w:r>
              <w:rPr>
                <w:rFonts w:hint="eastAsia" w:eastAsia="宋体"/>
                <w:b/>
                <w:bCs/>
                <w:lang w:eastAsia="zh-CN"/>
              </w:rPr>
              <w:drawing>
                <wp:inline distT="0" distB="0" distL="114300" distR="114300">
                  <wp:extent cx="5349240" cy="1177290"/>
                  <wp:effectExtent l="0" t="0" r="3810" b="3810"/>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349240" cy="1177290"/>
                          </a:xfrm>
                          <a:prstGeom prst="rect">
                            <a:avLst/>
                          </a:prstGeom>
                        </pic:spPr>
                      </pic:pic>
                    </a:graphicData>
                  </a:graphic>
                </wp:inline>
              </w:drawing>
            </w:r>
          </w:p>
        </w:tc>
      </w:tr>
      <w:tr w14:paraId="6A389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27E0E87">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Fig. 2 Computational domain and boundary conditions of the 3×8 airfoil-tube array radiator</w:t>
            </w:r>
          </w:p>
          <w:p w14:paraId="1042B579">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eastAsia" w:eastAsia="宋体"/>
                <w:b/>
                <w:bCs/>
                <w:lang w:eastAsia="zh-CN"/>
              </w:rPr>
            </w:pPr>
            <w:r>
              <w:rPr>
                <w:rFonts w:hint="eastAsia" w:ascii="Times New Roman" w:hAnsi="Times New Roman" w:eastAsia="宋体" w:cs="Times New Roman"/>
                <w:sz w:val="21"/>
                <w:szCs w:val="21"/>
                <w:lang w:eastAsia="zh-CN"/>
              </w:rPr>
              <w:t>图 2 散热器 3×8 翼型管阵列计算域物理模型与边界条件示意图</w:t>
            </w:r>
          </w:p>
        </w:tc>
      </w:tr>
      <w:bookmarkEnd w:id="5"/>
    </w:tbl>
    <w:p w14:paraId="1726BB0D">
      <w:pPr>
        <w:pStyle w:val="5"/>
        <w:ind w:left="480"/>
        <w:rPr>
          <w:lang w:eastAsia="zh-CN"/>
        </w:rPr>
      </w:pPr>
      <w:bookmarkStart w:id="6" w:name="网格无关性与模型验证"/>
      <w:r>
        <w:rPr>
          <w:lang w:eastAsia="zh-CN"/>
        </w:rPr>
        <w:t>2.3 网格无关性与模型验证</w:t>
      </w:r>
    </w:p>
    <w:p w14:paraId="43E2A8AE">
      <w:pPr>
        <w:pStyle w:val="32"/>
        <w:spacing w:before="0" w:after="0"/>
        <w:ind w:firstLine="480"/>
        <w:rPr>
          <w:rFonts w:hint="eastAsia"/>
        </w:rPr>
      </w:pPr>
      <w:r>
        <w:rPr>
          <w:rFonts w:hint="eastAsia"/>
          <w:lang w:val="en-US" w:eastAsia="zh-CN"/>
        </w:rPr>
        <w:t>为</w:t>
      </w:r>
      <w:r>
        <w:rPr>
          <w:rFonts w:hint="eastAsia"/>
        </w:rPr>
        <w:t>保证数值结果不受网格数量影响，以基准结构为对象，对不同网格密度下的翼型管平均温度和流道压降进行网格无关性验证。计算域采用非结构化三角形网格，并在近壁面和尾迹区域局部加密。</w:t>
      </w:r>
    </w:p>
    <w:tbl>
      <w:tblPr>
        <w:tblStyle w:val="24"/>
        <w:tblW w:w="493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1"/>
      </w:tblGrid>
      <w:tr w14:paraId="3A72E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945" w:type="pct"/>
          </w:tcPr>
          <w:p w14:paraId="696DF592">
            <w:pPr>
              <w:pStyle w:val="3"/>
              <w:widowControl w:val="0"/>
              <w:spacing w:line="240" w:lineRule="auto"/>
              <w:ind w:firstLine="0" w:firstLineChars="0"/>
              <w:jc w:val="both"/>
              <w:rPr>
                <w:rFonts w:hint="eastAsia" w:eastAsia="宋体"/>
                <w:lang w:eastAsia="zh-CN"/>
              </w:rPr>
            </w:pPr>
            <w:r>
              <w:rPr>
                <w:rFonts w:hint="eastAsia" w:eastAsia="宋体"/>
                <w:lang w:eastAsia="zh-CN"/>
              </w:rPr>
              <w:drawing>
                <wp:inline distT="0" distB="0" distL="114300" distR="114300">
                  <wp:extent cx="5068570" cy="599440"/>
                  <wp:effectExtent l="0" t="0" r="17780" b="10160"/>
                  <wp:docPr id="1" name="图片 1" descr="网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网格"/>
                          <pic:cNvPicPr>
                            <a:picLocks noChangeAspect="1"/>
                          </pic:cNvPicPr>
                        </pic:nvPicPr>
                        <pic:blipFill>
                          <a:blip r:embed="rId16"/>
                          <a:srcRect l="3862" t="41106" r="1295" b="39769"/>
                          <a:stretch>
                            <a:fillRect/>
                          </a:stretch>
                        </pic:blipFill>
                        <pic:spPr>
                          <a:xfrm>
                            <a:off x="0" y="0"/>
                            <a:ext cx="5068570" cy="599440"/>
                          </a:xfrm>
                          <a:prstGeom prst="rect">
                            <a:avLst/>
                          </a:prstGeom>
                        </pic:spPr>
                      </pic:pic>
                    </a:graphicData>
                  </a:graphic>
                </wp:inline>
              </w:drawing>
            </w:r>
          </w:p>
        </w:tc>
      </w:tr>
      <w:tr w14:paraId="79925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945" w:type="pct"/>
          </w:tcPr>
          <w:p w14:paraId="1AE917AD">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Fig. 3 Overall mesh of the computational domain and local near-wall refinement around airfoil tubes</w:t>
            </w:r>
          </w:p>
          <w:p w14:paraId="64B47250">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lang w:eastAsia="zh-CN"/>
              </w:rPr>
            </w:pPr>
            <w:r>
              <w:rPr>
                <w:rFonts w:hint="eastAsia" w:ascii="Times New Roman" w:hAnsi="Times New Roman" w:eastAsia="宋体" w:cs="Times New Roman"/>
                <w:sz w:val="21"/>
                <w:szCs w:val="21"/>
                <w:lang w:eastAsia="zh-CN"/>
              </w:rPr>
              <w:t>图</w:t>
            </w:r>
            <w:r>
              <w:rPr>
                <w:rFonts w:hint="default" w:ascii="Times New Roman" w:hAnsi="Times New Roman" w:eastAsia="宋体" w:cs="Times New Roman"/>
                <w:sz w:val="21"/>
                <w:szCs w:val="21"/>
                <w:lang w:eastAsia="zh-CN"/>
              </w:rPr>
              <w:t xml:space="preserve"> 3 </w:t>
            </w:r>
            <w:r>
              <w:rPr>
                <w:rFonts w:hint="eastAsia" w:ascii="Times New Roman" w:hAnsi="Times New Roman" w:eastAsia="宋体" w:cs="Times New Roman"/>
                <w:sz w:val="21"/>
                <w:szCs w:val="21"/>
                <w:lang w:eastAsia="zh-CN"/>
              </w:rPr>
              <w:t>计算域整体网格划分及翼型近壁面局部加密图</w:t>
            </w:r>
          </w:p>
        </w:tc>
      </w:tr>
    </w:tbl>
    <w:p w14:paraId="49E4D087">
      <w:pPr>
        <w:pStyle w:val="3"/>
        <w:spacing w:before="120" w:after="120" w:line="240" w:lineRule="auto"/>
        <w:ind w:firstLineChars="0"/>
        <w:jc w:val="center"/>
        <w:rPr>
          <w:sz w:val="21"/>
        </w:rPr>
      </w:pPr>
    </w:p>
    <w:p w14:paraId="48DF4E20">
      <w:pPr>
        <w:pStyle w:val="3"/>
        <w:spacing w:before="120" w:after="120" w:line="240" w:lineRule="auto"/>
        <w:ind w:firstLineChars="0"/>
        <w:jc w:val="center"/>
        <w:rPr>
          <w:lang w:eastAsia="zh-CN"/>
        </w:rPr>
      </w:pPr>
      <w:r>
        <w:rPr>
          <w:sz w:val="21"/>
        </w:rPr>
        <w:t>表3　网格无关性验证</w:t>
      </w:r>
    </w:p>
    <w:tbl>
      <w:tblPr>
        <w:tblStyle w:val="23"/>
        <w:tblW w:w="8521"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707"/>
        <w:gridCol w:w="1237"/>
        <w:gridCol w:w="2559"/>
        <w:gridCol w:w="1142"/>
        <w:gridCol w:w="1876"/>
      </w:tblGrid>
      <w:tr w14:paraId="762FD0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554FE37">
            <w:pPr>
              <w:keepNext/>
              <w:snapToGrid w:val="0"/>
              <w:spacing w:line="240" w:lineRule="auto"/>
              <w:ind w:left="0" w:leftChars="0" w:right="0" w:rightChars="0" w:firstLine="0" w:firstLineChars="0"/>
              <w:jc w:val="center"/>
              <w:rPr>
                <w:rFonts w:ascii="Times New Roman" w:eastAsia="宋体"/>
                <w:b/>
                <w:sz w:val="21"/>
              </w:rPr>
            </w:pPr>
            <w:r>
              <w:rPr>
                <w:rFonts w:ascii="Times New Roman" w:eastAsia="宋体"/>
                <w:b/>
                <w:bCs/>
                <w:sz w:val="21"/>
                <w:szCs w:val="21"/>
              </w:rPr>
              <w:t>网格方案</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31B17D8">
            <w:pPr>
              <w:keepNext/>
              <w:snapToGrid w:val="0"/>
              <w:spacing w:line="240" w:lineRule="auto"/>
              <w:ind w:left="0" w:leftChars="0" w:right="0" w:rightChars="0" w:firstLine="0" w:firstLineChars="0"/>
              <w:jc w:val="center"/>
              <w:rPr>
                <w:rFonts w:ascii="Times New Roman" w:eastAsia="宋体"/>
                <w:b/>
                <w:sz w:val="21"/>
              </w:rPr>
            </w:pPr>
            <w:r>
              <w:rPr>
                <w:rFonts w:hint="eastAsia" w:ascii="Times New Roman" w:eastAsia="宋体"/>
                <w:b/>
                <w:bCs/>
                <w:sz w:val="21"/>
                <w:szCs w:val="21"/>
                <w:lang w:eastAsia="zh-CN"/>
              </w:rPr>
              <w:t>网格</w:t>
            </w:r>
            <w:r>
              <w:rPr>
                <w:rFonts w:ascii="Times New Roman" w:eastAsia="宋体"/>
                <w:b/>
                <w:bCs/>
                <w:sz w:val="21"/>
                <w:szCs w:val="21"/>
              </w:rPr>
              <w:t>总数</w:t>
            </w:r>
            <w:r>
              <w:rPr>
                <w:rFonts w:hint="eastAsia"/>
                <w:b/>
                <w:bCs/>
                <w:sz w:val="21"/>
                <w:szCs w:val="21"/>
                <w:lang w:val="en-US" w:eastAsia="zh-CN"/>
              </w:rPr>
              <w:t>/</w:t>
            </w:r>
            <w:r>
              <w:rPr>
                <w:rFonts w:ascii="Times New Roman" w:eastAsia="宋体"/>
                <w:b/>
                <w:bCs/>
                <w:sz w:val="21"/>
                <w:szCs w:val="21"/>
              </w:rPr>
              <w:t>个</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4B87C4C">
            <w:pPr>
              <w:keepNext/>
              <w:snapToGrid w:val="0"/>
              <w:spacing w:line="240" w:lineRule="auto"/>
              <w:ind w:left="0" w:leftChars="0" w:right="0" w:rightChars="0" w:firstLine="0" w:firstLineChars="0"/>
              <w:jc w:val="center"/>
              <w:rPr>
                <w:rFonts w:ascii="Times New Roman" w:eastAsia="宋体"/>
                <w:b/>
                <w:sz w:val="21"/>
              </w:rPr>
            </w:pPr>
            <w:r>
              <w:rPr>
                <w:rFonts w:ascii="Times New Roman" w:eastAsia="宋体"/>
                <w:b/>
                <w:bCs/>
                <w:sz w:val="21"/>
                <w:szCs w:val="21"/>
              </w:rPr>
              <w:t>翼型管平均温度Tavg/K</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2AA8F44C">
            <w:pPr>
              <w:keepNext/>
              <w:snapToGrid w:val="0"/>
              <w:spacing w:line="240" w:lineRule="auto"/>
              <w:ind w:left="0" w:leftChars="0" w:right="0" w:rightChars="0" w:firstLine="0" w:firstLineChars="0"/>
              <w:jc w:val="center"/>
              <w:rPr>
                <w:rFonts w:ascii="Times New Roman" w:eastAsia="宋体"/>
                <w:b/>
                <w:sz w:val="21"/>
              </w:rPr>
            </w:pPr>
            <w:r>
              <w:rPr>
                <w:rFonts w:ascii="Times New Roman" w:eastAsia="宋体"/>
                <w:b/>
                <w:bCs/>
                <w:sz w:val="21"/>
                <w:szCs w:val="21"/>
              </w:rPr>
              <w:t>压降ΔP/Pa</w:t>
            </w:r>
          </w:p>
        </w:tc>
        <w:tc>
          <w:tcPr>
            <w:tcW w:w="1876" w:type="dxa"/>
            <w:tcBorders>
              <w:top w:val="single" w:color="000000" w:sz="12" w:space="0"/>
              <w:left w:val="nil"/>
              <w:bottom w:val="nil"/>
              <w:right w:val="nil"/>
            </w:tcBorders>
            <w:noWrap w:val="0"/>
            <w:tcMar>
              <w:top w:w="-1" w:type="dxa"/>
              <w:left w:w="-1" w:type="dxa"/>
              <w:bottom w:w="-1" w:type="dxa"/>
              <w:right w:w="-1" w:type="dxa"/>
            </w:tcMar>
            <w:vAlign w:val="center"/>
          </w:tcPr>
          <w:p w14:paraId="5E4AD011">
            <w:pPr>
              <w:keepNext/>
              <w:snapToGrid w:val="0"/>
              <w:spacing w:line="240" w:lineRule="auto"/>
              <w:ind w:left="0" w:leftChars="0" w:right="0" w:rightChars="0" w:firstLine="0" w:firstLineChars="0"/>
              <w:jc w:val="center"/>
              <w:rPr>
                <w:rFonts w:ascii="Times New Roman" w:eastAsia="宋体"/>
                <w:b/>
                <w:sz w:val="21"/>
              </w:rPr>
            </w:pPr>
            <w:r>
              <w:rPr>
                <w:rFonts w:ascii="Times New Roman" w:eastAsia="宋体"/>
                <w:b/>
                <w:bCs/>
                <w:sz w:val="21"/>
                <w:szCs w:val="21"/>
              </w:rPr>
              <w:t>Tavg相对误差/%</w:t>
            </w:r>
          </w:p>
        </w:tc>
      </w:tr>
      <w:tr w14:paraId="152D16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DE17D3">
            <w:pPr>
              <w:keepNext/>
              <w:snapToGrid w:val="0"/>
              <w:spacing w:line="240" w:lineRule="auto"/>
              <w:ind w:left="0" w:leftChars="0" w:right="0" w:rightChars="0" w:firstLine="0" w:firstLineChars="0"/>
              <w:jc w:val="center"/>
              <w:rPr>
                <w:rFonts w:ascii="Times New Roman" w:eastAsia="宋体"/>
                <w:sz w:val="21"/>
              </w:rPr>
            </w:pPr>
            <w:r>
              <w:rPr>
                <w:rFonts w:ascii="Times New Roman" w:eastAsia="宋体"/>
                <w:sz w:val="21"/>
                <w:szCs w:val="21"/>
              </w:rPr>
              <w:t>方案 A（粗糙）</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959218">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21,450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3F71C7">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329.05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3EF2B">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0.612</w:t>
            </w:r>
          </w:p>
        </w:tc>
        <w:tc>
          <w:tcPr>
            <w:tcW w:w="1876" w:type="dxa"/>
            <w:tcBorders>
              <w:top w:val="single" w:color="auto" w:sz="4" w:space="0"/>
              <w:left w:val="nil"/>
              <w:bottom w:val="nil"/>
              <w:right w:val="nil"/>
            </w:tcBorders>
            <w:noWrap w:val="0"/>
            <w:tcMar>
              <w:top w:w="-1" w:type="dxa"/>
              <w:left w:w="-1" w:type="dxa"/>
              <w:bottom w:w="-1" w:type="dxa"/>
              <w:right w:w="-1" w:type="dxa"/>
            </w:tcMar>
            <w:vAlign w:val="center"/>
          </w:tcPr>
          <w:p w14:paraId="71DF1804">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w:t>
            </w:r>
          </w:p>
        </w:tc>
      </w:tr>
      <w:tr w14:paraId="452489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43911DC">
            <w:pPr>
              <w:keepNext/>
              <w:snapToGrid w:val="0"/>
              <w:spacing w:line="240" w:lineRule="auto"/>
              <w:ind w:left="0" w:leftChars="0" w:right="0" w:rightChars="0" w:firstLine="0" w:firstLineChars="0"/>
              <w:jc w:val="center"/>
              <w:rPr>
                <w:rFonts w:ascii="Times New Roman" w:eastAsia="宋体"/>
                <w:sz w:val="21"/>
              </w:rPr>
            </w:pPr>
            <w:r>
              <w:rPr>
                <w:rFonts w:ascii="Times New Roman" w:eastAsia="宋体"/>
                <w:sz w:val="21"/>
                <w:szCs w:val="21"/>
              </w:rPr>
              <w:t>方案 B（常规）</w:t>
            </w:r>
          </w:p>
        </w:tc>
        <w:tc>
          <w:tcPr>
            <w:tcW w:w="0" w:type="auto"/>
            <w:tcBorders>
              <w:top w:val="nil"/>
              <w:left w:val="nil"/>
              <w:bottom w:val="nil"/>
              <w:right w:val="nil"/>
            </w:tcBorders>
            <w:noWrap w:val="0"/>
            <w:tcMar>
              <w:top w:w="-1" w:type="dxa"/>
              <w:left w:w="-1" w:type="dxa"/>
              <w:bottom w:w="-1" w:type="dxa"/>
              <w:right w:w="-1" w:type="dxa"/>
            </w:tcMar>
            <w:vAlign w:val="center"/>
          </w:tcPr>
          <w:p w14:paraId="12504DA8">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48,200</w:t>
            </w:r>
          </w:p>
        </w:tc>
        <w:tc>
          <w:tcPr>
            <w:tcW w:w="0" w:type="auto"/>
            <w:tcBorders>
              <w:top w:val="nil"/>
              <w:left w:val="nil"/>
              <w:bottom w:val="nil"/>
              <w:right w:val="nil"/>
            </w:tcBorders>
            <w:noWrap w:val="0"/>
            <w:tcMar>
              <w:top w:w="-1" w:type="dxa"/>
              <w:left w:w="-1" w:type="dxa"/>
              <w:bottom w:w="-1" w:type="dxa"/>
              <w:right w:w="-1" w:type="dxa"/>
            </w:tcMar>
            <w:vAlign w:val="center"/>
          </w:tcPr>
          <w:p w14:paraId="592A7B54">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329.82</w:t>
            </w:r>
          </w:p>
        </w:tc>
        <w:tc>
          <w:tcPr>
            <w:tcW w:w="0" w:type="auto"/>
            <w:tcBorders>
              <w:top w:val="nil"/>
              <w:left w:val="nil"/>
              <w:bottom w:val="nil"/>
              <w:right w:val="nil"/>
            </w:tcBorders>
            <w:noWrap w:val="0"/>
            <w:tcMar>
              <w:top w:w="-1" w:type="dxa"/>
              <w:left w:w="-1" w:type="dxa"/>
              <w:bottom w:w="-1" w:type="dxa"/>
              <w:right w:w="-1" w:type="dxa"/>
            </w:tcMar>
            <w:vAlign w:val="center"/>
          </w:tcPr>
          <w:p w14:paraId="2DDF0C2F">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0.626</w:t>
            </w:r>
          </w:p>
        </w:tc>
        <w:tc>
          <w:tcPr>
            <w:tcW w:w="1876" w:type="dxa"/>
            <w:tcBorders>
              <w:top w:val="nil"/>
              <w:left w:val="nil"/>
              <w:bottom w:val="nil"/>
              <w:right w:val="nil"/>
            </w:tcBorders>
            <w:noWrap w:val="0"/>
            <w:tcMar>
              <w:top w:w="-1" w:type="dxa"/>
              <w:left w:w="-1" w:type="dxa"/>
              <w:bottom w:w="-1" w:type="dxa"/>
              <w:right w:w="-1" w:type="dxa"/>
            </w:tcMar>
            <w:vAlign w:val="center"/>
          </w:tcPr>
          <w:p w14:paraId="538630D7">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0.23</w:t>
            </w:r>
          </w:p>
        </w:tc>
      </w:tr>
      <w:tr w14:paraId="1D5C1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0082FE">
            <w:pPr>
              <w:keepNext/>
              <w:snapToGrid w:val="0"/>
              <w:spacing w:line="240" w:lineRule="auto"/>
              <w:ind w:left="0" w:leftChars="0" w:right="0" w:rightChars="0" w:firstLine="0" w:firstLineChars="0"/>
              <w:jc w:val="center"/>
              <w:rPr>
                <w:rFonts w:ascii="Times New Roman" w:eastAsia="宋体"/>
                <w:sz w:val="21"/>
              </w:rPr>
            </w:pPr>
            <w:r>
              <w:rPr>
                <w:rFonts w:ascii="Times New Roman" w:eastAsia="宋体"/>
                <w:sz w:val="21"/>
                <w:szCs w:val="21"/>
              </w:rPr>
              <w:t>方案 C（较细）</w:t>
            </w:r>
          </w:p>
        </w:tc>
        <w:tc>
          <w:tcPr>
            <w:tcW w:w="0" w:type="auto"/>
            <w:tcBorders>
              <w:top w:val="nil"/>
              <w:left w:val="nil"/>
              <w:bottom w:val="nil"/>
              <w:right w:val="nil"/>
            </w:tcBorders>
            <w:noWrap w:val="0"/>
            <w:tcMar>
              <w:top w:w="-1" w:type="dxa"/>
              <w:left w:w="-1" w:type="dxa"/>
              <w:bottom w:w="-1" w:type="dxa"/>
              <w:right w:w="-1" w:type="dxa"/>
            </w:tcMar>
            <w:vAlign w:val="center"/>
          </w:tcPr>
          <w:p w14:paraId="1C2AF1E0">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85,600</w:t>
            </w:r>
          </w:p>
        </w:tc>
        <w:tc>
          <w:tcPr>
            <w:tcW w:w="0" w:type="auto"/>
            <w:tcBorders>
              <w:top w:val="nil"/>
              <w:left w:val="nil"/>
              <w:bottom w:val="nil"/>
              <w:right w:val="nil"/>
            </w:tcBorders>
            <w:noWrap w:val="0"/>
            <w:tcMar>
              <w:top w:w="-1" w:type="dxa"/>
              <w:left w:w="-1" w:type="dxa"/>
              <w:bottom w:w="-1" w:type="dxa"/>
              <w:right w:w="-1" w:type="dxa"/>
            </w:tcMar>
            <w:vAlign w:val="center"/>
          </w:tcPr>
          <w:p w14:paraId="37DAC101">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330.15</w:t>
            </w:r>
          </w:p>
        </w:tc>
        <w:tc>
          <w:tcPr>
            <w:tcW w:w="0" w:type="auto"/>
            <w:tcBorders>
              <w:top w:val="nil"/>
              <w:left w:val="nil"/>
              <w:bottom w:val="nil"/>
              <w:right w:val="nil"/>
            </w:tcBorders>
            <w:noWrap w:val="0"/>
            <w:tcMar>
              <w:top w:w="-1" w:type="dxa"/>
              <w:left w:w="-1" w:type="dxa"/>
              <w:bottom w:w="-1" w:type="dxa"/>
              <w:right w:w="-1" w:type="dxa"/>
            </w:tcMar>
            <w:vAlign w:val="center"/>
          </w:tcPr>
          <w:p w14:paraId="3D2276B3">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0.631</w:t>
            </w:r>
          </w:p>
        </w:tc>
        <w:tc>
          <w:tcPr>
            <w:tcW w:w="1876" w:type="dxa"/>
            <w:tcBorders>
              <w:top w:val="nil"/>
              <w:left w:val="nil"/>
              <w:bottom w:val="nil"/>
              <w:right w:val="nil"/>
            </w:tcBorders>
            <w:noWrap w:val="0"/>
            <w:tcMar>
              <w:top w:w="-1" w:type="dxa"/>
              <w:left w:w="-1" w:type="dxa"/>
              <w:bottom w:w="-1" w:type="dxa"/>
              <w:right w:w="-1" w:type="dxa"/>
            </w:tcMar>
            <w:vAlign w:val="center"/>
          </w:tcPr>
          <w:p w14:paraId="23C45158">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0.10</w:t>
            </w:r>
          </w:p>
        </w:tc>
      </w:tr>
      <w:tr w14:paraId="36AFE3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707" w:type="dxa"/>
            <w:tcBorders>
              <w:top w:val="nil"/>
              <w:left w:val="nil"/>
              <w:bottom w:val="single" w:color="000000" w:sz="12" w:space="0"/>
              <w:right w:val="nil"/>
            </w:tcBorders>
            <w:noWrap w:val="0"/>
            <w:tcMar>
              <w:top w:w="-1" w:type="dxa"/>
              <w:left w:w="-1" w:type="dxa"/>
              <w:bottom w:w="-1" w:type="dxa"/>
              <w:right w:w="-1" w:type="dxa"/>
            </w:tcMar>
            <w:vAlign w:val="center"/>
          </w:tcPr>
          <w:p w14:paraId="27120DE2">
            <w:pPr>
              <w:keepNext/>
              <w:snapToGrid w:val="0"/>
              <w:spacing w:line="240" w:lineRule="auto"/>
              <w:ind w:left="0" w:leftChars="0" w:right="0" w:rightChars="0" w:firstLine="0" w:firstLineChars="0"/>
              <w:jc w:val="center"/>
              <w:rPr>
                <w:rFonts w:ascii="Times New Roman" w:eastAsia="宋体"/>
                <w:sz w:val="21"/>
              </w:rPr>
            </w:pPr>
            <w:r>
              <w:rPr>
                <w:rFonts w:ascii="Times New Roman" w:eastAsia="宋体"/>
                <w:sz w:val="21"/>
                <w:szCs w:val="21"/>
              </w:rPr>
              <w:t>方案 D（超细）</w:t>
            </w:r>
          </w:p>
        </w:tc>
        <w:tc>
          <w:tcPr>
            <w:tcW w:w="1237" w:type="dxa"/>
            <w:tcBorders>
              <w:top w:val="nil"/>
              <w:left w:val="nil"/>
              <w:bottom w:val="single" w:color="000000" w:sz="12" w:space="0"/>
              <w:right w:val="nil"/>
            </w:tcBorders>
            <w:noWrap w:val="0"/>
            <w:tcMar>
              <w:top w:w="-1" w:type="dxa"/>
              <w:left w:w="-1" w:type="dxa"/>
              <w:bottom w:w="-1" w:type="dxa"/>
              <w:right w:w="-1" w:type="dxa"/>
            </w:tcMar>
            <w:vAlign w:val="center"/>
          </w:tcPr>
          <w:p w14:paraId="6A80146E">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152,000</w:t>
            </w:r>
          </w:p>
        </w:tc>
        <w:tc>
          <w:tcPr>
            <w:tcW w:w="2559" w:type="dxa"/>
            <w:tcBorders>
              <w:top w:val="nil"/>
              <w:left w:val="nil"/>
              <w:bottom w:val="single" w:color="000000" w:sz="12" w:space="0"/>
              <w:right w:val="nil"/>
            </w:tcBorders>
            <w:noWrap w:val="0"/>
            <w:tcMar>
              <w:top w:w="-1" w:type="dxa"/>
              <w:left w:w="-1" w:type="dxa"/>
              <w:bottom w:w="-1" w:type="dxa"/>
              <w:right w:w="-1" w:type="dxa"/>
            </w:tcMar>
            <w:vAlign w:val="center"/>
          </w:tcPr>
          <w:p w14:paraId="3990D96C">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330.18</w:t>
            </w:r>
          </w:p>
        </w:tc>
        <w:tc>
          <w:tcPr>
            <w:tcW w:w="1142" w:type="dxa"/>
            <w:tcBorders>
              <w:top w:val="nil"/>
              <w:left w:val="nil"/>
              <w:bottom w:val="single" w:color="000000" w:sz="12" w:space="0"/>
              <w:right w:val="nil"/>
            </w:tcBorders>
            <w:noWrap w:val="0"/>
            <w:tcMar>
              <w:top w:w="-1" w:type="dxa"/>
              <w:left w:w="-1" w:type="dxa"/>
              <w:bottom w:w="-1" w:type="dxa"/>
              <w:right w:w="-1" w:type="dxa"/>
            </w:tcMar>
            <w:vAlign w:val="center"/>
          </w:tcPr>
          <w:p w14:paraId="4A9793BE">
            <w:pPr>
              <w:keepNext/>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0.632</w:t>
            </w:r>
          </w:p>
        </w:tc>
        <w:tc>
          <w:tcPr>
            <w:tcW w:w="1876" w:type="dxa"/>
            <w:tcBorders>
              <w:top w:val="nil"/>
              <w:left w:val="nil"/>
              <w:bottom w:val="single" w:color="000000" w:sz="12" w:space="0"/>
              <w:right w:val="nil"/>
            </w:tcBorders>
            <w:noWrap w:val="0"/>
            <w:tcMar>
              <w:top w:w="-1" w:type="dxa"/>
              <w:left w:w="-1" w:type="dxa"/>
              <w:bottom w:w="-1" w:type="dxa"/>
              <w:right w:w="-1" w:type="dxa"/>
            </w:tcMar>
            <w:vAlign w:val="center"/>
          </w:tcPr>
          <w:p w14:paraId="48837658">
            <w:pPr>
              <w:keepNext/>
              <w:snapToGrid w:val="0"/>
              <w:spacing w:before="0" w:after="0" w:line="240" w:lineRule="auto"/>
              <w:ind w:left="0" w:leftChars="0" w:right="0" w:rightChars="0" w:firstLine="0" w:firstLineChars="0"/>
              <w:jc w:val="right"/>
              <w:rPr>
                <w:rFonts w:ascii="Times New Roman" w:eastAsia="宋体"/>
                <w:sz w:val="21"/>
              </w:rPr>
            </w:pPr>
            <w:r>
              <w:rPr>
                <w:rFonts w:hint="default" w:ascii="Times New Roman" w:hAnsi="Times New Roman" w:eastAsia="宋体" w:cs="Times New Roman"/>
                <w:sz w:val="21"/>
                <w:szCs w:val="21"/>
              </w:rPr>
              <w:t>0.01</w:t>
            </w:r>
          </w:p>
        </w:tc>
      </w:tr>
    </w:tbl>
    <w:p w14:paraId="337D4814">
      <w:pPr>
        <w:pStyle w:val="3"/>
        <w:spacing w:before="0" w:after="0"/>
        <w:ind w:firstLine="480"/>
        <w:rPr>
          <w:lang w:eastAsia="zh-CN"/>
        </w:rPr>
      </w:pPr>
      <w:r>
        <w:rPr>
          <w:lang w:eastAsia="zh-CN"/>
        </w:rPr>
        <w:t>由表 3 可知，当网格总数由 85,600 增至 152,000 时，</w:t>
      </w:r>
      <w:r>
        <w:rPr>
          <w:rFonts w:hint="eastAsia"/>
          <w:lang w:eastAsia="zh-CN"/>
        </w:rPr>
        <w:t>翼型管平均温度相对变化仅为 0.01%，压降也基本稳定</w:t>
      </w:r>
      <w:r>
        <w:rPr>
          <w:lang w:eastAsia="zh-CN"/>
        </w:rPr>
        <w:t>。因此，后续模拟采用方案 C 的网格配置。基准工况与已有文献结果对比表明，Nu 和 f 最大相对误差均控制在 6% 以内，说明所建数值模型能够满足后续参数分析和数据集生成需求。</w:t>
      </w:r>
    </w:p>
    <w:bookmarkEnd w:id="6"/>
    <w:p w14:paraId="6843048D">
      <w:pPr>
        <w:pStyle w:val="5"/>
        <w:ind w:left="480"/>
        <w:rPr>
          <w:lang w:eastAsia="zh-CN"/>
        </w:rPr>
      </w:pPr>
      <w:bookmarkStart w:id="7" w:name="性能评价指标"/>
      <w:r>
        <w:rPr>
          <w:lang w:eastAsia="zh-CN"/>
        </w:rPr>
        <w:t>2.4 性能评价指标</w:t>
      </w:r>
    </w:p>
    <w:p w14:paraId="6E127487">
      <w:pPr>
        <w:pStyle w:val="32"/>
        <w:spacing w:before="0" w:after="0"/>
        <w:ind w:firstLine="480"/>
      </w:pPr>
      <w:r>
        <w:rPr>
          <w:lang w:eastAsia="zh-CN"/>
        </w:rPr>
        <w:t>采用全局努塞尔数 Nu 和阻力因子 f 评价散热器换热与流阻性能。</w:t>
      </w:r>
      <w:r>
        <w:t>阻力因子定义为：</w:t>
      </w:r>
    </w:p>
    <w:tbl>
      <w:tblPr>
        <w:tblStyle w:val="23"/>
        <w:tblW w:w="8278" w:type="dxa"/>
        <w:jc w:val="center"/>
        <w:tblLayout w:type="fixed"/>
        <w:tblCellMar>
          <w:top w:w="0" w:type="dxa"/>
          <w:left w:w="10" w:type="dxa"/>
          <w:bottom w:w="0" w:type="dxa"/>
          <w:right w:w="10" w:type="dxa"/>
        </w:tblCellMar>
      </w:tblPr>
      <w:tblGrid>
        <w:gridCol w:w="7217"/>
        <w:gridCol w:w="1061"/>
      </w:tblGrid>
      <w:tr w14:paraId="1E43A596">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550D610B">
            <w:pPr>
              <w:spacing w:line="240" w:lineRule="auto"/>
              <w:ind w:firstLine="480"/>
              <w:jc w:val="center"/>
              <w:rPr>
                <w:rFonts w:hAnsi="Cambria Math"/>
              </w:rPr>
            </w:pPr>
            <m:oMathPara>
              <m:oMath>
                <m:r>
                  <m:rPr/>
                  <w:rPr>
                    <w:rFonts w:ascii="Cambria Math" w:hAnsi="Cambria Math"/>
                  </w:rPr>
                  <m:t>f=</m:t>
                </m:r>
                <m:f>
                  <m:fPr>
                    <m:ctrlPr>
                      <w:rPr>
                        <w:rFonts w:ascii="Cambria Math" w:hAnsi="Cambria Math"/>
                      </w:rPr>
                    </m:ctrlPr>
                  </m:fPr>
                  <m:num>
                    <m:r>
                      <m:rPr/>
                      <w:rPr>
                        <w:rFonts w:ascii="Cambria Math" w:hAnsi="Cambria Math"/>
                      </w:rPr>
                      <m:t>2ΔP</m:t>
                    </m:r>
                    <m:ctrlPr>
                      <w:rPr>
                        <w:rFonts w:ascii="Cambria Math" w:hAnsi="Cambria Math"/>
                      </w:rPr>
                    </m:ctrlPr>
                  </m:num>
                  <m:den>
                    <m:r>
                      <m:rPr/>
                      <w:rPr>
                        <w:rFonts w:ascii="Cambria Math" w:hAnsi="Cambria Math"/>
                      </w:rPr>
                      <m:t>ρ</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in</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out</m:t>
                        </m:r>
                        <m:ctrlPr>
                          <w:rPr>
                            <w:rFonts w:ascii="Cambria Math" w:hAnsi="Cambria Math"/>
                          </w:rPr>
                        </m:ctrlPr>
                      </m:sub>
                    </m:sSub>
                    <m:r>
                      <m:rPr/>
                      <w:rPr>
                        <w:rFonts w:ascii="Cambria Math" w:hAnsi="Cambria Math"/>
                      </w:rPr>
                      <m:t>)</m:t>
                    </m:r>
                    <m:ctrlPr>
                      <w:rPr>
                        <w:rFonts w:ascii="Cambria Math" w:hAnsi="Cambria Math"/>
                      </w:rPr>
                    </m:ctrlPr>
                  </m:num>
                  <m:den>
                    <m:r>
                      <m:rPr/>
                      <w:rPr>
                        <w:rFonts w:ascii="Cambria Math" w:hAnsi="Cambria Math"/>
                      </w:rPr>
                      <m:t>ρ</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in</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oMath>
            </m:oMathPara>
          </w:p>
        </w:tc>
        <w:tc>
          <w:tcPr>
            <w:tcW w:w="1061" w:type="dxa"/>
            <w:tcBorders>
              <w:top w:val="nil"/>
              <w:left w:val="nil"/>
              <w:bottom w:val="nil"/>
              <w:right w:val="nil"/>
            </w:tcBorders>
            <w:vAlign w:val="center"/>
          </w:tcPr>
          <w:p w14:paraId="7D50C287">
            <w:pPr>
              <w:ind w:firstLine="0" w:firstLineChars="0"/>
              <w:jc w:val="right"/>
            </w:pPr>
            <w:r>
              <w:rPr>
                <w:rFonts w:eastAsia="Times New Roman"/>
                <w:sz w:val="21"/>
                <w:szCs w:val="21"/>
              </w:rPr>
              <w:t>(</w:t>
            </w:r>
            <w:r>
              <w:rPr>
                <w:rFonts w:hint="eastAsia"/>
                <w:sz w:val="21"/>
                <w:szCs w:val="21"/>
                <w:lang w:val="en-US" w:eastAsia="zh-CN"/>
              </w:rPr>
              <w:t>8</w:t>
            </w:r>
            <w:r>
              <w:rPr>
                <w:rFonts w:eastAsia="Times New Roman"/>
                <w:sz w:val="21"/>
                <w:szCs w:val="21"/>
              </w:rPr>
              <w:t>)</w:t>
            </w:r>
          </w:p>
        </w:tc>
      </w:tr>
    </w:tbl>
    <w:p w14:paraId="24343EBD">
      <w:pPr>
        <w:pStyle w:val="3"/>
        <w:ind w:firstLine="480"/>
        <w:jc w:val="center"/>
        <w:rPr>
          <w:lang w:eastAsia="zh-CN"/>
        </w:rPr>
      </w:pPr>
      <w:r>
        <w:rPr>
          <w:rFonts w:hint="eastAsia"/>
          <w:lang w:eastAsia="zh-CN"/>
        </w:rPr>
        <w:t>式中，p_in</w:t>
      </w:r>
      <w:r>
        <w:rPr>
          <w:lang w:eastAsia="zh-CN"/>
        </w:rPr>
        <w:t xml:space="preserve"> </w:t>
      </w:r>
      <w:r>
        <w:rPr>
          <w:rFonts w:hint="eastAsia"/>
          <w:lang w:eastAsia="zh-CN"/>
        </w:rPr>
        <w:t>和</w:t>
      </w:r>
      <w:r>
        <w:rPr>
          <w:lang w:eastAsia="zh-CN"/>
        </w:rPr>
        <w:t xml:space="preserve"> p_out </w:t>
      </w:r>
      <w:r>
        <w:rPr>
          <w:rFonts w:hint="eastAsia"/>
          <w:lang w:eastAsia="zh-CN"/>
        </w:rPr>
        <w:t>分别为进、出口平均静压，</w:t>
      </w:r>
      <w:r>
        <w:rPr>
          <w:rFonts w:hint="eastAsia"/>
        </w:rPr>
        <w:t>Δ</w:t>
      </w:r>
      <w:r>
        <w:rPr>
          <w:rFonts w:hint="eastAsia"/>
          <w:lang w:eastAsia="zh-CN"/>
        </w:rPr>
        <w:t>P</w:t>
      </w:r>
      <w:r>
        <w:rPr>
          <w:lang w:eastAsia="zh-CN"/>
        </w:rPr>
        <w:t xml:space="preserve"> </w:t>
      </w:r>
      <w:r>
        <w:rPr>
          <w:rFonts w:hint="eastAsia"/>
          <w:lang w:eastAsia="zh-CN"/>
        </w:rPr>
        <w:t>为进出口压降，u_in</w:t>
      </w:r>
      <w:r>
        <w:rPr>
          <w:lang w:eastAsia="zh-CN"/>
        </w:rPr>
        <w:t xml:space="preserve"> </w:t>
      </w:r>
      <w:r>
        <w:rPr>
          <w:rFonts w:hint="eastAsia"/>
          <w:lang w:eastAsia="zh-CN"/>
        </w:rPr>
        <w:t>为入口平均速度。定义特征温差</w:t>
      </w:r>
      <w:r>
        <w:rPr>
          <w:lang w:eastAsia="zh-CN"/>
        </w:rPr>
        <w:t xml:space="preserve"> </w:t>
      </w:r>
      <w:r>
        <w:t>Δ</w:t>
      </w:r>
      <w:r>
        <w:rPr>
          <w:lang w:eastAsia="zh-CN"/>
        </w:rPr>
        <w:t xml:space="preserve">T </w:t>
      </w:r>
      <w:r>
        <w:rPr>
          <w:rFonts w:hint="eastAsia"/>
          <w:lang w:eastAsia="zh-CN"/>
        </w:rPr>
        <w:t>为固体域全局平均温度与入口空气温度之差：</w:t>
      </w:r>
    </w:p>
    <w:tbl>
      <w:tblPr>
        <w:tblStyle w:val="23"/>
        <w:tblW w:w="8278" w:type="dxa"/>
        <w:jc w:val="center"/>
        <w:tblLayout w:type="fixed"/>
        <w:tblCellMar>
          <w:top w:w="0" w:type="dxa"/>
          <w:left w:w="10" w:type="dxa"/>
          <w:bottom w:w="0" w:type="dxa"/>
          <w:right w:w="10" w:type="dxa"/>
        </w:tblCellMar>
      </w:tblPr>
      <w:tblGrid>
        <w:gridCol w:w="7217"/>
        <w:gridCol w:w="1061"/>
      </w:tblGrid>
      <w:tr w14:paraId="60306C6A">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0357AAEF">
            <w:pPr>
              <w:spacing w:line="240" w:lineRule="auto"/>
              <w:ind w:firstLine="480"/>
              <w:jc w:val="center"/>
              <w:rPr>
                <w:rFonts w:hAnsi="Cambria Math"/>
              </w:rPr>
            </w:pPr>
            <m:oMathPara>
              <m:oMath>
                <m:r>
                  <m:rPr/>
                  <w:rPr>
                    <w:rFonts w:ascii="Cambria Math" w:hAnsi="Cambria Math"/>
                  </w:rPr>
                  <m:t>ΔT=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avg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oMath>
            </m:oMathPara>
          </w:p>
        </w:tc>
        <w:tc>
          <w:tcPr>
            <w:tcW w:w="1061" w:type="dxa"/>
            <w:tcBorders>
              <w:top w:val="nil"/>
              <w:left w:val="nil"/>
              <w:bottom w:val="nil"/>
              <w:right w:val="nil"/>
            </w:tcBorders>
            <w:vAlign w:val="center"/>
          </w:tcPr>
          <w:p w14:paraId="5545573C">
            <w:pPr>
              <w:ind w:firstLine="0" w:firstLineChars="0"/>
              <w:jc w:val="right"/>
            </w:pPr>
            <w:r>
              <w:rPr>
                <w:rFonts w:eastAsia="Times New Roman"/>
                <w:sz w:val="21"/>
                <w:szCs w:val="21"/>
              </w:rPr>
              <w:t>(</w:t>
            </w:r>
            <w:r>
              <w:rPr>
                <w:rFonts w:hint="eastAsia"/>
                <w:sz w:val="21"/>
                <w:szCs w:val="21"/>
                <w:lang w:val="en-US" w:eastAsia="zh-CN"/>
              </w:rPr>
              <w:t>9</w:t>
            </w:r>
            <w:r>
              <w:rPr>
                <w:rFonts w:eastAsia="Times New Roman"/>
                <w:sz w:val="21"/>
                <w:szCs w:val="21"/>
              </w:rPr>
              <w:t>)</w:t>
            </w:r>
          </w:p>
        </w:tc>
      </w:tr>
    </w:tbl>
    <w:p w14:paraId="3CBC139F">
      <w:pPr>
        <w:pStyle w:val="3"/>
        <w:spacing w:before="0" w:after="0"/>
        <w:ind w:firstLine="480"/>
        <w:rPr>
          <w:lang w:eastAsia="zh-CN"/>
        </w:rPr>
      </w:pPr>
      <w:r>
        <w:rPr>
          <w:lang w:eastAsia="zh-CN"/>
        </w:rPr>
        <w:t>整体努塞尔数 Nu 表示为：</w:t>
      </w:r>
    </w:p>
    <w:tbl>
      <w:tblPr>
        <w:tblStyle w:val="23"/>
        <w:tblW w:w="8278" w:type="dxa"/>
        <w:jc w:val="center"/>
        <w:tblLayout w:type="fixed"/>
        <w:tblCellMar>
          <w:top w:w="0" w:type="dxa"/>
          <w:left w:w="10" w:type="dxa"/>
          <w:bottom w:w="0" w:type="dxa"/>
          <w:right w:w="10" w:type="dxa"/>
        </w:tblCellMar>
      </w:tblPr>
      <w:tblGrid>
        <w:gridCol w:w="7217"/>
        <w:gridCol w:w="1061"/>
      </w:tblGrid>
      <w:tr w14:paraId="6DBBA725">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164990EF">
            <w:pPr>
              <w:spacing w:line="240" w:lineRule="auto"/>
              <w:ind w:firstLine="480"/>
              <w:jc w:val="center"/>
              <w:rPr>
                <w:rFonts w:hAnsi="Cambria Math"/>
              </w:rPr>
            </w:pPr>
            <m:oMathPara>
              <m:oMath>
                <m:r>
                  <m:rPr/>
                  <w:rPr>
                    <w:rFonts w:ascii="Cambria Math" w:hAnsi="Cambria Math"/>
                  </w:rPr>
                  <m:t>Nu=</m:t>
                </m:r>
                <m:f>
                  <m:fPr>
                    <m:ctrlPr>
                      <w:rPr>
                        <w:rFonts w:ascii="Cambria Math" w:hAnsi="Cambria Math"/>
                      </w:rPr>
                    </m:ctrlPr>
                  </m:fPr>
                  <m:num>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c</m:t>
                    </m:r>
                    <m:ctrlPr>
                      <w:rPr>
                        <w:rFonts w:ascii="Cambria Math" w:hAnsi="Cambria Math"/>
                      </w:rPr>
                    </m:ctrlPr>
                  </m:num>
                  <m:den>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avg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m:t>
                    </m:r>
                    <m:ctrlPr>
                      <w:rPr>
                        <w:rFonts w:ascii="Cambria Math" w:hAnsi="Cambria Math"/>
                      </w:rPr>
                    </m:ctrlPr>
                  </m:den>
                </m:f>
              </m:oMath>
            </m:oMathPara>
          </w:p>
        </w:tc>
        <w:tc>
          <w:tcPr>
            <w:tcW w:w="1061" w:type="dxa"/>
            <w:tcBorders>
              <w:top w:val="nil"/>
              <w:left w:val="nil"/>
              <w:bottom w:val="nil"/>
              <w:right w:val="nil"/>
            </w:tcBorders>
            <w:vAlign w:val="center"/>
          </w:tcPr>
          <w:p w14:paraId="1F49CFF5">
            <w:pPr>
              <w:ind w:firstLine="0" w:firstLineChars="0"/>
              <w:jc w:val="right"/>
            </w:pPr>
            <w:r>
              <w:rPr>
                <w:rFonts w:eastAsia="Times New Roman"/>
                <w:sz w:val="21"/>
                <w:szCs w:val="21"/>
              </w:rPr>
              <w:t>(</w:t>
            </w:r>
            <w:r>
              <w:rPr>
                <w:rFonts w:hint="eastAsia"/>
                <w:sz w:val="21"/>
                <w:szCs w:val="21"/>
                <w:lang w:val="en-US" w:eastAsia="zh-CN"/>
              </w:rPr>
              <w:t>10</w:t>
            </w:r>
            <w:r>
              <w:rPr>
                <w:rFonts w:eastAsia="Times New Roman"/>
                <w:sz w:val="21"/>
                <w:szCs w:val="21"/>
              </w:rPr>
              <w:t>)</w:t>
            </w:r>
          </w:p>
        </w:tc>
      </w:tr>
    </w:tbl>
    <w:p w14:paraId="530818AC">
      <w:pPr>
        <w:pStyle w:val="3"/>
        <w:spacing w:before="0" w:after="0"/>
        <w:ind w:firstLine="480"/>
        <w:rPr>
          <w:lang w:eastAsia="zh-CN"/>
        </w:rPr>
      </w:pPr>
      <w:r>
        <w:rPr>
          <w:lang w:eastAsia="zh-CN"/>
        </w:rPr>
        <w:t>式中，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avg</m:t>
            </m:r>
            <m:ctrlPr>
              <w:rPr>
                <w:rFonts w:ascii="Cambria Math" w:hAnsi="Cambria Math"/>
              </w:rPr>
            </m:ctrlPr>
          </m:sub>
        </m:sSub>
      </m:oMath>
      <w:r>
        <w:rPr>
          <w:lang w:eastAsia="zh-CN"/>
        </w:rPr>
        <w:t xml:space="preserve"> 为固体域全局平均温度，Vs 为所有翼型管总体积，As 为固体翼型管与空气接触的换热面积，c 为翼型管弦长，ka 为空气导热系数。对于二维代表性计算域，Vs 和 As 按单位厚度等效换算。</w:t>
      </w:r>
    </w:p>
    <w:p w14:paraId="78A75D6A">
      <w:pPr>
        <w:pStyle w:val="3"/>
        <w:spacing w:before="0" w:after="0"/>
        <w:ind w:firstLine="480"/>
        <w:rPr>
          <w:lang w:eastAsia="zh-CN"/>
        </w:rPr>
      </w:pPr>
      <w:r>
        <w:rPr>
          <w:lang w:eastAsia="zh-CN"/>
        </w:rPr>
        <w:t xml:space="preserve">为综合评价换热强化与流阻惩罚，引入综合评价因子 </w:t>
      </w:r>
      <w:r>
        <w:t>η</w:t>
      </w:r>
      <w:r>
        <w:rPr>
          <w:lang w:eastAsia="zh-CN"/>
        </w:rPr>
        <w:t>：</w:t>
      </w:r>
    </w:p>
    <w:tbl>
      <w:tblPr>
        <w:tblStyle w:val="23"/>
        <w:tblW w:w="8278" w:type="dxa"/>
        <w:jc w:val="center"/>
        <w:tblLayout w:type="fixed"/>
        <w:tblCellMar>
          <w:top w:w="0" w:type="dxa"/>
          <w:left w:w="10" w:type="dxa"/>
          <w:bottom w:w="0" w:type="dxa"/>
          <w:right w:w="10" w:type="dxa"/>
        </w:tblCellMar>
      </w:tblPr>
      <w:tblGrid>
        <w:gridCol w:w="7217"/>
        <w:gridCol w:w="1061"/>
      </w:tblGrid>
      <w:tr w14:paraId="7F26DABF">
        <w:trPr>
          <w:jc w:val="center"/>
        </w:trPr>
        <w:tc>
          <w:tcPr>
            <w:tcW w:w="7217" w:type="dxa"/>
            <w:tcBorders>
              <w:top w:val="nil"/>
              <w:left w:val="nil"/>
              <w:bottom w:val="nil"/>
              <w:right w:val="nil"/>
            </w:tcBorders>
            <w:vAlign w:val="center"/>
          </w:tcPr>
          <w:p w14:paraId="47B7B108">
            <w:pPr>
              <w:spacing w:line="240" w:lineRule="auto"/>
              <w:ind w:firstLine="480"/>
              <w:jc w:val="center"/>
              <w:rPr>
                <w:rFonts w:hAnsi="Cambria Math"/>
              </w:rPr>
            </w:pPr>
            <m:oMathPara>
              <m:oMath>
                <m:r>
                  <m:rPr/>
                  <w:rPr>
                    <w:rFonts w:ascii="Cambria Math" w:hAnsi="Cambria Math"/>
                  </w:rPr>
                  <m:t>η=</m:t>
                </m:r>
                <m:f>
                  <m:fPr>
                    <m:ctrlPr>
                      <w:rPr>
                        <w:rFonts w:ascii="Cambria Math" w:hAnsi="Cambria Math"/>
                      </w:rPr>
                    </m:ctrlPr>
                  </m:fPr>
                  <m:num>
                    <m:r>
                      <m:rPr/>
                      <w:rPr>
                        <w:rFonts w:ascii="Cambria Math" w:hAnsi="Cambria Math"/>
                      </w:rPr>
                      <m:t>Nu</m:t>
                    </m:r>
                    <m:ctrlPr>
                      <w:rPr>
                        <w:rFonts w:ascii="Cambria Math" w:hAnsi="Cambria Math"/>
                      </w:rPr>
                    </m:ctrlPr>
                  </m:num>
                  <m:den>
                    <m:sSup>
                      <m:sSupPr>
                        <m:ctrlPr>
                          <w:rPr>
                            <w:rFonts w:ascii="Cambria Math" w:hAnsi="Cambria Math"/>
                          </w:rPr>
                        </m:ctrlPr>
                      </m:sSupPr>
                      <m:e>
                        <m:r>
                          <m:rPr/>
                          <w:rPr>
                            <w:rFonts w:ascii="Cambria Math" w:hAnsi="Cambria Math"/>
                          </w:rPr>
                          <m:t>f</m:t>
                        </m:r>
                        <m:ctrlPr>
                          <w:rPr>
                            <w:rFonts w:ascii="Cambria Math" w:hAnsi="Cambria Math"/>
                          </w:rPr>
                        </m:ctrlPr>
                      </m:e>
                      <m:sup>
                        <m:r>
                          <m:rPr/>
                          <w:rPr>
                            <w:rFonts w:ascii="Cambria Math" w:hAnsi="Cambria Math"/>
                          </w:rPr>
                          <m:t>1/3</m:t>
                        </m:r>
                        <m:ctrlPr>
                          <w:rPr>
                            <w:rFonts w:ascii="Cambria Math" w:hAnsi="Cambria Math"/>
                          </w:rPr>
                        </m:ctrlPr>
                      </m:sup>
                    </m:sSup>
                    <m:ctrlPr>
                      <w:rPr>
                        <w:rFonts w:ascii="Cambria Math" w:hAnsi="Cambria Math"/>
                      </w:rPr>
                    </m:ctrlPr>
                  </m:den>
                </m:f>
              </m:oMath>
            </m:oMathPara>
          </w:p>
        </w:tc>
        <w:tc>
          <w:tcPr>
            <w:tcW w:w="1061" w:type="dxa"/>
            <w:tcBorders>
              <w:top w:val="nil"/>
              <w:left w:val="nil"/>
              <w:bottom w:val="nil"/>
              <w:right w:val="nil"/>
            </w:tcBorders>
            <w:vAlign w:val="center"/>
          </w:tcPr>
          <w:p w14:paraId="6D0F4DC1">
            <w:pPr>
              <w:ind w:firstLine="0" w:firstLineChars="0"/>
              <w:jc w:val="right"/>
            </w:pPr>
            <w:r>
              <w:rPr>
                <w:rFonts w:eastAsia="Times New Roman"/>
                <w:sz w:val="21"/>
                <w:szCs w:val="21"/>
              </w:rPr>
              <w:t>(</w:t>
            </w:r>
            <w:r>
              <w:rPr>
                <w:rFonts w:hint="eastAsia"/>
                <w:sz w:val="21"/>
                <w:szCs w:val="21"/>
                <w:lang w:val="en-US" w:eastAsia="zh-CN"/>
              </w:rPr>
              <w:t>11</w:t>
            </w:r>
            <w:r>
              <w:rPr>
                <w:rFonts w:eastAsia="Times New Roman"/>
                <w:sz w:val="21"/>
                <w:szCs w:val="21"/>
              </w:rPr>
              <w:t>)</w:t>
            </w:r>
          </w:p>
        </w:tc>
      </w:tr>
    </w:tbl>
    <w:p w14:paraId="10A2D87C">
      <w:pPr>
        <w:pStyle w:val="3"/>
        <w:spacing w:before="0" w:after="0"/>
        <w:ind w:firstLine="480"/>
        <w:rPr>
          <w:lang w:eastAsia="zh-CN"/>
        </w:rPr>
      </w:pPr>
      <w:r>
        <w:rPr>
          <w:lang w:eastAsia="zh-CN"/>
        </w:rPr>
        <w:t>式中，Nu 为全局努塞尔数，f 为阻力因子。η 同时考虑换热增强和流阻代价，其数值越大，说明结构综合</w:t>
      </w:r>
      <w:r>
        <w:rPr>
          <w:rFonts w:hint="eastAsia"/>
          <w:color w:val="EE0000"/>
          <w:lang w:eastAsia="zh-CN"/>
        </w:rPr>
        <w:t>性能越优</w:t>
      </w:r>
      <w:r>
        <w:rPr>
          <w:lang w:eastAsia="zh-CN"/>
        </w:rPr>
        <w:t>。</w:t>
      </w:r>
    </w:p>
    <w:bookmarkEnd w:id="2"/>
    <w:bookmarkEnd w:id="7"/>
    <w:p w14:paraId="5257D3B4">
      <w:pPr>
        <w:pStyle w:val="4"/>
        <w:rPr>
          <w:lang w:eastAsia="zh-CN"/>
        </w:rPr>
      </w:pPr>
      <w:bookmarkStart w:id="8" w:name="cfd-样本生成与数据集构建"/>
      <w:r>
        <w:rPr>
          <w:lang w:eastAsia="zh-CN"/>
        </w:rPr>
        <w:t>3 CFD 样本生成与数据集构建</w:t>
      </w:r>
    </w:p>
    <w:p w14:paraId="0E61853F">
      <w:pPr>
        <w:pStyle w:val="5"/>
        <w:ind w:left="480"/>
        <w:rPr>
          <w:lang w:eastAsia="zh-CN"/>
        </w:rPr>
      </w:pPr>
      <w:bookmarkStart w:id="9" w:name="典型阵列流场特征"/>
      <w:r>
        <w:rPr>
          <w:lang w:eastAsia="zh-CN"/>
        </w:rPr>
        <w:t>3.1 典型阵列流场特征</w:t>
      </w:r>
    </w:p>
    <w:p w14:paraId="4E418818">
      <w:pPr>
        <w:pStyle w:val="32"/>
        <w:spacing w:before="0" w:after="0"/>
        <w:ind w:firstLine="480"/>
        <w:rPr>
          <w:lang w:eastAsia="zh-CN"/>
        </w:rPr>
      </w:pPr>
      <w:r>
        <w:rPr>
          <w:lang w:eastAsia="zh-CN"/>
        </w:rPr>
        <w:t>为明确引入流场图像模态的必要性，对典型交错排布工况下的速度场、温度场和压力场进行分析，如图 4 所示。速度场表明，列间交错位移会改变主流通道，使气流在相邻翼型管之间形成偏转穿透路径，从而削弱前排尾迹对后排迎风区域的遮挡。温度场显示，对齐或交错不足时前排翼型管后方易形成高温滞留区，而适当交错可增强后排翼型管表面的低温来流冲刷。压力场则反映出前缘高压区和尾迹低压区的变化，并与整体流阻密切相关。</w:t>
      </w:r>
    </w:p>
    <w:p w14:paraId="430EE220">
      <w:pPr>
        <w:pStyle w:val="3"/>
        <w:spacing w:before="0" w:after="0"/>
        <w:ind w:firstLine="480"/>
        <w:rPr>
          <w:lang w:eastAsia="zh-CN"/>
        </w:rPr>
      </w:pPr>
      <w:r>
        <w:rPr>
          <w:lang w:eastAsia="zh-CN"/>
        </w:rPr>
        <w:t>上述结果说明，翼型管阵列的 Nu 和 f 不仅取决于 6 维几何参数，还与尾迹覆盖、热遮挡、近壁面温度梯度和局部压力集中等空间流场结构有关。因此，将速度场、温度场和压力场云图作为图像模态输入，可为代理模型提供纯几何标量难以直接表达的空间信息。</w:t>
      </w: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4"/>
        <w:gridCol w:w="3082"/>
        <w:gridCol w:w="2794"/>
      </w:tblGrid>
      <w:tr w14:paraId="78393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65" w:type="pct"/>
          </w:tcPr>
          <w:p w14:paraId="2D05C490">
            <w:pPr>
              <w:pStyle w:val="3"/>
              <w:widowControl w:val="0"/>
              <w:spacing w:line="240" w:lineRule="auto"/>
              <w:ind w:firstLine="0" w:firstLineChars="0"/>
              <w:jc w:val="center"/>
              <w:rPr>
                <w:rFonts w:hint="eastAsia" w:eastAsia="宋体"/>
                <w:b/>
                <w:bCs/>
                <w:lang w:eastAsia="zh-CN"/>
              </w:rPr>
            </w:pPr>
            <w:r>
              <w:rPr>
                <w:rFonts w:hint="eastAsia" w:eastAsia="宋体"/>
                <w:b/>
                <w:bCs/>
                <w:lang w:eastAsia="zh-CN"/>
              </w:rPr>
              <w:drawing>
                <wp:inline distT="0" distB="0" distL="114300" distR="114300">
                  <wp:extent cx="1609090" cy="1131570"/>
                  <wp:effectExtent l="0" t="0" r="10160" b="11430"/>
                  <wp:docPr id="26" name="图片 26" descr="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v"/>
                          <pic:cNvPicPr>
                            <a:picLocks noChangeAspect="1"/>
                          </pic:cNvPicPr>
                        </pic:nvPicPr>
                        <pic:blipFill>
                          <a:blip r:embed="rId17"/>
                          <a:stretch>
                            <a:fillRect/>
                          </a:stretch>
                        </pic:blipFill>
                        <pic:spPr>
                          <a:xfrm>
                            <a:off x="0" y="0"/>
                            <a:ext cx="1609090" cy="1131570"/>
                          </a:xfrm>
                          <a:prstGeom prst="rect">
                            <a:avLst/>
                          </a:prstGeom>
                        </pic:spPr>
                      </pic:pic>
                    </a:graphicData>
                  </a:graphic>
                </wp:inline>
              </w:drawing>
            </w:r>
          </w:p>
        </w:tc>
        <w:tc>
          <w:tcPr>
            <w:tcW w:w="1667" w:type="pct"/>
          </w:tcPr>
          <w:p w14:paraId="5152811B">
            <w:pPr>
              <w:pStyle w:val="3"/>
              <w:widowControl w:val="0"/>
              <w:spacing w:line="240" w:lineRule="auto"/>
              <w:ind w:firstLine="200" w:firstLineChars="83"/>
              <w:jc w:val="center"/>
              <w:rPr>
                <w:rFonts w:hint="eastAsia" w:eastAsia="宋体"/>
                <w:b/>
                <w:bCs/>
                <w:lang w:eastAsia="zh-CN"/>
              </w:rPr>
            </w:pPr>
            <w:r>
              <w:rPr>
                <w:rFonts w:hint="eastAsia" w:eastAsia="宋体"/>
                <w:b/>
                <w:bCs/>
                <w:lang w:eastAsia="zh-CN"/>
              </w:rPr>
              <w:drawing>
                <wp:inline distT="0" distB="0" distL="114300" distR="114300">
                  <wp:extent cx="1689735" cy="1085215"/>
                  <wp:effectExtent l="0" t="0" r="5715" b="635"/>
                  <wp:docPr id="20" name="图片 20" descr="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t"/>
                          <pic:cNvPicPr>
                            <a:picLocks noChangeAspect="1"/>
                          </pic:cNvPicPr>
                        </pic:nvPicPr>
                        <pic:blipFill>
                          <a:blip r:embed="rId18"/>
                          <a:stretch>
                            <a:fillRect/>
                          </a:stretch>
                        </pic:blipFill>
                        <pic:spPr>
                          <a:xfrm>
                            <a:off x="0" y="0"/>
                            <a:ext cx="1689735" cy="1085215"/>
                          </a:xfrm>
                          <a:prstGeom prst="rect">
                            <a:avLst/>
                          </a:prstGeom>
                        </pic:spPr>
                      </pic:pic>
                    </a:graphicData>
                  </a:graphic>
                </wp:inline>
              </w:drawing>
            </w:r>
          </w:p>
        </w:tc>
        <w:tc>
          <w:tcPr>
            <w:tcW w:w="1667" w:type="pct"/>
          </w:tcPr>
          <w:p w14:paraId="652FDCDF">
            <w:pPr>
              <w:pStyle w:val="3"/>
              <w:widowControl w:val="0"/>
              <w:spacing w:line="240" w:lineRule="auto"/>
              <w:ind w:firstLine="0" w:firstLineChars="0"/>
              <w:jc w:val="center"/>
              <w:rPr>
                <w:rFonts w:hint="eastAsia" w:eastAsia="宋体"/>
                <w:b/>
                <w:bCs/>
                <w:lang w:eastAsia="zh-CN"/>
              </w:rPr>
            </w:pPr>
            <w:r>
              <w:rPr>
                <w:rFonts w:hint="eastAsia" w:eastAsia="宋体"/>
                <w:b/>
                <w:bCs/>
                <w:lang w:eastAsia="zh-CN"/>
              </w:rPr>
              <w:drawing>
                <wp:inline distT="0" distB="0" distL="114300" distR="114300">
                  <wp:extent cx="1623060" cy="914400"/>
                  <wp:effectExtent l="0" t="0" r="15240" b="0"/>
                  <wp:docPr id="27" name="图片 27" descr="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p"/>
                          <pic:cNvPicPr>
                            <a:picLocks noChangeAspect="1"/>
                          </pic:cNvPicPr>
                        </pic:nvPicPr>
                        <pic:blipFill>
                          <a:blip r:embed="rId19"/>
                          <a:stretch>
                            <a:fillRect/>
                          </a:stretch>
                        </pic:blipFill>
                        <pic:spPr>
                          <a:xfrm>
                            <a:off x="0" y="0"/>
                            <a:ext cx="1623060" cy="914400"/>
                          </a:xfrm>
                          <a:prstGeom prst="rect">
                            <a:avLst/>
                          </a:prstGeom>
                        </pic:spPr>
                      </pic:pic>
                    </a:graphicData>
                  </a:graphic>
                </wp:inline>
              </w:drawing>
            </w:r>
          </w:p>
        </w:tc>
      </w:tr>
      <w:tr w14:paraId="7A6EF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Pr>
          <w:p w14:paraId="4727B4F1">
            <w:pPr>
              <w:widowControl w:val="0"/>
              <w:spacing w:before="120" w:after="240" w:line="240" w:lineRule="auto"/>
              <w:ind w:firstLineChars="0"/>
              <w:jc w:val="center"/>
              <w:rPr>
                <w:sz w:val="21"/>
              </w:rPr>
            </w:pPr>
            <w:r>
              <w:rPr>
                <w:sz w:val="21"/>
                <w:lang w:eastAsia="zh-CN"/>
              </w:rPr>
              <w:t>（a）速度场云图</w:t>
            </w:r>
          </w:p>
        </w:tc>
        <w:tc>
          <w:tcPr>
            <w:tcW w:w="1667" w:type="pct"/>
          </w:tcPr>
          <w:p w14:paraId="59555FE2">
            <w:pPr>
              <w:widowControl w:val="0"/>
              <w:spacing w:before="120" w:after="240" w:line="240" w:lineRule="auto"/>
              <w:ind w:firstLineChars="0"/>
              <w:jc w:val="center"/>
              <w:rPr>
                <w:sz w:val="21"/>
              </w:rPr>
            </w:pPr>
            <w:r>
              <w:rPr>
                <w:sz w:val="21"/>
                <w:lang w:eastAsia="zh-CN"/>
              </w:rPr>
              <w:t>（b）温度场云图</w:t>
            </w:r>
          </w:p>
        </w:tc>
        <w:tc>
          <w:tcPr>
            <w:tcW w:w="1667" w:type="pct"/>
          </w:tcPr>
          <w:p w14:paraId="3B4C553E">
            <w:pPr>
              <w:widowControl w:val="0"/>
              <w:spacing w:before="120" w:after="240" w:line="240" w:lineRule="auto"/>
              <w:ind w:firstLineChars="0"/>
              <w:jc w:val="center"/>
              <w:rPr>
                <w:sz w:val="21"/>
              </w:rPr>
            </w:pPr>
            <w:r>
              <w:rPr>
                <w:sz w:val="21"/>
                <w:lang w:eastAsia="zh-CN"/>
              </w:rPr>
              <w:t>（c）静压分布云图</w:t>
            </w:r>
          </w:p>
        </w:tc>
      </w:tr>
      <w:tr w14:paraId="72FBA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4" w:hRule="atLeast"/>
        </w:trPr>
        <w:tc>
          <w:tcPr>
            <w:tcW w:w="5000" w:type="pct"/>
            <w:gridSpan w:val="3"/>
          </w:tcPr>
          <w:p w14:paraId="23D67D9C">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eastAsia" w:ascii="Times New Roman" w:hAnsi="Times New Roman" w:eastAsia="宋体" w:cs="Times New Roman"/>
                <w:sz w:val="21"/>
                <w:szCs w:val="21"/>
              </w:rPr>
            </w:pPr>
            <w:bookmarkStart w:id="10" w:name="参数采样方法"/>
            <w:r>
              <w:rPr>
                <w:rFonts w:hint="default" w:ascii="Times New Roman" w:hAnsi="Times New Roman" w:eastAsia="宋体" w:cs="Times New Roman"/>
                <w:sz w:val="21"/>
                <w:szCs w:val="21"/>
              </w:rPr>
              <w:t>Fig. 4 Simulation contours of a typical training sample</w:t>
            </w:r>
          </w:p>
          <w:p w14:paraId="0D8CF0B9">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sz w:val="21"/>
              </w:rPr>
            </w:pPr>
            <w:r>
              <w:rPr>
                <w:rFonts w:hint="eastAsia" w:ascii="Times New Roman" w:hAnsi="Times New Roman" w:eastAsia="宋体" w:cs="Times New Roman"/>
                <w:sz w:val="21"/>
                <w:szCs w:val="21"/>
              </w:rPr>
              <w:t>图 4 训练集典型样本仿真云图</w:t>
            </w:r>
          </w:p>
        </w:tc>
      </w:tr>
      <w:bookmarkEnd w:id="9"/>
    </w:tbl>
    <w:p w14:paraId="3A6EAEF8">
      <w:pPr>
        <w:pStyle w:val="5"/>
        <w:ind w:left="480"/>
        <w:rPr>
          <w:lang w:eastAsia="zh-CN"/>
        </w:rPr>
      </w:pPr>
      <w:r>
        <w:rPr>
          <w:lang w:eastAsia="zh-CN"/>
        </w:rPr>
        <w:t>3.2 参数采样方法</w:t>
      </w:r>
    </w:p>
    <w:p w14:paraId="48A9BEA3">
      <w:pPr>
        <w:pStyle w:val="21"/>
        <w:keepNext w:val="0"/>
        <w:keepLines w:val="0"/>
        <w:widowControl/>
        <w:suppressLineNumbers w:val="0"/>
      </w:pPr>
      <w:r>
        <w:t>为兼顾样本代表性与计算成本，采用正交试验与拉丁超立方抽样（LHS）相结合的采样策略。首先，根据表 1 中各设计变量的取值范围设置 5 个代表性水平，并采用 L25(5^6) 正交表生成 25 组代表性参数组合，用于覆盖主要因素水平及其典型变化范围。在此基础上，为满足多模态 CNN 训练对样本数量和空间分布均匀性的需求，进一步采用 LHS 在连续设计空间内补充生成 475 组参数组合，最终形成 500 组 CFD 计算样本。该策略既保留了正交试验在多因素水平覆盖方面的优势，又避免了 5^6 全因子组合带来的过高计算成本。</w:t>
      </w:r>
    </w:p>
    <w:p w14:paraId="52D6CFBC">
      <w:pPr>
        <w:pStyle w:val="3"/>
        <w:spacing w:before="120" w:after="120" w:line="240" w:lineRule="auto"/>
        <w:ind w:firstLineChars="0"/>
        <w:jc w:val="center"/>
        <w:rPr>
          <w:lang w:eastAsia="zh-CN"/>
        </w:rPr>
      </w:pPr>
      <w:r>
        <w:rPr>
          <w:sz w:val="21"/>
          <w:lang w:eastAsia="zh-CN"/>
        </w:rPr>
        <w:t>表4　</w:t>
      </w:r>
      <w:r>
        <w:rPr>
          <w:rFonts w:hint="eastAsia"/>
          <w:sz w:val="21"/>
          <w:lang w:eastAsia="zh-CN"/>
        </w:rPr>
        <w:t xml:space="preserve"> 翼型阵列正交试验因素水平表</w:t>
      </w:r>
    </w:p>
    <w:tbl>
      <w:tblPr>
        <w:tblStyle w:val="23"/>
        <w:tblW w:w="827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 w:type="dxa"/>
          <w:bottom w:w="0" w:type="dxa"/>
          <w:right w:w="10" w:type="dxa"/>
        </w:tblCellMar>
      </w:tblPr>
      <w:tblGrid>
        <w:gridCol w:w="1376"/>
        <w:gridCol w:w="1376"/>
        <w:gridCol w:w="1106"/>
        <w:gridCol w:w="1105"/>
        <w:gridCol w:w="1105"/>
        <w:gridCol w:w="1105"/>
        <w:gridCol w:w="1105"/>
      </w:tblGrid>
      <w:tr w14:paraId="79E96F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blHeader/>
          <w:jc w:val="center"/>
        </w:trPr>
        <w:tc>
          <w:tcPr>
            <w:tcW w:w="1376" w:type="dxa"/>
            <w:tcBorders>
              <w:top w:val="single" w:color="000000" w:sz="8" w:space="0"/>
              <w:left w:val="nil"/>
              <w:bottom w:val="single" w:color="000000" w:sz="4" w:space="0"/>
              <w:right w:val="nil"/>
            </w:tcBorders>
            <w:vAlign w:val="center"/>
          </w:tcPr>
          <w:p w14:paraId="15EC4DF8">
            <w:pPr>
              <w:spacing w:line="240" w:lineRule="auto"/>
              <w:ind w:firstLine="0" w:firstLineChars="0"/>
              <w:jc w:val="center"/>
            </w:pPr>
            <w:r>
              <w:rPr>
                <w:b/>
                <w:bCs/>
                <w:sz w:val="21"/>
                <w:szCs w:val="21"/>
              </w:rPr>
              <w:t>因素符号</w:t>
            </w:r>
          </w:p>
        </w:tc>
        <w:tc>
          <w:tcPr>
            <w:tcW w:w="1376" w:type="dxa"/>
            <w:tcBorders>
              <w:top w:val="single" w:color="000000" w:sz="8" w:space="0"/>
              <w:left w:val="nil"/>
              <w:bottom w:val="single" w:color="000000" w:sz="4" w:space="0"/>
              <w:right w:val="nil"/>
            </w:tcBorders>
            <w:vAlign w:val="center"/>
          </w:tcPr>
          <w:p w14:paraId="2577E170">
            <w:pPr>
              <w:spacing w:line="240" w:lineRule="auto"/>
              <w:ind w:firstLine="0" w:firstLineChars="0"/>
              <w:jc w:val="center"/>
            </w:pPr>
            <w:r>
              <w:rPr>
                <w:b/>
                <w:bCs/>
                <w:sz w:val="21"/>
                <w:szCs w:val="21"/>
              </w:rPr>
              <w:t>物理意义</w:t>
            </w:r>
          </w:p>
        </w:tc>
        <w:tc>
          <w:tcPr>
            <w:tcW w:w="1106" w:type="dxa"/>
            <w:tcBorders>
              <w:top w:val="single" w:color="000000" w:sz="8" w:space="0"/>
              <w:left w:val="nil"/>
              <w:bottom w:val="single" w:color="000000" w:sz="4" w:space="0"/>
              <w:right w:val="nil"/>
            </w:tcBorders>
            <w:vAlign w:val="center"/>
          </w:tcPr>
          <w:p w14:paraId="03103DF6">
            <w:pPr>
              <w:spacing w:line="240" w:lineRule="auto"/>
              <w:ind w:firstLine="0" w:firstLineChars="0"/>
              <w:jc w:val="center"/>
            </w:pPr>
            <w:r>
              <w:rPr>
                <w:b/>
                <w:bCs/>
                <w:sz w:val="21"/>
                <w:szCs w:val="21"/>
              </w:rPr>
              <w:t>水平 1</w:t>
            </w:r>
          </w:p>
        </w:tc>
        <w:tc>
          <w:tcPr>
            <w:tcW w:w="1105" w:type="dxa"/>
            <w:tcBorders>
              <w:top w:val="single" w:color="000000" w:sz="8" w:space="0"/>
              <w:left w:val="nil"/>
              <w:bottom w:val="single" w:color="000000" w:sz="4" w:space="0"/>
              <w:right w:val="nil"/>
            </w:tcBorders>
            <w:vAlign w:val="center"/>
          </w:tcPr>
          <w:p w14:paraId="2125C9A8">
            <w:pPr>
              <w:spacing w:line="240" w:lineRule="auto"/>
              <w:ind w:firstLine="0" w:firstLineChars="0"/>
              <w:jc w:val="center"/>
            </w:pPr>
            <w:r>
              <w:rPr>
                <w:b/>
                <w:bCs/>
                <w:sz w:val="21"/>
                <w:szCs w:val="21"/>
              </w:rPr>
              <w:t>水平 2</w:t>
            </w:r>
          </w:p>
        </w:tc>
        <w:tc>
          <w:tcPr>
            <w:tcW w:w="1105" w:type="dxa"/>
            <w:tcBorders>
              <w:top w:val="single" w:color="000000" w:sz="8" w:space="0"/>
              <w:left w:val="nil"/>
              <w:bottom w:val="single" w:color="000000" w:sz="4" w:space="0"/>
              <w:right w:val="nil"/>
            </w:tcBorders>
            <w:vAlign w:val="center"/>
          </w:tcPr>
          <w:p w14:paraId="41B5E9DB">
            <w:pPr>
              <w:spacing w:line="240" w:lineRule="auto"/>
              <w:ind w:firstLine="0" w:firstLineChars="0"/>
              <w:jc w:val="center"/>
            </w:pPr>
            <w:r>
              <w:rPr>
                <w:b/>
                <w:bCs/>
                <w:sz w:val="21"/>
                <w:szCs w:val="21"/>
              </w:rPr>
              <w:t>水平 3</w:t>
            </w:r>
          </w:p>
        </w:tc>
        <w:tc>
          <w:tcPr>
            <w:tcW w:w="1105" w:type="dxa"/>
            <w:tcBorders>
              <w:top w:val="single" w:color="000000" w:sz="8" w:space="0"/>
              <w:left w:val="nil"/>
              <w:bottom w:val="single" w:color="000000" w:sz="4" w:space="0"/>
              <w:right w:val="nil"/>
            </w:tcBorders>
            <w:vAlign w:val="center"/>
          </w:tcPr>
          <w:p w14:paraId="7AD94D66">
            <w:pPr>
              <w:spacing w:line="240" w:lineRule="auto"/>
              <w:ind w:firstLine="0" w:firstLineChars="0"/>
              <w:jc w:val="center"/>
            </w:pPr>
            <w:r>
              <w:rPr>
                <w:b/>
                <w:bCs/>
                <w:sz w:val="21"/>
                <w:szCs w:val="21"/>
              </w:rPr>
              <w:t>水平 4</w:t>
            </w:r>
          </w:p>
        </w:tc>
        <w:tc>
          <w:tcPr>
            <w:tcW w:w="1105" w:type="dxa"/>
            <w:tcBorders>
              <w:top w:val="single" w:color="000000" w:sz="8" w:space="0"/>
              <w:left w:val="nil"/>
              <w:bottom w:val="single" w:color="000000" w:sz="4" w:space="0"/>
              <w:right w:val="nil"/>
            </w:tcBorders>
            <w:vAlign w:val="center"/>
          </w:tcPr>
          <w:p w14:paraId="7D7B2FE5">
            <w:pPr>
              <w:spacing w:line="240" w:lineRule="auto"/>
              <w:ind w:firstLine="0" w:firstLineChars="0"/>
              <w:jc w:val="center"/>
            </w:pPr>
            <w:r>
              <w:rPr>
                <w:b/>
                <w:bCs/>
                <w:sz w:val="21"/>
                <w:szCs w:val="21"/>
              </w:rPr>
              <w:t>水平 5</w:t>
            </w:r>
          </w:p>
        </w:tc>
      </w:tr>
      <w:tr w14:paraId="11C015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376" w:type="dxa"/>
            <w:tcBorders>
              <w:top w:val="nil"/>
              <w:left w:val="nil"/>
              <w:bottom w:val="nil"/>
              <w:right w:val="nil"/>
            </w:tcBorders>
            <w:vAlign w:val="center"/>
          </w:tcPr>
          <w:p w14:paraId="0B66B54D">
            <w:pPr>
              <w:spacing w:line="240" w:lineRule="auto"/>
              <w:ind w:firstLine="0" w:firstLineChars="0"/>
              <w:jc w:val="center"/>
            </w:pPr>
            <w:r>
              <w:rPr>
                <w:sz w:val="21"/>
                <w:szCs w:val="21"/>
              </w:rPr>
              <w:t>Ta</w:t>
            </w:r>
          </w:p>
        </w:tc>
        <w:tc>
          <w:tcPr>
            <w:tcW w:w="1376" w:type="dxa"/>
            <w:tcBorders>
              <w:top w:val="nil"/>
              <w:left w:val="nil"/>
              <w:bottom w:val="nil"/>
              <w:right w:val="nil"/>
            </w:tcBorders>
            <w:vAlign w:val="center"/>
          </w:tcPr>
          <w:p w14:paraId="7E4608EF">
            <w:pPr>
              <w:spacing w:line="240" w:lineRule="auto"/>
              <w:ind w:firstLine="0" w:firstLineChars="0"/>
              <w:jc w:val="center"/>
            </w:pPr>
            <w:r>
              <w:rPr>
                <w:sz w:val="21"/>
                <w:szCs w:val="21"/>
              </w:rPr>
              <w:t>弯度系数</w:t>
            </w:r>
          </w:p>
        </w:tc>
        <w:tc>
          <w:tcPr>
            <w:tcW w:w="1106" w:type="dxa"/>
            <w:tcBorders>
              <w:top w:val="nil"/>
              <w:left w:val="nil"/>
              <w:bottom w:val="nil"/>
              <w:right w:val="nil"/>
            </w:tcBorders>
            <w:vAlign w:val="center"/>
          </w:tcPr>
          <w:p w14:paraId="5FD1C158">
            <w:pPr>
              <w:spacing w:line="240" w:lineRule="auto"/>
              <w:ind w:firstLine="0" w:firstLineChars="0"/>
              <w:jc w:val="center"/>
            </w:pPr>
            <w:r>
              <w:rPr>
                <w:sz w:val="21"/>
                <w:szCs w:val="21"/>
              </w:rPr>
              <w:t>0.000</w:t>
            </w:r>
          </w:p>
        </w:tc>
        <w:tc>
          <w:tcPr>
            <w:tcW w:w="1105" w:type="dxa"/>
            <w:tcBorders>
              <w:top w:val="nil"/>
              <w:left w:val="nil"/>
              <w:bottom w:val="nil"/>
              <w:right w:val="nil"/>
            </w:tcBorders>
            <w:vAlign w:val="center"/>
          </w:tcPr>
          <w:p w14:paraId="0CF32503">
            <w:pPr>
              <w:spacing w:line="240" w:lineRule="auto"/>
              <w:ind w:firstLine="0" w:firstLineChars="0"/>
              <w:jc w:val="center"/>
            </w:pPr>
            <w:r>
              <w:rPr>
                <w:sz w:val="21"/>
                <w:szCs w:val="21"/>
              </w:rPr>
              <w:t>0.015</w:t>
            </w:r>
          </w:p>
        </w:tc>
        <w:tc>
          <w:tcPr>
            <w:tcW w:w="1105" w:type="dxa"/>
            <w:tcBorders>
              <w:top w:val="nil"/>
              <w:left w:val="nil"/>
              <w:bottom w:val="nil"/>
              <w:right w:val="nil"/>
            </w:tcBorders>
            <w:vAlign w:val="center"/>
          </w:tcPr>
          <w:p w14:paraId="66DFA7F9">
            <w:pPr>
              <w:spacing w:line="240" w:lineRule="auto"/>
              <w:ind w:firstLine="0" w:firstLineChars="0"/>
              <w:jc w:val="center"/>
            </w:pPr>
            <w:r>
              <w:rPr>
                <w:sz w:val="21"/>
                <w:szCs w:val="21"/>
              </w:rPr>
              <w:t>0.025</w:t>
            </w:r>
          </w:p>
        </w:tc>
        <w:tc>
          <w:tcPr>
            <w:tcW w:w="1105" w:type="dxa"/>
            <w:tcBorders>
              <w:top w:val="nil"/>
              <w:left w:val="nil"/>
              <w:bottom w:val="nil"/>
              <w:right w:val="nil"/>
            </w:tcBorders>
            <w:vAlign w:val="center"/>
          </w:tcPr>
          <w:p w14:paraId="2D3BEB07">
            <w:pPr>
              <w:spacing w:line="240" w:lineRule="auto"/>
              <w:ind w:firstLine="0" w:firstLineChars="0"/>
              <w:jc w:val="center"/>
            </w:pPr>
            <w:r>
              <w:rPr>
                <w:sz w:val="21"/>
                <w:szCs w:val="21"/>
              </w:rPr>
              <w:t>0.035</w:t>
            </w:r>
          </w:p>
        </w:tc>
        <w:tc>
          <w:tcPr>
            <w:tcW w:w="1105" w:type="dxa"/>
            <w:tcBorders>
              <w:top w:val="nil"/>
              <w:left w:val="nil"/>
              <w:bottom w:val="nil"/>
              <w:right w:val="nil"/>
            </w:tcBorders>
            <w:vAlign w:val="center"/>
          </w:tcPr>
          <w:p w14:paraId="6EB430C6">
            <w:pPr>
              <w:spacing w:line="240" w:lineRule="auto"/>
              <w:ind w:firstLine="0" w:firstLineChars="0"/>
              <w:jc w:val="center"/>
            </w:pPr>
            <w:r>
              <w:rPr>
                <w:sz w:val="21"/>
                <w:szCs w:val="21"/>
              </w:rPr>
              <w:t>0.050</w:t>
            </w:r>
          </w:p>
        </w:tc>
      </w:tr>
      <w:tr w14:paraId="61FF6B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376" w:type="dxa"/>
            <w:tcBorders>
              <w:top w:val="nil"/>
              <w:left w:val="nil"/>
              <w:bottom w:val="nil"/>
              <w:right w:val="nil"/>
            </w:tcBorders>
            <w:vAlign w:val="center"/>
          </w:tcPr>
          <w:p w14:paraId="1112A0F7">
            <w:pPr>
              <w:spacing w:line="240" w:lineRule="auto"/>
              <w:ind w:firstLine="0" w:firstLineChars="0"/>
              <w:jc w:val="center"/>
            </w:pPr>
            <w:r>
              <w:rPr>
                <w:sz w:val="21"/>
                <w:szCs w:val="21"/>
              </w:rPr>
              <w:t>Twa</w:t>
            </w:r>
          </w:p>
        </w:tc>
        <w:tc>
          <w:tcPr>
            <w:tcW w:w="1376" w:type="dxa"/>
            <w:tcBorders>
              <w:top w:val="nil"/>
              <w:left w:val="nil"/>
              <w:bottom w:val="nil"/>
              <w:right w:val="nil"/>
            </w:tcBorders>
            <w:vAlign w:val="center"/>
          </w:tcPr>
          <w:p w14:paraId="12B5DEA1">
            <w:pPr>
              <w:spacing w:line="240" w:lineRule="auto"/>
              <w:ind w:firstLine="0" w:firstLineChars="0"/>
              <w:jc w:val="center"/>
            </w:pPr>
            <w:r>
              <w:rPr>
                <w:sz w:val="21"/>
                <w:szCs w:val="21"/>
              </w:rPr>
              <w:t>最大弯位</w:t>
            </w:r>
          </w:p>
        </w:tc>
        <w:tc>
          <w:tcPr>
            <w:tcW w:w="1106" w:type="dxa"/>
            <w:tcBorders>
              <w:top w:val="nil"/>
              <w:left w:val="nil"/>
              <w:bottom w:val="nil"/>
              <w:right w:val="nil"/>
            </w:tcBorders>
            <w:vAlign w:val="center"/>
          </w:tcPr>
          <w:p w14:paraId="662A711F">
            <w:pPr>
              <w:spacing w:line="240" w:lineRule="auto"/>
              <w:ind w:firstLine="0" w:firstLineChars="0"/>
              <w:jc w:val="center"/>
            </w:pPr>
            <w:r>
              <w:rPr>
                <w:sz w:val="21"/>
                <w:szCs w:val="21"/>
              </w:rPr>
              <w:t>0.20</w:t>
            </w:r>
          </w:p>
        </w:tc>
        <w:tc>
          <w:tcPr>
            <w:tcW w:w="1105" w:type="dxa"/>
            <w:tcBorders>
              <w:top w:val="nil"/>
              <w:left w:val="nil"/>
              <w:bottom w:val="nil"/>
              <w:right w:val="nil"/>
            </w:tcBorders>
            <w:vAlign w:val="center"/>
          </w:tcPr>
          <w:p w14:paraId="054299AB">
            <w:pPr>
              <w:spacing w:line="240" w:lineRule="auto"/>
              <w:ind w:firstLine="0" w:firstLineChars="0"/>
              <w:jc w:val="center"/>
            </w:pPr>
            <w:r>
              <w:rPr>
                <w:sz w:val="21"/>
                <w:szCs w:val="21"/>
              </w:rPr>
              <w:t>0.30</w:t>
            </w:r>
          </w:p>
        </w:tc>
        <w:tc>
          <w:tcPr>
            <w:tcW w:w="1105" w:type="dxa"/>
            <w:tcBorders>
              <w:top w:val="nil"/>
              <w:left w:val="nil"/>
              <w:bottom w:val="nil"/>
              <w:right w:val="nil"/>
            </w:tcBorders>
            <w:vAlign w:val="center"/>
          </w:tcPr>
          <w:p w14:paraId="670DDBB5">
            <w:pPr>
              <w:spacing w:line="240" w:lineRule="auto"/>
              <w:ind w:firstLine="0" w:firstLineChars="0"/>
              <w:jc w:val="center"/>
            </w:pPr>
            <w:r>
              <w:rPr>
                <w:sz w:val="21"/>
                <w:szCs w:val="21"/>
              </w:rPr>
              <w:t>0.40</w:t>
            </w:r>
          </w:p>
        </w:tc>
        <w:tc>
          <w:tcPr>
            <w:tcW w:w="1105" w:type="dxa"/>
            <w:tcBorders>
              <w:top w:val="nil"/>
              <w:left w:val="nil"/>
              <w:bottom w:val="nil"/>
              <w:right w:val="nil"/>
            </w:tcBorders>
            <w:vAlign w:val="center"/>
          </w:tcPr>
          <w:p w14:paraId="19B29D80">
            <w:pPr>
              <w:spacing w:line="240" w:lineRule="auto"/>
              <w:ind w:firstLine="0" w:firstLineChars="0"/>
              <w:jc w:val="center"/>
            </w:pPr>
            <w:r>
              <w:rPr>
                <w:sz w:val="21"/>
                <w:szCs w:val="21"/>
              </w:rPr>
              <w:t>0.50</w:t>
            </w:r>
          </w:p>
        </w:tc>
        <w:tc>
          <w:tcPr>
            <w:tcW w:w="1105" w:type="dxa"/>
            <w:tcBorders>
              <w:top w:val="nil"/>
              <w:left w:val="nil"/>
              <w:bottom w:val="nil"/>
              <w:right w:val="nil"/>
            </w:tcBorders>
            <w:vAlign w:val="center"/>
          </w:tcPr>
          <w:p w14:paraId="7450FCCE">
            <w:pPr>
              <w:spacing w:line="240" w:lineRule="auto"/>
              <w:ind w:firstLine="0" w:firstLineChars="0"/>
              <w:jc w:val="center"/>
            </w:pPr>
            <w:r>
              <w:rPr>
                <w:sz w:val="21"/>
                <w:szCs w:val="21"/>
              </w:rPr>
              <w:t>0.60</w:t>
            </w:r>
          </w:p>
        </w:tc>
      </w:tr>
      <w:tr w14:paraId="4804E3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376" w:type="dxa"/>
            <w:tcBorders>
              <w:top w:val="nil"/>
              <w:left w:val="nil"/>
              <w:bottom w:val="nil"/>
              <w:right w:val="nil"/>
            </w:tcBorders>
            <w:vAlign w:val="center"/>
          </w:tcPr>
          <w:p w14:paraId="1ED40F25">
            <w:pPr>
              <w:spacing w:line="240" w:lineRule="auto"/>
              <w:ind w:firstLine="0" w:firstLineChars="0"/>
              <w:jc w:val="center"/>
            </w:pPr>
            <w:r>
              <w:rPr>
                <w:sz w:val="21"/>
                <w:szCs w:val="21"/>
              </w:rPr>
              <w:t>Tb</w:t>
            </w:r>
          </w:p>
        </w:tc>
        <w:tc>
          <w:tcPr>
            <w:tcW w:w="1376" w:type="dxa"/>
            <w:tcBorders>
              <w:top w:val="nil"/>
              <w:left w:val="nil"/>
              <w:bottom w:val="nil"/>
              <w:right w:val="nil"/>
            </w:tcBorders>
            <w:vAlign w:val="center"/>
          </w:tcPr>
          <w:p w14:paraId="4855B2BE">
            <w:pPr>
              <w:spacing w:line="240" w:lineRule="auto"/>
              <w:ind w:firstLine="0" w:firstLineChars="0"/>
              <w:jc w:val="center"/>
            </w:pPr>
            <w:r>
              <w:rPr>
                <w:sz w:val="21"/>
                <w:szCs w:val="21"/>
              </w:rPr>
              <w:t>厚度系数</w:t>
            </w:r>
          </w:p>
        </w:tc>
        <w:tc>
          <w:tcPr>
            <w:tcW w:w="1106" w:type="dxa"/>
            <w:tcBorders>
              <w:top w:val="nil"/>
              <w:left w:val="nil"/>
              <w:bottom w:val="nil"/>
              <w:right w:val="nil"/>
            </w:tcBorders>
            <w:vAlign w:val="center"/>
          </w:tcPr>
          <w:p w14:paraId="1AB6F49F">
            <w:pPr>
              <w:spacing w:line="240" w:lineRule="auto"/>
              <w:ind w:firstLine="0" w:firstLineChars="0"/>
              <w:jc w:val="center"/>
            </w:pPr>
            <w:r>
              <w:rPr>
                <w:sz w:val="21"/>
                <w:szCs w:val="21"/>
              </w:rPr>
              <w:t>0.080</w:t>
            </w:r>
          </w:p>
        </w:tc>
        <w:tc>
          <w:tcPr>
            <w:tcW w:w="1105" w:type="dxa"/>
            <w:tcBorders>
              <w:top w:val="nil"/>
              <w:left w:val="nil"/>
              <w:bottom w:val="nil"/>
              <w:right w:val="nil"/>
            </w:tcBorders>
            <w:vAlign w:val="center"/>
          </w:tcPr>
          <w:p w14:paraId="77D34A2E">
            <w:pPr>
              <w:spacing w:line="240" w:lineRule="auto"/>
              <w:ind w:firstLine="0" w:firstLineChars="0"/>
              <w:jc w:val="center"/>
            </w:pPr>
            <w:r>
              <w:rPr>
                <w:sz w:val="21"/>
                <w:szCs w:val="21"/>
              </w:rPr>
              <w:t>0.095</w:t>
            </w:r>
          </w:p>
        </w:tc>
        <w:tc>
          <w:tcPr>
            <w:tcW w:w="1105" w:type="dxa"/>
            <w:tcBorders>
              <w:top w:val="nil"/>
              <w:left w:val="nil"/>
              <w:bottom w:val="nil"/>
              <w:right w:val="nil"/>
            </w:tcBorders>
            <w:vAlign w:val="center"/>
          </w:tcPr>
          <w:p w14:paraId="7FD1BF6B">
            <w:pPr>
              <w:spacing w:line="240" w:lineRule="auto"/>
              <w:ind w:firstLine="0" w:firstLineChars="0"/>
              <w:jc w:val="center"/>
            </w:pPr>
            <w:r>
              <w:rPr>
                <w:sz w:val="21"/>
                <w:szCs w:val="21"/>
              </w:rPr>
              <w:t>0.115</w:t>
            </w:r>
          </w:p>
        </w:tc>
        <w:tc>
          <w:tcPr>
            <w:tcW w:w="1105" w:type="dxa"/>
            <w:tcBorders>
              <w:top w:val="nil"/>
              <w:left w:val="nil"/>
              <w:bottom w:val="nil"/>
              <w:right w:val="nil"/>
            </w:tcBorders>
            <w:vAlign w:val="center"/>
          </w:tcPr>
          <w:p w14:paraId="2CA95DB0">
            <w:pPr>
              <w:spacing w:line="240" w:lineRule="auto"/>
              <w:ind w:firstLine="0" w:firstLineChars="0"/>
              <w:jc w:val="center"/>
            </w:pPr>
            <w:r>
              <w:rPr>
                <w:sz w:val="21"/>
                <w:szCs w:val="21"/>
              </w:rPr>
              <w:t>0.130</w:t>
            </w:r>
          </w:p>
        </w:tc>
        <w:tc>
          <w:tcPr>
            <w:tcW w:w="1105" w:type="dxa"/>
            <w:tcBorders>
              <w:top w:val="nil"/>
              <w:left w:val="nil"/>
              <w:bottom w:val="nil"/>
              <w:right w:val="nil"/>
            </w:tcBorders>
            <w:vAlign w:val="center"/>
          </w:tcPr>
          <w:p w14:paraId="787BFF7A">
            <w:pPr>
              <w:spacing w:line="240" w:lineRule="auto"/>
              <w:ind w:firstLine="0" w:firstLineChars="0"/>
              <w:jc w:val="center"/>
            </w:pPr>
            <w:r>
              <w:rPr>
                <w:sz w:val="21"/>
                <w:szCs w:val="21"/>
              </w:rPr>
              <w:t>0.150</w:t>
            </w:r>
          </w:p>
        </w:tc>
      </w:tr>
      <w:tr w14:paraId="19257C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376" w:type="dxa"/>
            <w:tcBorders>
              <w:top w:val="nil"/>
              <w:left w:val="nil"/>
              <w:bottom w:val="nil"/>
              <w:right w:val="nil"/>
            </w:tcBorders>
            <w:vAlign w:val="center"/>
          </w:tcPr>
          <w:p w14:paraId="7E9E7314">
            <w:pPr>
              <w:spacing w:line="240" w:lineRule="auto"/>
              <w:ind w:firstLine="0" w:firstLineChars="0"/>
              <w:jc w:val="center"/>
            </w:pPr>
            <w:r>
              <w:rPr>
                <w:sz w:val="21"/>
                <w:szCs w:val="21"/>
              </w:rPr>
              <w:t>Ts</w:t>
            </w:r>
          </w:p>
        </w:tc>
        <w:tc>
          <w:tcPr>
            <w:tcW w:w="1376" w:type="dxa"/>
            <w:tcBorders>
              <w:top w:val="nil"/>
              <w:left w:val="nil"/>
              <w:bottom w:val="nil"/>
              <w:right w:val="nil"/>
            </w:tcBorders>
            <w:vAlign w:val="center"/>
          </w:tcPr>
          <w:p w14:paraId="1FB1B84F">
            <w:pPr>
              <w:spacing w:line="240" w:lineRule="auto"/>
              <w:ind w:firstLine="0" w:firstLineChars="0"/>
              <w:jc w:val="center"/>
            </w:pPr>
            <w:r>
              <w:rPr>
                <w:sz w:val="21"/>
                <w:szCs w:val="21"/>
              </w:rPr>
              <w:t>横向间距</w:t>
            </w:r>
          </w:p>
        </w:tc>
        <w:tc>
          <w:tcPr>
            <w:tcW w:w="1106" w:type="dxa"/>
            <w:tcBorders>
              <w:top w:val="nil"/>
              <w:left w:val="nil"/>
              <w:bottom w:val="nil"/>
              <w:right w:val="nil"/>
            </w:tcBorders>
            <w:vAlign w:val="center"/>
          </w:tcPr>
          <w:p w14:paraId="7FF873DB">
            <w:pPr>
              <w:spacing w:line="240" w:lineRule="auto"/>
              <w:ind w:firstLine="0" w:firstLineChars="0"/>
              <w:jc w:val="center"/>
            </w:pPr>
            <w:r>
              <w:rPr>
                <w:sz w:val="21"/>
                <w:szCs w:val="21"/>
              </w:rPr>
              <w:t>0.50</w:t>
            </w:r>
          </w:p>
        </w:tc>
        <w:tc>
          <w:tcPr>
            <w:tcW w:w="1105" w:type="dxa"/>
            <w:tcBorders>
              <w:top w:val="nil"/>
              <w:left w:val="nil"/>
              <w:bottom w:val="nil"/>
              <w:right w:val="nil"/>
            </w:tcBorders>
            <w:vAlign w:val="center"/>
          </w:tcPr>
          <w:p w14:paraId="79818B7F">
            <w:pPr>
              <w:spacing w:line="240" w:lineRule="auto"/>
              <w:ind w:firstLine="0" w:firstLineChars="0"/>
              <w:jc w:val="center"/>
            </w:pPr>
            <w:r>
              <w:rPr>
                <w:sz w:val="21"/>
                <w:szCs w:val="21"/>
              </w:rPr>
              <w:t>0.75</w:t>
            </w:r>
          </w:p>
        </w:tc>
        <w:tc>
          <w:tcPr>
            <w:tcW w:w="1105" w:type="dxa"/>
            <w:tcBorders>
              <w:top w:val="nil"/>
              <w:left w:val="nil"/>
              <w:bottom w:val="nil"/>
              <w:right w:val="nil"/>
            </w:tcBorders>
            <w:vAlign w:val="center"/>
          </w:tcPr>
          <w:p w14:paraId="79D1798D">
            <w:pPr>
              <w:spacing w:line="240" w:lineRule="auto"/>
              <w:ind w:firstLine="0" w:firstLineChars="0"/>
              <w:jc w:val="center"/>
            </w:pPr>
            <w:r>
              <w:rPr>
                <w:sz w:val="21"/>
                <w:szCs w:val="21"/>
              </w:rPr>
              <w:t>1.00</w:t>
            </w:r>
          </w:p>
        </w:tc>
        <w:tc>
          <w:tcPr>
            <w:tcW w:w="1105" w:type="dxa"/>
            <w:tcBorders>
              <w:top w:val="nil"/>
              <w:left w:val="nil"/>
              <w:bottom w:val="nil"/>
              <w:right w:val="nil"/>
            </w:tcBorders>
            <w:vAlign w:val="center"/>
          </w:tcPr>
          <w:p w14:paraId="7430FE25">
            <w:pPr>
              <w:spacing w:line="240" w:lineRule="auto"/>
              <w:ind w:firstLine="0" w:firstLineChars="0"/>
              <w:jc w:val="center"/>
            </w:pPr>
            <w:r>
              <w:rPr>
                <w:sz w:val="21"/>
                <w:szCs w:val="21"/>
              </w:rPr>
              <w:t>1.25</w:t>
            </w:r>
          </w:p>
        </w:tc>
        <w:tc>
          <w:tcPr>
            <w:tcW w:w="1105" w:type="dxa"/>
            <w:tcBorders>
              <w:top w:val="nil"/>
              <w:left w:val="nil"/>
              <w:bottom w:val="nil"/>
              <w:right w:val="nil"/>
            </w:tcBorders>
            <w:vAlign w:val="center"/>
          </w:tcPr>
          <w:p w14:paraId="1692CF40">
            <w:pPr>
              <w:spacing w:line="240" w:lineRule="auto"/>
              <w:ind w:firstLine="0" w:firstLineChars="0"/>
              <w:jc w:val="center"/>
            </w:pPr>
            <w:r>
              <w:rPr>
                <w:sz w:val="21"/>
                <w:szCs w:val="21"/>
              </w:rPr>
              <w:t>1.50</w:t>
            </w:r>
          </w:p>
        </w:tc>
      </w:tr>
      <w:tr w14:paraId="5492B4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376" w:type="dxa"/>
            <w:tcBorders>
              <w:top w:val="nil"/>
              <w:left w:val="nil"/>
              <w:bottom w:val="nil"/>
              <w:right w:val="nil"/>
            </w:tcBorders>
            <w:vAlign w:val="center"/>
          </w:tcPr>
          <w:p w14:paraId="4E329BCB">
            <w:pPr>
              <w:spacing w:line="240" w:lineRule="auto"/>
              <w:ind w:firstLine="0" w:firstLineChars="0"/>
              <w:jc w:val="center"/>
            </w:pPr>
            <w:r>
              <w:rPr>
                <w:sz w:val="21"/>
                <w:szCs w:val="21"/>
              </w:rPr>
              <w:t>Tt</w:t>
            </w:r>
          </w:p>
        </w:tc>
        <w:tc>
          <w:tcPr>
            <w:tcW w:w="1376" w:type="dxa"/>
            <w:tcBorders>
              <w:top w:val="nil"/>
              <w:left w:val="nil"/>
              <w:bottom w:val="nil"/>
              <w:right w:val="nil"/>
            </w:tcBorders>
            <w:vAlign w:val="center"/>
          </w:tcPr>
          <w:p w14:paraId="068F9F3B">
            <w:pPr>
              <w:spacing w:line="240" w:lineRule="auto"/>
              <w:ind w:firstLine="0" w:firstLineChars="0"/>
              <w:jc w:val="center"/>
            </w:pPr>
            <w:r>
              <w:rPr>
                <w:rFonts w:hint="eastAsia"/>
                <w:sz w:val="21"/>
                <w:szCs w:val="21"/>
                <w:lang w:eastAsia="zh-CN"/>
              </w:rPr>
              <w:t>纵</w:t>
            </w:r>
            <w:r>
              <w:rPr>
                <w:sz w:val="21"/>
                <w:szCs w:val="21"/>
              </w:rPr>
              <w:t>向间距</w:t>
            </w:r>
          </w:p>
        </w:tc>
        <w:tc>
          <w:tcPr>
            <w:tcW w:w="1106" w:type="dxa"/>
            <w:tcBorders>
              <w:top w:val="nil"/>
              <w:left w:val="nil"/>
              <w:bottom w:val="nil"/>
              <w:right w:val="nil"/>
            </w:tcBorders>
            <w:vAlign w:val="center"/>
          </w:tcPr>
          <w:p w14:paraId="4EDC3DCD">
            <w:pPr>
              <w:spacing w:line="240" w:lineRule="auto"/>
              <w:ind w:firstLine="0" w:firstLineChars="0"/>
              <w:jc w:val="center"/>
            </w:pPr>
            <w:r>
              <w:rPr>
                <w:sz w:val="21"/>
                <w:szCs w:val="21"/>
              </w:rPr>
              <w:t>0.50</w:t>
            </w:r>
          </w:p>
        </w:tc>
        <w:tc>
          <w:tcPr>
            <w:tcW w:w="1105" w:type="dxa"/>
            <w:tcBorders>
              <w:top w:val="nil"/>
              <w:left w:val="nil"/>
              <w:bottom w:val="nil"/>
              <w:right w:val="nil"/>
            </w:tcBorders>
            <w:vAlign w:val="center"/>
          </w:tcPr>
          <w:p w14:paraId="723BB11E">
            <w:pPr>
              <w:spacing w:line="240" w:lineRule="auto"/>
              <w:ind w:firstLine="0" w:firstLineChars="0"/>
              <w:jc w:val="center"/>
            </w:pPr>
            <w:r>
              <w:rPr>
                <w:sz w:val="21"/>
                <w:szCs w:val="21"/>
              </w:rPr>
              <w:t>0.65</w:t>
            </w:r>
          </w:p>
        </w:tc>
        <w:tc>
          <w:tcPr>
            <w:tcW w:w="1105" w:type="dxa"/>
            <w:tcBorders>
              <w:top w:val="nil"/>
              <w:left w:val="nil"/>
              <w:bottom w:val="nil"/>
              <w:right w:val="nil"/>
            </w:tcBorders>
            <w:vAlign w:val="center"/>
          </w:tcPr>
          <w:p w14:paraId="7706CF52">
            <w:pPr>
              <w:spacing w:line="240" w:lineRule="auto"/>
              <w:ind w:firstLine="0" w:firstLineChars="0"/>
              <w:jc w:val="center"/>
            </w:pPr>
            <w:r>
              <w:rPr>
                <w:sz w:val="21"/>
                <w:szCs w:val="21"/>
              </w:rPr>
              <w:t>0.85</w:t>
            </w:r>
          </w:p>
        </w:tc>
        <w:tc>
          <w:tcPr>
            <w:tcW w:w="1105" w:type="dxa"/>
            <w:tcBorders>
              <w:top w:val="nil"/>
              <w:left w:val="nil"/>
              <w:bottom w:val="nil"/>
              <w:right w:val="nil"/>
            </w:tcBorders>
            <w:vAlign w:val="center"/>
          </w:tcPr>
          <w:p w14:paraId="5B4C6DB4">
            <w:pPr>
              <w:spacing w:line="240" w:lineRule="auto"/>
              <w:ind w:firstLine="0" w:firstLineChars="0"/>
              <w:jc w:val="center"/>
            </w:pPr>
            <w:r>
              <w:rPr>
                <w:sz w:val="21"/>
                <w:szCs w:val="21"/>
              </w:rPr>
              <w:t>1.05</w:t>
            </w:r>
          </w:p>
        </w:tc>
        <w:tc>
          <w:tcPr>
            <w:tcW w:w="1105" w:type="dxa"/>
            <w:tcBorders>
              <w:top w:val="nil"/>
              <w:left w:val="nil"/>
              <w:bottom w:val="nil"/>
              <w:right w:val="nil"/>
            </w:tcBorders>
            <w:vAlign w:val="center"/>
          </w:tcPr>
          <w:p w14:paraId="1E198868">
            <w:pPr>
              <w:spacing w:line="240" w:lineRule="auto"/>
              <w:ind w:firstLine="0" w:firstLineChars="0"/>
              <w:jc w:val="center"/>
            </w:pPr>
            <w:r>
              <w:rPr>
                <w:sz w:val="21"/>
                <w:szCs w:val="21"/>
              </w:rPr>
              <w:t>1.20</w:t>
            </w:r>
          </w:p>
        </w:tc>
      </w:tr>
      <w:tr w14:paraId="196888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376" w:type="dxa"/>
            <w:tcBorders>
              <w:top w:val="nil"/>
              <w:left w:val="nil"/>
              <w:bottom w:val="single" w:color="000000" w:sz="8" w:space="0"/>
              <w:right w:val="nil"/>
            </w:tcBorders>
            <w:vAlign w:val="center"/>
          </w:tcPr>
          <w:p w14:paraId="1B229D17">
            <w:pPr>
              <w:spacing w:line="240" w:lineRule="auto"/>
              <w:ind w:firstLine="0" w:firstLineChars="0"/>
              <w:jc w:val="center"/>
            </w:pPr>
            <w:r>
              <w:rPr>
                <w:sz w:val="21"/>
                <w:szCs w:val="21"/>
              </w:rPr>
              <w:t>Tad</w:t>
            </w:r>
          </w:p>
        </w:tc>
        <w:tc>
          <w:tcPr>
            <w:tcW w:w="1376" w:type="dxa"/>
            <w:tcBorders>
              <w:top w:val="nil"/>
              <w:left w:val="nil"/>
              <w:bottom w:val="single" w:color="000000" w:sz="8" w:space="0"/>
              <w:right w:val="nil"/>
            </w:tcBorders>
            <w:vAlign w:val="center"/>
          </w:tcPr>
          <w:p w14:paraId="19F13CFF">
            <w:pPr>
              <w:spacing w:line="240" w:lineRule="auto"/>
              <w:ind w:firstLine="0" w:firstLineChars="0"/>
              <w:jc w:val="center"/>
            </w:pPr>
            <w:r>
              <w:rPr>
                <w:sz w:val="21"/>
                <w:szCs w:val="21"/>
              </w:rPr>
              <w:t>交错位移</w:t>
            </w:r>
          </w:p>
        </w:tc>
        <w:tc>
          <w:tcPr>
            <w:tcW w:w="1106" w:type="dxa"/>
            <w:tcBorders>
              <w:top w:val="nil"/>
              <w:left w:val="nil"/>
              <w:bottom w:val="single" w:color="000000" w:sz="8" w:space="0"/>
              <w:right w:val="nil"/>
            </w:tcBorders>
            <w:vAlign w:val="center"/>
          </w:tcPr>
          <w:p w14:paraId="56BDBA9B">
            <w:pPr>
              <w:spacing w:line="240" w:lineRule="auto"/>
              <w:ind w:firstLine="0" w:firstLineChars="0"/>
              <w:jc w:val="center"/>
            </w:pPr>
            <w:r>
              <w:rPr>
                <w:sz w:val="21"/>
                <w:szCs w:val="21"/>
              </w:rPr>
              <w:t>0.00</w:t>
            </w:r>
          </w:p>
        </w:tc>
        <w:tc>
          <w:tcPr>
            <w:tcW w:w="1105" w:type="dxa"/>
            <w:tcBorders>
              <w:top w:val="nil"/>
              <w:left w:val="nil"/>
              <w:bottom w:val="single" w:color="000000" w:sz="8" w:space="0"/>
              <w:right w:val="nil"/>
            </w:tcBorders>
            <w:vAlign w:val="center"/>
          </w:tcPr>
          <w:p w14:paraId="47ACC073">
            <w:pPr>
              <w:spacing w:line="240" w:lineRule="auto"/>
              <w:ind w:firstLine="0" w:firstLineChars="0"/>
              <w:jc w:val="center"/>
            </w:pPr>
            <w:r>
              <w:rPr>
                <w:sz w:val="21"/>
                <w:szCs w:val="21"/>
              </w:rPr>
              <w:t>0.25</w:t>
            </w:r>
          </w:p>
        </w:tc>
        <w:tc>
          <w:tcPr>
            <w:tcW w:w="1105" w:type="dxa"/>
            <w:tcBorders>
              <w:top w:val="nil"/>
              <w:left w:val="nil"/>
              <w:bottom w:val="single" w:color="000000" w:sz="8" w:space="0"/>
              <w:right w:val="nil"/>
            </w:tcBorders>
            <w:vAlign w:val="center"/>
          </w:tcPr>
          <w:p w14:paraId="495FC415">
            <w:pPr>
              <w:spacing w:line="240" w:lineRule="auto"/>
              <w:ind w:firstLine="0" w:firstLineChars="0"/>
              <w:jc w:val="center"/>
            </w:pPr>
            <w:r>
              <w:rPr>
                <w:sz w:val="21"/>
                <w:szCs w:val="21"/>
              </w:rPr>
              <w:t>0.50</w:t>
            </w:r>
          </w:p>
        </w:tc>
        <w:tc>
          <w:tcPr>
            <w:tcW w:w="1105" w:type="dxa"/>
            <w:tcBorders>
              <w:top w:val="nil"/>
              <w:left w:val="nil"/>
              <w:bottom w:val="single" w:color="000000" w:sz="8" w:space="0"/>
              <w:right w:val="nil"/>
            </w:tcBorders>
            <w:vAlign w:val="center"/>
          </w:tcPr>
          <w:p w14:paraId="79F23E54">
            <w:pPr>
              <w:spacing w:line="240" w:lineRule="auto"/>
              <w:ind w:firstLine="0" w:firstLineChars="0"/>
              <w:jc w:val="center"/>
            </w:pPr>
            <w:r>
              <w:rPr>
                <w:sz w:val="21"/>
                <w:szCs w:val="21"/>
              </w:rPr>
              <w:t>0.75</w:t>
            </w:r>
          </w:p>
        </w:tc>
        <w:tc>
          <w:tcPr>
            <w:tcW w:w="1105" w:type="dxa"/>
            <w:tcBorders>
              <w:top w:val="nil"/>
              <w:left w:val="nil"/>
              <w:bottom w:val="single" w:color="000000" w:sz="8" w:space="0"/>
              <w:right w:val="nil"/>
            </w:tcBorders>
            <w:vAlign w:val="center"/>
          </w:tcPr>
          <w:p w14:paraId="5D4E2183">
            <w:pPr>
              <w:spacing w:line="240" w:lineRule="auto"/>
              <w:ind w:firstLine="0" w:firstLineChars="0"/>
              <w:jc w:val="center"/>
            </w:pPr>
            <w:r>
              <w:rPr>
                <w:sz w:val="21"/>
                <w:szCs w:val="21"/>
              </w:rPr>
              <w:t>1.00</w:t>
            </w:r>
          </w:p>
        </w:tc>
      </w:tr>
      <w:bookmarkEnd w:id="10"/>
    </w:tbl>
    <w:p w14:paraId="5A424A37">
      <w:pPr>
        <w:pStyle w:val="5"/>
        <w:ind w:left="480"/>
        <w:rPr>
          <w:lang w:eastAsia="zh-CN"/>
        </w:rPr>
      </w:pPr>
      <w:bookmarkStart w:id="11" w:name="cfd-数据集构建与质量检查"/>
      <w:r>
        <w:rPr>
          <w:lang w:eastAsia="zh-CN"/>
        </w:rPr>
        <w:t>3.3 CFD 数据集构建与质量检查</w:t>
      </w:r>
    </w:p>
    <w:p w14:paraId="3C260210">
      <w:pPr>
        <w:pStyle w:val="32"/>
        <w:spacing w:before="0" w:after="0"/>
        <w:ind w:firstLine="480"/>
        <w:rPr>
          <w:lang w:eastAsia="zh-CN"/>
        </w:rPr>
      </w:pPr>
      <w:r>
        <w:rPr>
          <w:lang w:eastAsia="zh-CN"/>
        </w:rPr>
        <w:t>基于采样结果，借助自动化脚本驱动 COMSOL 批量建模并完成稳态流热耦合求解。每组样本提取 6 维几何参数、速度场云图、温度场云图、压力场云图以及对应的 Nu 和 f。其中，几何参数描述翼型外形和阵列排布，三类物理场图像分别表征流动、换热和流阻的空间分布信息。批量计算后，对样本进行收敛性、异常值和图像一致性检查，剔除未收敛或宏观监测量明显波动的工况，并统一云图范围、视角、分辨率和色标映射方式。最终保留 500 组有效样本，可表示为：</w:t>
      </w:r>
    </w:p>
    <w:tbl>
      <w:tblPr>
        <w:tblStyle w:val="23"/>
        <w:tblW w:w="8278" w:type="dxa"/>
        <w:jc w:val="center"/>
        <w:tblLayout w:type="fixed"/>
        <w:tblCellMar>
          <w:top w:w="0" w:type="dxa"/>
          <w:left w:w="10" w:type="dxa"/>
          <w:bottom w:w="0" w:type="dxa"/>
          <w:right w:w="10" w:type="dxa"/>
        </w:tblCellMar>
      </w:tblPr>
      <w:tblGrid>
        <w:gridCol w:w="7217"/>
        <w:gridCol w:w="1061"/>
      </w:tblGrid>
      <w:tr w14:paraId="58F7A301">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1929F0BD">
            <w:pPr>
              <w:spacing w:line="240" w:lineRule="auto"/>
              <w:ind w:firstLine="480"/>
              <w:jc w:val="center"/>
              <w:rPr>
                <w:rFonts w:hAnsi="Cambria Math"/>
              </w:rPr>
            </w:pPr>
            <m:oMathPara>
              <m:oMath>
                <m:r>
                  <m:rPr/>
                  <w:rPr>
                    <w:rFonts w:ascii="Cambria Math" w:hAnsi="Cambria Math"/>
                  </w:rPr>
                  <m:t>Sampl</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tc>
        <w:tc>
          <w:tcPr>
            <w:tcW w:w="1061" w:type="dxa"/>
            <w:tcBorders>
              <w:top w:val="nil"/>
              <w:left w:val="nil"/>
              <w:bottom w:val="nil"/>
              <w:right w:val="nil"/>
            </w:tcBorders>
            <w:vAlign w:val="center"/>
          </w:tcPr>
          <w:p w14:paraId="79053CBA">
            <w:pPr>
              <w:ind w:firstLine="0" w:firstLineChars="0"/>
              <w:jc w:val="right"/>
            </w:pPr>
            <w:r>
              <w:rPr>
                <w:rFonts w:eastAsia="Times New Roman"/>
                <w:sz w:val="21"/>
                <w:szCs w:val="21"/>
              </w:rPr>
              <w:t>(</w:t>
            </w:r>
            <w:r>
              <w:rPr>
                <w:rFonts w:hint="eastAsia" w:eastAsiaTheme="minorEastAsia"/>
                <w:sz w:val="21"/>
                <w:szCs w:val="21"/>
                <w:lang w:val="en-US" w:eastAsia="zh-CN"/>
              </w:rPr>
              <w:t>12</w:t>
            </w:r>
            <w:r>
              <w:rPr>
                <w:rFonts w:eastAsia="Times New Roman"/>
                <w:sz w:val="21"/>
                <w:szCs w:val="21"/>
              </w:rPr>
              <w:t>)</w:t>
            </w:r>
          </w:p>
        </w:tc>
      </w:tr>
    </w:tbl>
    <w:p w14:paraId="280E17DF">
      <w:pPr>
        <w:pStyle w:val="32"/>
      </w:pPr>
      <w:r>
        <w:rPr>
          <w:lang w:eastAsia="zh-CN"/>
        </w:rPr>
        <w:t>式中，</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a</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wa</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b</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s</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t</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ad</m:t>
            </m:r>
            <m:ctrlPr>
              <w:rPr>
                <w:rFonts w:ascii="Cambria Math" w:hAnsi="Cambria Math"/>
              </w:rPr>
            </m:ctrlPr>
          </m:sub>
        </m:sSub>
        <m:r>
          <m:rPr/>
          <w:rPr>
            <w:rFonts w:ascii="Cambria Math" w:hAnsi="Cambria Math"/>
            <w:lang w:eastAsia="zh-CN"/>
          </w:rPr>
          <m:t>]</m:t>
        </m:r>
        <m:r>
          <m:rPr>
            <m:sty m:val="p"/>
          </m:rPr>
          <w:rPr>
            <w:rFonts w:ascii="Cambria Math" w:hAnsi="Cambria Math"/>
            <w:lang w:eastAsia="zh-CN"/>
          </w:rPr>
          <m:t xml:space="preserve"> </m:t>
        </m:r>
      </m:oMath>
      <w:r>
        <w:rPr>
          <w:lang w:eastAsia="zh-CN"/>
        </w:rPr>
        <w:t>为几何参数向量，</w:t>
      </w:r>
      <m:oMath>
        <m:sSub>
          <m:sSubPr>
            <m:ctrlPr>
              <w:rPr>
                <w:rFonts w:ascii="Cambria Math" w:hAnsi="Cambria Math"/>
              </w:rPr>
            </m:ctrlPr>
          </m:sSubPr>
          <m:e>
            <m:r>
              <m:rPr/>
              <w:rPr>
                <w:rFonts w:ascii="Cambria Math" w:hAnsi="Cambria Math"/>
                <w:lang w:eastAsia="zh-CN"/>
              </w:rPr>
              <m:t>I</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为速度场、温度场和压力场图像集合，</w:t>
      </w:r>
      <m:oMath>
        <m:sSub>
          <m:sSubPr>
            <m:ctrlPr>
              <w:rPr>
                <w:rFonts w:ascii="Cambria Math" w:hAnsi="Cambria Math"/>
              </w:rPr>
            </m:ctrlPr>
          </m:sSubPr>
          <m:e>
            <m:r>
              <m:rPr/>
              <w:rPr>
                <w:rFonts w:ascii="Cambria Math" w:hAnsi="Cambria Math"/>
                <w:lang w:eastAsia="zh-CN"/>
              </w:rPr>
              <m:t>y</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=[Nu,f]</m:t>
        </m:r>
      </m:oMath>
      <w:r>
        <w:rPr>
          <w:lang w:eastAsia="zh-CN"/>
        </w:rPr>
        <w:t xml:space="preserve"> 为性能标签。</w:t>
      </w:r>
    </w:p>
    <w:bookmarkEnd w:id="8"/>
    <w:bookmarkEnd w:id="11"/>
    <w:p w14:paraId="2AACF3DF">
      <w:pPr>
        <w:pStyle w:val="4"/>
        <w:jc w:val="both"/>
        <w:rPr>
          <w:lang w:eastAsia="zh-CN"/>
        </w:rPr>
      </w:pPr>
      <w:bookmarkStart w:id="12" w:name="代理模型构建与参数化优化"/>
      <w:r>
        <w:rPr>
          <w:lang w:eastAsia="zh-CN"/>
        </w:rPr>
        <w:t>4 代理模型构建与参数化优化</w:t>
      </w:r>
    </w:p>
    <w:p w14:paraId="48147286">
      <w:pPr>
        <w:pStyle w:val="32"/>
        <w:spacing w:before="0" w:after="0"/>
        <w:ind w:firstLine="480"/>
        <w:rPr>
          <w:lang w:eastAsia="zh-CN"/>
        </w:rPr>
      </w:pPr>
      <w:r>
        <w:rPr>
          <w:lang w:eastAsia="zh-CN"/>
        </w:rPr>
        <w:t>传统 CFD 参数优化需要对大量候选结构进行重复建模和求解，计算成本较高。</w:t>
      </w:r>
      <w:r>
        <w:rPr>
          <w:rFonts w:hint="eastAsia"/>
          <w:lang w:eastAsia="zh-CN"/>
        </w:rPr>
        <w:t>为提高翼型管翅片散热器形状与布局参数优化效率</w:t>
      </w:r>
      <w:r>
        <w:rPr>
          <w:lang w:eastAsia="zh-CN"/>
        </w:rPr>
        <w:t>，构建多模态 CNN 代理模型，用于快速预测不同设计参数下的 Nu 和 f，并将其作为差分进化算法的适应度评估器，实现</w:t>
      </w:r>
      <w:r>
        <w:rPr>
          <w:rFonts w:hint="eastAsia"/>
          <w:lang w:eastAsia="zh-CN"/>
        </w:rPr>
        <w:t>候选结构方案</w:t>
      </w:r>
      <w:r>
        <w:rPr>
          <w:lang w:eastAsia="zh-CN"/>
        </w:rPr>
        <w:t>的快速筛选。</w:t>
      </w:r>
    </w:p>
    <w:p w14:paraId="537A6794">
      <w:pPr>
        <w:pStyle w:val="5"/>
        <w:ind w:left="480"/>
        <w:rPr>
          <w:lang w:eastAsia="zh-CN"/>
        </w:rPr>
      </w:pPr>
      <w:bookmarkStart w:id="13" w:name="多模态-cnn-代理模型构建"/>
      <w:r>
        <w:rPr>
          <w:lang w:eastAsia="zh-CN"/>
        </w:rPr>
        <w:t>4.1 多模态 CNN 代理模型构建</w:t>
      </w:r>
    </w:p>
    <w:p w14:paraId="19E47DFF">
      <w:pPr>
        <w:pStyle w:val="21"/>
        <w:ind w:firstLine="480"/>
      </w:pPr>
      <w:r>
        <w:t>多模态 CNN 采用双流特征融合结构，包括物理场视觉编码分支、几何特征嵌入分支和融合回归模块。对每个 CFD 样本，将同一构型下的速度场、温度场和压力场云图统一裁剪、缩放和归一化后，作为物理场图像输入</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oMath>
      <w:r>
        <w:t xml:space="preserve">；同时将 6 维几何参数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ad</m:t>
            </m:r>
            <m:ctrlPr>
              <w:rPr>
                <w:rFonts w:ascii="Cambria Math" w:hAnsi="Cambria Math"/>
              </w:rPr>
            </m:ctrlPr>
          </m:sub>
        </m:sSub>
        <m:r>
          <m:rPr/>
          <w:rPr>
            <w:rFonts w:ascii="Cambria Math" w:hAnsi="Cambria Math"/>
          </w:rPr>
          <m:t>]</m:t>
        </m:r>
      </m:oMath>
      <w:r>
        <w:t xml:space="preserve"> 作为参数流输入。</w:t>
      </w:r>
    </w:p>
    <w:p w14:paraId="6DC26252">
      <w:pPr>
        <w:pStyle w:val="21"/>
        <w:ind w:firstLine="480"/>
      </w:pPr>
      <w:r>
        <w:t>速度场、温度场和压力场云图分别反映尾流速度亏损、热尾迹扩展及局部压力集中等空间信息。视觉分支通过卷积层提取云图中的梯度、纹理和空间分布特征，CBAM 从通道和空间两个维度调整特征权重，使模型更倾向于关注尾流区、热边界层和压力集中区等对 Nu 和 f 影响较大的区域；参数流 MLP 则编码 6 维几何变量，提供翼型形状和阵列布局的全局设计信息。两类特征拼接后经全连接层共同回归 Nu 和 f，其过程可表示为：</w:t>
      </w:r>
    </w:p>
    <w:tbl>
      <w:tblPr>
        <w:tblStyle w:val="23"/>
        <w:tblW w:w="8278" w:type="dxa"/>
        <w:jc w:val="center"/>
        <w:tblLayout w:type="fixed"/>
        <w:tblCellMar>
          <w:top w:w="0" w:type="dxa"/>
          <w:left w:w="10" w:type="dxa"/>
          <w:bottom w:w="0" w:type="dxa"/>
          <w:right w:w="10" w:type="dxa"/>
        </w:tblCellMar>
      </w:tblPr>
      <w:tblGrid>
        <w:gridCol w:w="7217"/>
        <w:gridCol w:w="1061"/>
      </w:tblGrid>
      <w:tr w14:paraId="4654FC33">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5542D6F4">
            <w:pPr>
              <w:spacing w:line="240" w:lineRule="auto"/>
              <w:ind w:firstLine="480"/>
              <w:jc w:val="center"/>
            </w:pPr>
            <m:oMathPara>
              <m:oMath>
                <m:sSub>
                  <m:sSubPr/>
                  <m:e>
                    <m:r>
                      <m:rPr/>
                      <m:t>F</m:t>
                    </m:r>
                  </m:e>
                  <m:sub>
                    <m:r>
                      <m:rPr/>
                      <m:t>img</m:t>
                    </m:r>
                  </m:sub>
                </m:sSub>
                <m:r>
                  <m:rPr/>
                  <w:rPr>
                    <w:rFonts w:ascii="Cambria Math" w:hAnsi="Cambria Math"/>
                  </w:rPr>
                  <m:t>=</m:t>
                </m:r>
                <m:r>
                  <m:rPr/>
                  <m:t>CN</m:t>
                </m:r>
                <m:sSub>
                  <m:sSubPr/>
                  <m:e>
                    <m:r>
                      <m:rPr/>
                      <m:t>N</m:t>
                    </m:r>
                  </m:e>
                  <m:sub>
                    <m:r>
                      <m:rPr/>
                      <m:t>CBAM</m:t>
                    </m: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oMath>
            </m:oMathPara>
          </w:p>
        </w:tc>
        <w:tc>
          <w:tcPr>
            <w:tcW w:w="1061" w:type="dxa"/>
            <w:tcBorders>
              <w:top w:val="nil"/>
              <w:left w:val="nil"/>
              <w:bottom w:val="nil"/>
              <w:right w:val="nil"/>
            </w:tcBorders>
            <w:vAlign w:val="center"/>
          </w:tcPr>
          <w:p w14:paraId="003D2F87">
            <w:pPr>
              <w:ind w:firstLine="0" w:firstLineChars="0"/>
              <w:jc w:val="right"/>
            </w:pPr>
            <w:r>
              <w:rPr>
                <w:rFonts w:eastAsia="Times New Roman"/>
                <w:sz w:val="21"/>
                <w:szCs w:val="21"/>
              </w:rPr>
              <w:t>(</w:t>
            </w:r>
            <w:r>
              <w:rPr>
                <w:rFonts w:hint="eastAsia" w:eastAsiaTheme="minorEastAsia"/>
                <w:sz w:val="21"/>
                <w:szCs w:val="21"/>
                <w:lang w:val="en-US" w:eastAsia="zh-CN"/>
              </w:rPr>
              <w:t>13</w:t>
            </w:r>
            <w:r>
              <w:rPr>
                <w:rFonts w:eastAsia="Times New Roman"/>
                <w:sz w:val="21"/>
                <w:szCs w:val="21"/>
              </w:rPr>
              <w:t>)</w:t>
            </w:r>
          </w:p>
        </w:tc>
      </w:tr>
      <w:tr w14:paraId="33A2D3F9">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455C062C">
            <w:pPr>
              <w:spacing w:line="240" w:lineRule="auto"/>
              <w:ind w:firstLine="480"/>
              <w:jc w:val="center"/>
            </w:pPr>
            <m:oMathPara>
              <m:oMath>
                <m:sSub>
                  <m:sSubPr/>
                  <m:e>
                    <m:r>
                      <m:rPr/>
                      <m:t>F</m:t>
                    </m:r>
                  </m:e>
                  <m:sub>
                    <m:r>
                      <m:rPr/>
                      <m:t>geo</m:t>
                    </m:r>
                  </m:sub>
                </m:sSub>
                <m:r>
                  <m:rPr/>
                  <w:rPr>
                    <w:rFonts w:ascii="Cambria Math" w:hAnsi="Cambria Math"/>
                  </w:rPr>
                  <m:t>=MLP(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tc>
        <w:tc>
          <w:tcPr>
            <w:tcW w:w="1061" w:type="dxa"/>
            <w:tcBorders>
              <w:top w:val="nil"/>
              <w:left w:val="nil"/>
              <w:bottom w:val="nil"/>
              <w:right w:val="nil"/>
            </w:tcBorders>
            <w:vAlign w:val="center"/>
          </w:tcPr>
          <w:p w14:paraId="76659F72">
            <w:pPr>
              <w:ind w:firstLine="0" w:firstLineChars="0"/>
              <w:jc w:val="right"/>
            </w:pPr>
            <w:r>
              <w:rPr>
                <w:rFonts w:eastAsia="Times New Roman"/>
                <w:sz w:val="21"/>
                <w:szCs w:val="21"/>
              </w:rPr>
              <w:t>(</w:t>
            </w:r>
            <w:r>
              <w:rPr>
                <w:rFonts w:hint="eastAsia" w:eastAsiaTheme="minorEastAsia"/>
                <w:sz w:val="21"/>
                <w:szCs w:val="21"/>
                <w:lang w:val="en-US" w:eastAsia="zh-CN"/>
              </w:rPr>
              <w:t>14</w:t>
            </w:r>
            <w:r>
              <w:rPr>
                <w:rFonts w:eastAsia="Times New Roman"/>
                <w:sz w:val="21"/>
                <w:szCs w:val="21"/>
              </w:rPr>
              <w:t>)</w:t>
            </w:r>
          </w:p>
        </w:tc>
      </w:tr>
      <w:tr w14:paraId="259BE402">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08AABF2B">
            <w:pPr>
              <w:spacing w:line="240" w:lineRule="auto"/>
              <w:ind w:firstLine="480"/>
              <w:jc w:val="center"/>
            </w:pPr>
            <m:oMathPara>
              <m:oMath>
                <m:r>
                  <m:rPr/>
                  <w:rPr>
                    <w:rFonts w:ascii="Cambria Math" w:hAnsi="Cambria Math"/>
                  </w:rPr>
                  <m:t>[Nu,f]=FC([</m:t>
                </m:r>
                <m:sSub>
                  <m:sSubPr/>
                  <m:e>
                    <m:r>
                      <m:rPr/>
                      <m:t>F</m:t>
                    </m:r>
                  </m:e>
                  <m:sub>
                    <m:r>
                      <m:rPr/>
                      <m:t>img</m:t>
                    </m:r>
                  </m:sub>
                </m:sSub>
                <m:r>
                  <m:rPr/>
                  <w:rPr>
                    <w:rFonts w:ascii="Cambria Math" w:hAnsi="Cambria Math"/>
                  </w:rPr>
                  <m:t>,</m:t>
                </m:r>
                <m:sSub>
                  <m:sSubPr/>
                  <m:e>
                    <m:r>
                      <m:rPr/>
                      <m:t>F</m:t>
                    </m:r>
                  </m:e>
                  <m:sub>
                    <m:r>
                      <m:rPr/>
                      <m:t>geo</m:t>
                    </m:r>
                  </m:sub>
                </m:sSub>
                <m:r>
                  <m:rPr/>
                  <w:rPr>
                    <w:rFonts w:ascii="Cambria Math" w:hAnsi="Cambria Math"/>
                  </w:rPr>
                  <m:t>])</m:t>
                </m:r>
              </m:oMath>
            </m:oMathPara>
          </w:p>
        </w:tc>
        <w:tc>
          <w:tcPr>
            <w:tcW w:w="1061" w:type="dxa"/>
            <w:tcBorders>
              <w:top w:val="nil"/>
              <w:left w:val="nil"/>
              <w:bottom w:val="nil"/>
              <w:right w:val="nil"/>
            </w:tcBorders>
            <w:vAlign w:val="center"/>
          </w:tcPr>
          <w:p w14:paraId="19748195">
            <w:pPr>
              <w:ind w:firstLine="0" w:firstLineChars="0"/>
              <w:jc w:val="right"/>
            </w:pPr>
            <w:r>
              <w:rPr>
                <w:rFonts w:eastAsia="Times New Roman"/>
                <w:sz w:val="21"/>
                <w:szCs w:val="21"/>
              </w:rPr>
              <w:t>(</w:t>
            </w:r>
            <w:r>
              <w:rPr>
                <w:rFonts w:hint="eastAsia" w:eastAsiaTheme="minorEastAsia"/>
                <w:sz w:val="21"/>
                <w:szCs w:val="21"/>
                <w:lang w:val="en-US" w:eastAsia="zh-CN"/>
              </w:rPr>
              <w:t>15</w:t>
            </w:r>
            <w:r>
              <w:rPr>
                <w:rFonts w:eastAsia="Times New Roman"/>
                <w:sz w:val="21"/>
                <w:szCs w:val="21"/>
              </w:rPr>
              <w:t>)</w:t>
            </w:r>
          </w:p>
        </w:tc>
      </w:tr>
    </w:tbl>
    <w:p w14:paraId="6886E103">
      <w:pPr>
        <w:pStyle w:val="21"/>
        <w:ind w:firstLine="480"/>
      </w:pPr>
      <w:r>
        <w:t>式中，</w:t>
      </w:r>
      <m:oMath>
        <m:sSub>
          <m:sSubPr/>
          <m:e>
            <m:r>
              <m:rPr/>
              <m:t>F</m:t>
            </m:r>
          </m:e>
          <m:sub>
            <m:r>
              <m:rPr/>
              <m:t>img</m:t>
            </m:r>
          </m:sub>
        </m:sSub>
      </m:oMath>
      <w:r>
        <w:t xml:space="preserve"> 为物理场图像特征向量，</w:t>
      </w:r>
      <m:oMath>
        <m:sSub>
          <m:sSubPr/>
          <m:e>
            <m:r>
              <m:rPr/>
              <m:t>F</m:t>
            </m:r>
          </m:e>
          <m:sub>
            <m:r>
              <m:rPr/>
              <m:t>geo</m:t>
            </m:r>
          </m:sub>
        </m:sSub>
      </m:oMath>
      <w:r>
        <w:t>为几何参数特征向量，</w:t>
      </w:r>
      <m:oMath>
        <m:r>
          <m:rPr/>
          <m:t>CN</m:t>
        </m:r>
        <m:sSub>
          <m:sSubPr/>
          <m:e>
            <m:r>
              <m:rPr/>
              <m:t>N</m:t>
            </m:r>
          </m:e>
          <m:sub>
            <m:r>
              <m:rPr/>
              <m:t>CBAM</m:t>
            </m:r>
          </m:sub>
        </m:sSub>
      </m:oMath>
      <w:r>
        <w:t>表示引入 CBAM 注意力机制的视觉编码分支，</w:t>
      </w:r>
      <m:oMath>
        <m:r>
          <m:rPr/>
          <w:rPr>
            <w:rFonts w:ascii="Cambria Math" w:hAnsi="Cambria Math"/>
          </w:rPr>
          <m:t>FC</m:t>
        </m:r>
      </m:oMath>
      <w:r>
        <w:t xml:space="preserve"> 表示融合全连接回归层。由此，模型建立了“几何参数—流热场空间结构—性能指标”之间的映射关系，而不是仅依靠几何标量直接预测 Nu 和 f。网络隐藏层激活函数采用 </w:t>
      </w:r>
      <m:oMath>
        <m:r>
          <m:rPr/>
          <w:rPr>
            <w:rFonts w:ascii="Cambria Math" w:hAnsi="Cambria Math"/>
          </w:rPr>
          <m:t>ReLU</m:t>
        </m:r>
      </m:oMath>
      <w:r>
        <w:t>，损失函数采用均方误差（</w:t>
      </w:r>
      <m:oMath>
        <m:r>
          <m:rPr/>
          <w:rPr>
            <w:rFonts w:ascii="Cambria Math" w:hAnsi="Cambria Math"/>
          </w:rPr>
          <m:t>MSE</m:t>
        </m:r>
      </m:oMath>
      <w:r>
        <w:t>），二者表达式分别为：</w:t>
      </w:r>
    </w:p>
    <w:tbl>
      <w:tblPr>
        <w:tblStyle w:val="23"/>
        <w:tblW w:w="8278" w:type="dxa"/>
        <w:jc w:val="center"/>
        <w:tblLayout w:type="fixed"/>
        <w:tblCellMar>
          <w:top w:w="0" w:type="dxa"/>
          <w:left w:w="10" w:type="dxa"/>
          <w:bottom w:w="0" w:type="dxa"/>
          <w:right w:w="10" w:type="dxa"/>
        </w:tblCellMar>
      </w:tblPr>
      <w:tblGrid>
        <w:gridCol w:w="7217"/>
        <w:gridCol w:w="1061"/>
      </w:tblGrid>
      <w:tr w14:paraId="416D934A">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19732A73">
            <w:pPr>
              <w:spacing w:line="240" w:lineRule="auto"/>
              <w:ind w:firstLine="480"/>
              <w:jc w:val="center"/>
              <w:rPr>
                <w:rFonts w:hAnsi="Cambria Math"/>
              </w:rPr>
            </w:pPr>
            <m:oMathPara>
              <m:oMathParaPr>
                <m:jc m:val="center"/>
              </m:oMathParaPr>
              <m:oMath>
                <m:r>
                  <m:rPr/>
                  <m:t>ReLU</m:t>
                </m:r>
                <m:r>
                  <m:rPr>
                    <m:sty m:val="p"/>
                  </m:rPr>
                  <m:t>(</m:t>
                </m:r>
                <m:r>
                  <m:rPr/>
                  <m:t>x</m:t>
                </m:r>
                <m:r>
                  <m:rPr>
                    <m:sty m:val="p"/>
                  </m:rPr>
                  <m:t>)=max(</m:t>
                </m:r>
                <m:r>
                  <m:rPr/>
                  <m:t>0</m:t>
                </m:r>
                <m:r>
                  <m:rPr>
                    <m:sty m:val="p"/>
                  </m:rPr>
                  <m:t>,</m:t>
                </m:r>
                <m:r>
                  <m:rPr/>
                  <m:t>x</m:t>
                </m:r>
                <m:r>
                  <m:rPr>
                    <m:sty m:val="p"/>
                  </m:rPr>
                  <m:t>)</m:t>
                </m:r>
              </m:oMath>
            </m:oMathPara>
          </w:p>
        </w:tc>
        <w:tc>
          <w:tcPr>
            <w:tcW w:w="1061" w:type="dxa"/>
            <w:tcBorders>
              <w:top w:val="nil"/>
              <w:left w:val="nil"/>
              <w:bottom w:val="nil"/>
              <w:right w:val="nil"/>
            </w:tcBorders>
            <w:vAlign w:val="center"/>
          </w:tcPr>
          <w:p w14:paraId="72304901">
            <w:pPr>
              <w:ind w:firstLine="0" w:firstLineChars="0"/>
              <w:jc w:val="right"/>
            </w:pPr>
            <w:r>
              <w:rPr>
                <w:rFonts w:eastAsia="Times New Roman"/>
                <w:sz w:val="21"/>
                <w:szCs w:val="21"/>
              </w:rPr>
              <w:t>(</w:t>
            </w:r>
            <w:r>
              <w:rPr>
                <w:rFonts w:hint="eastAsia" w:eastAsiaTheme="minorEastAsia"/>
                <w:sz w:val="21"/>
                <w:szCs w:val="21"/>
                <w:lang w:val="en-US" w:eastAsia="zh-CN"/>
              </w:rPr>
              <w:t>16</w:t>
            </w:r>
            <w:r>
              <w:rPr>
                <w:rFonts w:eastAsia="Times New Roman"/>
                <w:sz w:val="21"/>
                <w:szCs w:val="21"/>
              </w:rPr>
              <w:t>)</w:t>
            </w:r>
          </w:p>
        </w:tc>
      </w:tr>
      <w:tr w14:paraId="418EC5A0">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23B85554">
            <w:pPr>
              <w:spacing w:line="240" w:lineRule="auto"/>
              <w:ind w:firstLine="480"/>
              <w:jc w:val="center"/>
              <w:rPr>
                <w:rFonts w:hAnsi="Cambria Math"/>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MSE</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subSup"/>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oMath>
            </m:oMathPara>
          </w:p>
        </w:tc>
        <w:tc>
          <w:tcPr>
            <w:tcW w:w="1061" w:type="dxa"/>
            <w:tcBorders>
              <w:top w:val="nil"/>
              <w:left w:val="nil"/>
              <w:bottom w:val="nil"/>
              <w:right w:val="nil"/>
            </w:tcBorders>
            <w:vAlign w:val="center"/>
          </w:tcPr>
          <w:p w14:paraId="71AE2A04">
            <w:pPr>
              <w:ind w:firstLine="0" w:firstLineChars="0"/>
              <w:jc w:val="right"/>
            </w:pPr>
            <w:r>
              <w:rPr>
                <w:rFonts w:eastAsia="Times New Roman"/>
                <w:sz w:val="21"/>
                <w:szCs w:val="21"/>
              </w:rPr>
              <w:t>(</w:t>
            </w:r>
            <w:r>
              <w:rPr>
                <w:rFonts w:hint="eastAsia" w:eastAsiaTheme="minorEastAsia"/>
                <w:sz w:val="21"/>
                <w:szCs w:val="21"/>
                <w:lang w:val="en-US" w:eastAsia="zh-CN"/>
              </w:rPr>
              <w:t>17</w:t>
            </w:r>
            <w:r>
              <w:rPr>
                <w:rFonts w:eastAsia="Times New Roman"/>
                <w:sz w:val="21"/>
                <w:szCs w:val="21"/>
              </w:rPr>
              <w:t>)</w:t>
            </w:r>
          </w:p>
        </w:tc>
      </w:tr>
    </w:tbl>
    <w:p w14:paraId="1D4073CD">
      <w:pPr>
        <w:pStyle w:val="3"/>
        <w:spacing w:before="0" w:after="0"/>
        <w:ind w:firstLine="480"/>
        <w:rPr>
          <w:lang w:eastAsia="zh-CN"/>
        </w:rPr>
      </w:pPr>
      <w:r>
        <w:rPr>
          <w:lang w:eastAsia="zh-CN"/>
        </w:rPr>
        <w:t>式中，</w:t>
      </w:r>
      <m:oMath>
        <m:r>
          <m:rPr/>
          <w:rPr>
            <w:rFonts w:ascii="Cambria Math" w:hAnsi="Cambria Math"/>
            <w:lang w:eastAsia="zh-CN"/>
          </w:rPr>
          <m:t>x</m:t>
        </m:r>
      </m:oMath>
      <w:r>
        <w:rPr>
          <w:lang w:eastAsia="zh-CN"/>
        </w:rPr>
        <w:t xml:space="preserve"> 为神经元输入值，N 为单次批处理样本数量，</w:t>
      </w: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y</m:t>
                </m:r>
                <m:ctrlPr>
                  <w:rPr>
                    <w:rFonts w:ascii="Cambria Math" w:hAnsi="Cambria Math"/>
                  </w:rPr>
                </m:ctrlPr>
              </m:e>
            </m:acc>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为模型预测值，</w:t>
      </w:r>
      <m:oMath>
        <m:r>
          <m:rPr/>
          <w:rPr>
            <w:rFonts w:ascii="Cambria Math" w:hAnsi="Cambria Math"/>
            <w:lang w:eastAsia="zh-CN"/>
          </w:rPr>
          <m:t>y</m:t>
        </m:r>
      </m:oMath>
      <w:r>
        <w:rPr>
          <w:lang w:eastAsia="zh-CN"/>
        </w:rPr>
        <w:t>ᵢ 为 CFD 计算标签。模型主要参数配置如表</w:t>
      </w:r>
      <w:r>
        <w:rPr>
          <w:rFonts w:hint="eastAsia"/>
          <w:lang w:eastAsia="zh-CN"/>
        </w:rPr>
        <w:t>5</w:t>
      </w:r>
      <w:r>
        <w:rPr>
          <w:lang w:eastAsia="zh-CN"/>
        </w:rPr>
        <w:t>所示，网络结构示意图如图 5 所示。</w:t>
      </w:r>
    </w:p>
    <w:p w14:paraId="4CA74FCC">
      <w:pPr>
        <w:pStyle w:val="3"/>
        <w:spacing w:before="120" w:after="120" w:line="240" w:lineRule="auto"/>
        <w:ind w:firstLineChars="0"/>
        <w:jc w:val="center"/>
        <w:rPr>
          <w:lang w:eastAsia="zh-CN"/>
        </w:rPr>
      </w:pPr>
      <w:r>
        <w:rPr>
          <w:sz w:val="21"/>
          <w:lang w:eastAsia="zh-CN"/>
        </w:rPr>
        <w:t>表5　CNN 网络主要参数配置</w:t>
      </w:r>
    </w:p>
    <w:tbl>
      <w:tblPr>
        <w:tblStyle w:val="23"/>
        <w:tblW w:w="865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2613"/>
        <w:gridCol w:w="6044"/>
      </w:tblGrid>
      <w:tr w14:paraId="4D4CB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single" w:color="000000" w:sz="12" w:space="0"/>
              <w:left w:val="nil"/>
              <w:bottom w:val="nil"/>
              <w:right w:val="nil"/>
            </w:tcBorders>
            <w:tcMar>
              <w:top w:w="-1" w:type="dxa"/>
              <w:left w:w="-1" w:type="dxa"/>
              <w:bottom w:w="-1" w:type="dxa"/>
              <w:right w:w="-1" w:type="dxa"/>
            </w:tcMar>
            <w:vAlign w:val="center"/>
          </w:tcPr>
          <w:p w14:paraId="49AD1429">
            <w:pPr>
              <w:snapToGrid w:val="0"/>
              <w:spacing w:line="240" w:lineRule="auto"/>
              <w:ind w:firstLine="0" w:firstLineChars="0"/>
              <w:jc w:val="center"/>
            </w:pPr>
            <w:r>
              <w:rPr>
                <w:b/>
                <w:bCs/>
                <w:sz w:val="21"/>
                <w:szCs w:val="21"/>
              </w:rPr>
              <w:t>组件</w:t>
            </w:r>
          </w:p>
        </w:tc>
        <w:tc>
          <w:tcPr>
            <w:tcW w:w="6044" w:type="dxa"/>
            <w:tcBorders>
              <w:top w:val="single" w:color="000000" w:sz="12" w:space="0"/>
              <w:left w:val="nil"/>
              <w:bottom w:val="nil"/>
              <w:right w:val="nil"/>
            </w:tcBorders>
            <w:tcMar>
              <w:top w:w="-1" w:type="dxa"/>
              <w:left w:w="-1" w:type="dxa"/>
              <w:bottom w:w="-1" w:type="dxa"/>
              <w:right w:w="-1" w:type="dxa"/>
            </w:tcMar>
            <w:vAlign w:val="center"/>
          </w:tcPr>
          <w:p w14:paraId="0FEB3493">
            <w:pPr>
              <w:snapToGrid w:val="0"/>
              <w:spacing w:line="240" w:lineRule="auto"/>
              <w:ind w:firstLine="0" w:firstLineChars="0"/>
              <w:jc w:val="center"/>
            </w:pPr>
            <w:r>
              <w:rPr>
                <w:b/>
                <w:bCs/>
                <w:sz w:val="21"/>
                <w:szCs w:val="21"/>
              </w:rPr>
              <w:t>参数设置</w:t>
            </w:r>
          </w:p>
        </w:tc>
      </w:tr>
      <w:tr w14:paraId="38006D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189127">
            <w:pPr>
              <w:snapToGrid w:val="0"/>
              <w:spacing w:line="240" w:lineRule="auto"/>
              <w:ind w:firstLine="0" w:firstLineChars="0"/>
              <w:jc w:val="center"/>
            </w:pPr>
            <w:r>
              <w:rPr>
                <w:sz w:val="21"/>
                <w:szCs w:val="21"/>
              </w:rPr>
              <w:t>卷积层数</w:t>
            </w:r>
          </w:p>
        </w:tc>
        <w:tc>
          <w:tcPr>
            <w:tcW w:w="6044" w:type="dxa"/>
            <w:tcBorders>
              <w:top w:val="single" w:color="auto" w:sz="4" w:space="0"/>
              <w:left w:val="nil"/>
              <w:bottom w:val="nil"/>
              <w:right w:val="nil"/>
            </w:tcBorders>
            <w:tcMar>
              <w:top w:w="-1" w:type="dxa"/>
              <w:left w:w="-1" w:type="dxa"/>
              <w:bottom w:w="-1" w:type="dxa"/>
              <w:right w:w="-1" w:type="dxa"/>
            </w:tcMar>
            <w:vAlign w:val="center"/>
          </w:tcPr>
          <w:p w14:paraId="538532F3">
            <w:pPr>
              <w:snapToGrid w:val="0"/>
              <w:spacing w:line="240" w:lineRule="auto"/>
              <w:ind w:firstLine="0" w:firstLineChars="0"/>
              <w:jc w:val="center"/>
            </w:pPr>
            <w:r>
              <w:rPr>
                <w:sz w:val="21"/>
                <w:szCs w:val="21"/>
              </w:rPr>
              <w:t>4 层（32→64→128→256 通道）</w:t>
            </w:r>
          </w:p>
        </w:tc>
      </w:tr>
      <w:tr w14:paraId="514200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37367BD">
            <w:pPr>
              <w:snapToGrid w:val="0"/>
              <w:spacing w:line="240" w:lineRule="auto"/>
              <w:ind w:firstLine="0" w:firstLineChars="0"/>
              <w:jc w:val="center"/>
            </w:pPr>
            <w:r>
              <w:rPr>
                <w:sz w:val="21"/>
                <w:szCs w:val="21"/>
              </w:rPr>
              <w:t>卷积核尺寸</w:t>
            </w:r>
          </w:p>
        </w:tc>
        <w:tc>
          <w:tcPr>
            <w:tcW w:w="6044" w:type="dxa"/>
            <w:tcBorders>
              <w:top w:val="nil"/>
              <w:left w:val="nil"/>
              <w:bottom w:val="nil"/>
              <w:right w:val="nil"/>
            </w:tcBorders>
            <w:tcMar>
              <w:top w:w="-1" w:type="dxa"/>
              <w:left w:w="-1" w:type="dxa"/>
              <w:bottom w:w="-1" w:type="dxa"/>
              <w:right w:w="-1" w:type="dxa"/>
            </w:tcMar>
            <w:vAlign w:val="center"/>
          </w:tcPr>
          <w:p w14:paraId="7D5F6F69">
            <w:pPr>
              <w:snapToGrid w:val="0"/>
              <w:spacing w:line="240" w:lineRule="auto"/>
              <w:ind w:firstLine="0" w:firstLineChars="0"/>
              <w:jc w:val="center"/>
            </w:pPr>
            <w:r>
              <w:rPr>
                <w:sz w:val="21"/>
                <w:szCs w:val="21"/>
              </w:rPr>
              <w:t>3×3</w:t>
            </w:r>
          </w:p>
        </w:tc>
      </w:tr>
      <w:tr w14:paraId="3577D1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14B4F1">
            <w:pPr>
              <w:snapToGrid w:val="0"/>
              <w:spacing w:line="240" w:lineRule="auto"/>
              <w:ind w:firstLine="0" w:firstLineChars="0"/>
              <w:jc w:val="center"/>
            </w:pPr>
            <w:r>
              <w:rPr>
                <w:sz w:val="21"/>
                <w:szCs w:val="21"/>
              </w:rPr>
              <w:t>池化方式</w:t>
            </w:r>
          </w:p>
        </w:tc>
        <w:tc>
          <w:tcPr>
            <w:tcW w:w="6044" w:type="dxa"/>
            <w:tcBorders>
              <w:top w:val="nil"/>
              <w:left w:val="nil"/>
              <w:bottom w:val="nil"/>
              <w:right w:val="nil"/>
            </w:tcBorders>
            <w:tcMar>
              <w:top w:w="-1" w:type="dxa"/>
              <w:left w:w="-1" w:type="dxa"/>
              <w:bottom w:w="-1" w:type="dxa"/>
              <w:right w:w="-1" w:type="dxa"/>
            </w:tcMar>
            <w:vAlign w:val="center"/>
          </w:tcPr>
          <w:p w14:paraId="716E747D">
            <w:pPr>
              <w:snapToGrid w:val="0"/>
              <w:spacing w:line="240" w:lineRule="auto"/>
              <w:ind w:firstLine="0" w:firstLineChars="0"/>
              <w:jc w:val="center"/>
            </w:pPr>
            <w:r>
              <w:rPr>
                <w:sz w:val="21"/>
                <w:szCs w:val="21"/>
              </w:rPr>
              <w:t>最大池化 2×2</w:t>
            </w:r>
          </w:p>
        </w:tc>
      </w:tr>
      <w:tr w14:paraId="420B0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jc w:val="center"/>
        </w:trPr>
        <w:tc>
          <w:tcPr>
            <w:tcW w:w="0" w:type="auto"/>
            <w:tcBorders>
              <w:top w:val="nil"/>
              <w:left w:val="nil"/>
              <w:bottom w:val="nil"/>
              <w:right w:val="nil"/>
            </w:tcBorders>
            <w:tcMar>
              <w:top w:w="-1" w:type="dxa"/>
              <w:left w:w="-1" w:type="dxa"/>
              <w:bottom w:w="-1" w:type="dxa"/>
              <w:right w:w="-1" w:type="dxa"/>
            </w:tcMar>
            <w:vAlign w:val="center"/>
          </w:tcPr>
          <w:p w14:paraId="50B97394">
            <w:pPr>
              <w:snapToGrid w:val="0"/>
              <w:spacing w:line="240" w:lineRule="auto"/>
              <w:ind w:firstLine="0" w:firstLineChars="0"/>
              <w:jc w:val="center"/>
            </w:pPr>
            <w:r>
              <w:rPr>
                <w:sz w:val="21"/>
                <w:szCs w:val="21"/>
              </w:rPr>
              <w:t>MLP 隐藏层</w:t>
            </w:r>
          </w:p>
        </w:tc>
        <w:tc>
          <w:tcPr>
            <w:tcW w:w="6044" w:type="dxa"/>
            <w:tcBorders>
              <w:top w:val="nil"/>
              <w:left w:val="nil"/>
              <w:bottom w:val="nil"/>
              <w:right w:val="nil"/>
            </w:tcBorders>
            <w:tcMar>
              <w:top w:w="-1" w:type="dxa"/>
              <w:left w:w="-1" w:type="dxa"/>
              <w:bottom w:w="-1" w:type="dxa"/>
              <w:right w:w="-1" w:type="dxa"/>
            </w:tcMar>
            <w:vAlign w:val="center"/>
          </w:tcPr>
          <w:p w14:paraId="7593CC21">
            <w:pPr>
              <w:snapToGrid w:val="0"/>
              <w:spacing w:line="240" w:lineRule="auto"/>
              <w:ind w:firstLine="0" w:firstLineChars="0"/>
              <w:jc w:val="center"/>
            </w:pPr>
            <w:r>
              <w:rPr>
                <w:sz w:val="21"/>
                <w:szCs w:val="21"/>
              </w:rPr>
              <w:t>64→128 神经元</w:t>
            </w:r>
          </w:p>
        </w:tc>
      </w:tr>
      <w:tr w14:paraId="528AFE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FB8D42">
            <w:pPr>
              <w:snapToGrid w:val="0"/>
              <w:spacing w:line="240" w:lineRule="auto"/>
              <w:ind w:firstLine="0" w:firstLineChars="0"/>
              <w:jc w:val="center"/>
            </w:pPr>
            <w:r>
              <w:rPr>
                <w:sz w:val="21"/>
                <w:szCs w:val="21"/>
              </w:rPr>
              <w:t>融合层神经元</w:t>
            </w:r>
          </w:p>
        </w:tc>
        <w:tc>
          <w:tcPr>
            <w:tcW w:w="6044" w:type="dxa"/>
            <w:tcBorders>
              <w:top w:val="nil"/>
              <w:left w:val="nil"/>
              <w:bottom w:val="nil"/>
              <w:right w:val="nil"/>
            </w:tcBorders>
            <w:tcMar>
              <w:top w:w="-1" w:type="dxa"/>
              <w:left w:w="-1" w:type="dxa"/>
              <w:bottom w:w="-1" w:type="dxa"/>
              <w:right w:w="-1" w:type="dxa"/>
            </w:tcMar>
            <w:vAlign w:val="center"/>
          </w:tcPr>
          <w:p w14:paraId="3C66E5CF">
            <w:pPr>
              <w:snapToGrid w:val="0"/>
              <w:spacing w:line="240" w:lineRule="auto"/>
              <w:ind w:firstLine="0" w:firstLineChars="0"/>
              <w:jc w:val="center"/>
            </w:pPr>
            <w:r>
              <w:rPr>
                <w:sz w:val="21"/>
                <w:szCs w:val="21"/>
              </w:rPr>
              <w:t>512→256</w:t>
            </w:r>
          </w:p>
        </w:tc>
      </w:tr>
      <w:tr w14:paraId="57B2ED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963BECB">
            <w:pPr>
              <w:snapToGrid w:val="0"/>
              <w:spacing w:line="240" w:lineRule="auto"/>
              <w:ind w:firstLine="0" w:firstLineChars="0"/>
              <w:jc w:val="center"/>
            </w:pPr>
            <w:r>
              <w:rPr>
                <w:sz w:val="21"/>
                <w:szCs w:val="21"/>
              </w:rPr>
              <w:t>Dropout 率</w:t>
            </w:r>
          </w:p>
        </w:tc>
        <w:tc>
          <w:tcPr>
            <w:tcW w:w="6044" w:type="dxa"/>
            <w:tcBorders>
              <w:top w:val="nil"/>
              <w:left w:val="nil"/>
              <w:bottom w:val="nil"/>
              <w:right w:val="nil"/>
            </w:tcBorders>
            <w:tcMar>
              <w:top w:w="-1" w:type="dxa"/>
              <w:left w:w="-1" w:type="dxa"/>
              <w:bottom w:w="-1" w:type="dxa"/>
              <w:right w:w="-1" w:type="dxa"/>
            </w:tcMar>
            <w:vAlign w:val="center"/>
          </w:tcPr>
          <w:p w14:paraId="429B37A8">
            <w:pPr>
              <w:snapToGrid w:val="0"/>
              <w:spacing w:line="240" w:lineRule="auto"/>
              <w:ind w:firstLine="0" w:firstLineChars="0"/>
              <w:jc w:val="center"/>
            </w:pPr>
            <w:r>
              <w:rPr>
                <w:sz w:val="21"/>
                <w:szCs w:val="21"/>
              </w:rPr>
              <w:t>0.3</w:t>
            </w:r>
          </w:p>
        </w:tc>
      </w:tr>
      <w:tr w14:paraId="67269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6509CBC">
            <w:pPr>
              <w:snapToGrid w:val="0"/>
              <w:spacing w:line="240" w:lineRule="auto"/>
              <w:ind w:firstLine="0" w:firstLineChars="0"/>
              <w:jc w:val="center"/>
            </w:pPr>
            <w:r>
              <w:rPr>
                <w:sz w:val="21"/>
                <w:szCs w:val="21"/>
              </w:rPr>
              <w:t>激活函数</w:t>
            </w:r>
          </w:p>
        </w:tc>
        <w:tc>
          <w:tcPr>
            <w:tcW w:w="6044" w:type="dxa"/>
            <w:tcBorders>
              <w:top w:val="nil"/>
              <w:left w:val="nil"/>
              <w:bottom w:val="nil"/>
              <w:right w:val="nil"/>
            </w:tcBorders>
            <w:tcMar>
              <w:top w:w="-1" w:type="dxa"/>
              <w:left w:w="-1" w:type="dxa"/>
              <w:bottom w:w="-1" w:type="dxa"/>
              <w:right w:w="-1" w:type="dxa"/>
            </w:tcMar>
            <w:vAlign w:val="center"/>
          </w:tcPr>
          <w:p w14:paraId="5D998F98">
            <w:pPr>
              <w:snapToGrid w:val="0"/>
              <w:spacing w:line="240" w:lineRule="auto"/>
              <w:ind w:firstLine="0" w:firstLineChars="0"/>
              <w:jc w:val="center"/>
            </w:pPr>
            <w:r>
              <w:rPr>
                <w:sz w:val="21"/>
                <w:szCs w:val="21"/>
              </w:rPr>
              <w:t>ReLU</w:t>
            </w:r>
          </w:p>
        </w:tc>
      </w:tr>
      <w:tr w14:paraId="0FB6FD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2613" w:type="dxa"/>
            <w:tcBorders>
              <w:top w:val="nil"/>
              <w:left w:val="nil"/>
              <w:bottom w:val="single" w:color="000000" w:sz="12" w:space="0"/>
              <w:right w:val="nil"/>
            </w:tcBorders>
            <w:tcMar>
              <w:top w:w="-1" w:type="dxa"/>
              <w:left w:w="-1" w:type="dxa"/>
              <w:bottom w:w="-1" w:type="dxa"/>
              <w:right w:w="-1" w:type="dxa"/>
            </w:tcMar>
            <w:vAlign w:val="center"/>
          </w:tcPr>
          <w:p w14:paraId="4E5591C2">
            <w:pPr>
              <w:snapToGrid w:val="0"/>
              <w:spacing w:line="240" w:lineRule="auto"/>
              <w:ind w:firstLine="0" w:firstLineChars="0"/>
              <w:jc w:val="center"/>
            </w:pPr>
            <w:r>
              <w:rPr>
                <w:sz w:val="21"/>
                <w:szCs w:val="21"/>
              </w:rPr>
              <w:t>输出维度</w:t>
            </w:r>
          </w:p>
        </w:tc>
        <w:tc>
          <w:tcPr>
            <w:tcW w:w="6044" w:type="dxa"/>
            <w:tcBorders>
              <w:top w:val="nil"/>
              <w:left w:val="nil"/>
              <w:bottom w:val="single" w:color="000000" w:sz="12" w:space="0"/>
              <w:right w:val="nil"/>
            </w:tcBorders>
            <w:tcMar>
              <w:top w:w="-1" w:type="dxa"/>
              <w:left w:w="-1" w:type="dxa"/>
              <w:bottom w:w="-1" w:type="dxa"/>
              <w:right w:w="-1" w:type="dxa"/>
            </w:tcMar>
            <w:vAlign w:val="center"/>
          </w:tcPr>
          <w:p w14:paraId="43C5A0CF">
            <w:pPr>
              <w:snapToGrid w:val="0"/>
              <w:spacing w:line="240" w:lineRule="auto"/>
              <w:ind w:firstLine="0" w:firstLineChars="0"/>
              <w:jc w:val="center"/>
            </w:pPr>
            <w:r>
              <w:rPr>
                <w:sz w:val="21"/>
                <w:szCs w:val="21"/>
              </w:rPr>
              <w:t>2（Nu, f）</w:t>
            </w:r>
          </w:p>
        </w:tc>
      </w:tr>
    </w:tbl>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0"/>
      </w:tblGrid>
      <w:tr w14:paraId="7C62D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856" w:type="dxa"/>
          </w:tcPr>
          <w:p w14:paraId="7A1B1789">
            <w:pPr>
              <w:pStyle w:val="3"/>
              <w:widowControl w:val="0"/>
              <w:spacing w:line="240" w:lineRule="auto"/>
              <w:ind w:firstLine="0" w:firstLineChars="0"/>
              <w:jc w:val="both"/>
              <w:rPr>
                <w:rFonts w:hint="eastAsia" w:eastAsia="宋体"/>
                <w:b/>
                <w:bCs/>
                <w:lang w:eastAsia="zh-CN"/>
              </w:rPr>
            </w:pPr>
            <w:r>
              <w:rPr>
                <w:rFonts w:hint="eastAsia" w:eastAsia="宋体"/>
                <w:b/>
                <w:bCs/>
                <w:lang w:eastAsia="zh-CN"/>
              </w:rPr>
              <w:drawing>
                <wp:inline distT="0" distB="0" distL="114300" distR="114300">
                  <wp:extent cx="5349240" cy="2375535"/>
                  <wp:effectExtent l="0" t="0" r="3810" b="5715"/>
                  <wp:docPr id="34" name="图片 34" descr="Fig5_CBAM_DualStream_CNN_Architectur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ig5_CBAM_DualStream_CNN_Architecture_CN"/>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349240" cy="2375535"/>
                          </a:xfrm>
                          <a:prstGeom prst="rect">
                            <a:avLst/>
                          </a:prstGeom>
                        </pic:spPr>
                      </pic:pic>
                    </a:graphicData>
                  </a:graphic>
                </wp:inline>
              </w:drawing>
            </w:r>
          </w:p>
        </w:tc>
      </w:tr>
      <w:tr w14:paraId="45E2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56" w:type="dxa"/>
          </w:tcPr>
          <w:p w14:paraId="2DFC6B1F">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Fig. 5 Architecture of the multimodal CNN model</w:t>
            </w:r>
          </w:p>
          <w:p w14:paraId="76CA31B9">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b/>
                <w:bCs/>
                <w:lang w:eastAsia="zh-CN"/>
              </w:rPr>
            </w:pPr>
            <w:r>
              <w:rPr>
                <w:rFonts w:hint="default" w:ascii="Times New Roman" w:hAnsi="Times New Roman" w:eastAsia="宋体" w:cs="Times New Roman"/>
                <w:sz w:val="21"/>
                <w:szCs w:val="21"/>
              </w:rPr>
              <w:t>图 5 多模态 CNN 模型架构图</w:t>
            </w:r>
          </w:p>
        </w:tc>
      </w:tr>
      <w:bookmarkEnd w:id="13"/>
    </w:tbl>
    <w:p w14:paraId="1DE3C08D">
      <w:pPr>
        <w:pStyle w:val="5"/>
        <w:ind w:left="480"/>
        <w:rPr>
          <w:lang w:eastAsia="zh-CN"/>
        </w:rPr>
      </w:pPr>
      <w:bookmarkStart w:id="14" w:name="模型训练与预测性能验证"/>
      <w:r>
        <w:rPr>
          <w:lang w:eastAsia="zh-CN"/>
        </w:rPr>
        <w:t>4.2 模型训练与预测性能验证</w:t>
      </w:r>
    </w:p>
    <w:p w14:paraId="455E961F">
      <w:pPr>
        <w:pStyle w:val="32"/>
        <w:spacing w:before="0" w:after="0"/>
        <w:ind w:firstLine="480"/>
        <w:rPr>
          <w:lang w:eastAsia="zh-CN"/>
        </w:rPr>
      </w:pPr>
      <w:r>
        <w:rPr>
          <w:lang w:eastAsia="zh-CN"/>
        </w:rPr>
        <w:t>训练前，对 6 维几何参数及 Nu、f 标签进行 Z-score 标准化处理：</w:t>
      </w:r>
    </w:p>
    <w:tbl>
      <w:tblPr>
        <w:tblStyle w:val="23"/>
        <w:tblW w:w="8278" w:type="dxa"/>
        <w:jc w:val="center"/>
        <w:tblLayout w:type="fixed"/>
        <w:tblCellMar>
          <w:top w:w="0" w:type="dxa"/>
          <w:left w:w="10" w:type="dxa"/>
          <w:bottom w:w="0" w:type="dxa"/>
          <w:right w:w="10" w:type="dxa"/>
        </w:tblCellMar>
      </w:tblPr>
      <w:tblGrid>
        <w:gridCol w:w="7217"/>
        <w:gridCol w:w="1061"/>
      </w:tblGrid>
      <w:tr w14:paraId="4764EEF3">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58B2063E">
            <w:pPr>
              <w:spacing w:line="240" w:lineRule="auto"/>
              <w:ind w:firstLine="480"/>
              <w:jc w:val="center"/>
              <w:rPr>
                <w:rFonts w:hAnsi="Cambria Math"/>
              </w:rPr>
            </w:pPr>
            <m:oMathPara>
              <m:oMath>
                <m:r>
                  <m:rPr/>
                  <w:rPr>
                    <w:rFonts w:ascii="Cambria Math" w:hAnsi="Cambria Math"/>
                  </w:rPr>
                  <m:t>x'=</m:t>
                </m:r>
                <m:f>
                  <m:fPr>
                    <m:ctrlPr>
                      <w:rPr>
                        <w:rFonts w:ascii="Cambria Math" w:hAnsi="Cambria Math"/>
                      </w:rPr>
                    </m:ctrlPr>
                  </m:fPr>
                  <m:num>
                    <m:r>
                      <m:rPr/>
                      <w:rPr>
                        <w:rFonts w:ascii="Cambria Math" w:hAnsi="Cambria Math"/>
                      </w:rPr>
                      <m:t>x−μ</m:t>
                    </m:r>
                    <m:ctrlPr>
                      <w:rPr>
                        <w:rFonts w:ascii="Cambria Math" w:hAnsi="Cambria Math"/>
                      </w:rPr>
                    </m:ctrlPr>
                  </m:num>
                  <m:den>
                    <m:r>
                      <m:rPr/>
                      <w:rPr>
                        <w:rFonts w:ascii="Cambria Math" w:hAnsi="Cambria Math"/>
                      </w:rPr>
                      <m:t>σ</m:t>
                    </m:r>
                    <m:ctrlPr>
                      <w:rPr>
                        <w:rFonts w:ascii="Cambria Math" w:hAnsi="Cambria Math"/>
                      </w:rPr>
                    </m:ctrlPr>
                  </m:den>
                </m:f>
              </m:oMath>
            </m:oMathPara>
          </w:p>
        </w:tc>
        <w:tc>
          <w:tcPr>
            <w:tcW w:w="1061" w:type="dxa"/>
            <w:tcBorders>
              <w:top w:val="nil"/>
              <w:left w:val="nil"/>
              <w:bottom w:val="nil"/>
              <w:right w:val="nil"/>
            </w:tcBorders>
            <w:vAlign w:val="center"/>
          </w:tcPr>
          <w:p w14:paraId="40A65057">
            <w:pPr>
              <w:ind w:firstLine="0" w:firstLineChars="0"/>
              <w:jc w:val="right"/>
            </w:pPr>
            <w:r>
              <w:rPr>
                <w:rFonts w:eastAsia="Times New Roman"/>
                <w:sz w:val="21"/>
                <w:szCs w:val="21"/>
              </w:rPr>
              <w:t>(</w:t>
            </w:r>
            <w:r>
              <w:rPr>
                <w:rFonts w:hint="eastAsia" w:eastAsiaTheme="minorEastAsia"/>
                <w:sz w:val="21"/>
                <w:szCs w:val="21"/>
                <w:lang w:val="en-US" w:eastAsia="zh-CN"/>
              </w:rPr>
              <w:t>18</w:t>
            </w:r>
            <w:r>
              <w:rPr>
                <w:rFonts w:eastAsia="Times New Roman"/>
                <w:sz w:val="21"/>
                <w:szCs w:val="21"/>
              </w:rPr>
              <w:t>)</w:t>
            </w:r>
          </w:p>
        </w:tc>
      </w:tr>
    </w:tbl>
    <w:p w14:paraId="5A4A5FF4">
      <w:pPr>
        <w:pStyle w:val="32"/>
      </w:pPr>
      <w:r>
        <w:rPr>
          <w:rFonts w:hint="eastAsia"/>
        </w:rPr>
        <w:t>式中，</w:t>
      </w:r>
      <m:oMath>
        <m:r>
          <m:rPr/>
          <w:rPr>
            <w:rFonts w:ascii="Cambria Math" w:hAnsi="Cambria Math"/>
          </w:rPr>
          <m:t>x'</m:t>
        </m:r>
      </m:oMath>
      <w:r>
        <w:rPr>
          <w:rFonts w:hint="eastAsia"/>
        </w:rPr>
        <w:t>为标准化变量，x</w:t>
      </w:r>
      <w:r>
        <w:t xml:space="preserve"> </w:t>
      </w:r>
      <w:r>
        <w:rPr>
          <w:rFonts w:hint="eastAsia"/>
        </w:rPr>
        <w:t>为原始变量，μ</w:t>
      </w:r>
      <w:r>
        <w:t xml:space="preserve"> </w:t>
      </w:r>
      <w:r>
        <w:rPr>
          <w:rFonts w:hint="eastAsia"/>
        </w:rPr>
        <w:t>和</w:t>
      </w:r>
      <w:r>
        <w:t xml:space="preserve"> σ </w:t>
      </w:r>
      <w:r>
        <w:rPr>
          <w:rFonts w:hint="eastAsia"/>
        </w:rPr>
        <w:t>分别为训练集样本均值和标准差，并统一用于验证集和测试集处理，以避免数据泄露。模型训练过程中，Nu</w:t>
      </w:r>
      <w:r>
        <w:t xml:space="preserve"> </w:t>
      </w:r>
      <w:r>
        <w:rPr>
          <w:rFonts w:hint="eastAsia"/>
        </w:rPr>
        <w:t>和</w:t>
      </w:r>
      <w:r>
        <w:t xml:space="preserve"> f </w:t>
      </w:r>
      <w:r>
        <w:rPr>
          <w:rFonts w:hint="eastAsia"/>
        </w:rPr>
        <w:t>以标准化形式参与损失函数计算；在预测性能评价和优化目标计算时，模型输出先进行反标准化处理，再计算</w:t>
      </w:r>
      <w:r>
        <w:t xml:space="preserve"> RMSE、MAPE </w:t>
      </w:r>
      <w:r>
        <w:rPr>
          <w:rFonts w:hint="eastAsia"/>
        </w:rPr>
        <w:t>和综合评价因子</w:t>
      </w:r>
      <w:r>
        <w:t xml:space="preserve"> </w:t>
      </w:r>
      <w:r>
        <w:rPr>
          <w:rFonts w:hint="eastAsia"/>
        </w:rPr>
        <w:t>η。速度场、温度场和压力场云图按各自物理量范围归一化，并在训练集、验证集和测试集中采用一致的归一化规则。500</w:t>
      </w:r>
      <w:r>
        <w:t xml:space="preserve"> </w:t>
      </w:r>
      <w:r>
        <w:rPr>
          <w:rFonts w:hint="eastAsia"/>
        </w:rPr>
        <w:t>组样本按</w:t>
      </w:r>
      <w:r>
        <w:t xml:space="preserve"> 75%、15% </w:t>
      </w:r>
      <w:r>
        <w:rPr>
          <w:rFonts w:hint="eastAsia"/>
        </w:rPr>
        <w:t>和</w:t>
      </w:r>
      <w:r>
        <w:t xml:space="preserve"> 10% </w:t>
      </w:r>
      <w:r>
        <w:rPr>
          <w:rFonts w:hint="eastAsia"/>
        </w:rPr>
        <w:t>划分为训练集、验证集和测试集。模型采用</w:t>
      </w:r>
      <w:r>
        <w:t xml:space="preserve"> Adam </w:t>
      </w:r>
      <w:r>
        <w:rPr>
          <w:rFonts w:hint="eastAsia"/>
        </w:rPr>
        <w:t>优化器，并结合</w:t>
      </w:r>
      <w:r>
        <w:t xml:space="preserve"> </w:t>
      </w:r>
      <w:r>
        <w:rPr>
          <w:rFonts w:hint="eastAsia"/>
        </w:rPr>
        <w:t>Dropout、权重衰减、自适应学习率衰减和轻量级数据增强抑制过拟合。</w:t>
      </w:r>
    </w:p>
    <w:p w14:paraId="6F6009F0">
      <w:pPr>
        <w:pStyle w:val="3"/>
        <w:spacing w:before="0" w:after="0"/>
        <w:ind w:firstLine="480"/>
        <w:rPr>
          <w:lang w:eastAsia="zh-CN"/>
        </w:rPr>
      </w:pPr>
      <w:r>
        <w:rPr>
          <w:lang w:eastAsia="zh-CN"/>
        </w:rPr>
        <w:t xml:space="preserve">测试结果如表 </w:t>
      </w:r>
      <w:r>
        <w:rPr>
          <w:rFonts w:hint="eastAsia"/>
          <w:lang w:eastAsia="zh-CN"/>
        </w:rPr>
        <w:t>6</w:t>
      </w:r>
      <w:r>
        <w:rPr>
          <w:lang w:eastAsia="zh-CN"/>
        </w:rPr>
        <w:t>所示，多模态模型对 Nu 和 f 的预测决定系数分别为 0.9756 和 0.9633，说明模型对换热和流阻性能均具有较好预测能力。</w:t>
      </w:r>
    </w:p>
    <w:p w14:paraId="526A40A9">
      <w:pPr>
        <w:pStyle w:val="3"/>
        <w:spacing w:before="120" w:after="120" w:line="240" w:lineRule="auto"/>
        <w:ind w:firstLineChars="0"/>
        <w:jc w:val="center"/>
        <w:rPr>
          <w:lang w:eastAsia="zh-CN"/>
        </w:rPr>
      </w:pPr>
      <w:r>
        <w:rPr>
          <w:sz w:val="21"/>
          <w:lang w:eastAsia="zh-CN"/>
        </w:rPr>
        <w:t>表6　测试集预测性能指标</w:t>
      </w:r>
    </w:p>
    <w:tbl>
      <w:tblPr>
        <w:tblStyle w:val="23"/>
        <w:tblW w:w="865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2354"/>
        <w:gridCol w:w="1630"/>
        <w:gridCol w:w="2201"/>
        <w:gridCol w:w="2472"/>
      </w:tblGrid>
      <w:tr w14:paraId="3CCC33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single" w:color="000000" w:sz="12" w:space="0"/>
              <w:left w:val="nil"/>
              <w:bottom w:val="nil"/>
              <w:right w:val="nil"/>
            </w:tcBorders>
            <w:tcMar>
              <w:top w:w="-1" w:type="dxa"/>
              <w:left w:w="-1" w:type="dxa"/>
              <w:bottom w:w="-1" w:type="dxa"/>
              <w:right w:w="-1" w:type="dxa"/>
            </w:tcMar>
            <w:vAlign w:val="center"/>
          </w:tcPr>
          <w:p w14:paraId="513F72A1">
            <w:pPr>
              <w:snapToGrid w:val="0"/>
              <w:spacing w:line="240" w:lineRule="auto"/>
              <w:ind w:firstLine="0" w:firstLineChars="0"/>
              <w:jc w:val="center"/>
            </w:pPr>
            <w:r>
              <w:rPr>
                <w:b/>
                <w:bCs/>
                <w:sz w:val="21"/>
                <w:szCs w:val="21"/>
              </w:rPr>
              <w:t>目标变量</w:t>
            </w:r>
          </w:p>
        </w:tc>
        <w:tc>
          <w:tcPr>
            <w:tcW w:w="0" w:type="auto"/>
            <w:tcBorders>
              <w:top w:val="single" w:color="000000" w:sz="12" w:space="0"/>
              <w:left w:val="nil"/>
              <w:bottom w:val="nil"/>
              <w:right w:val="nil"/>
            </w:tcBorders>
            <w:tcMar>
              <w:top w:w="-1" w:type="dxa"/>
              <w:left w:w="-1" w:type="dxa"/>
              <w:bottom w:w="-1" w:type="dxa"/>
              <w:right w:w="-1" w:type="dxa"/>
            </w:tcMar>
            <w:vAlign w:val="center"/>
          </w:tcPr>
          <w:p w14:paraId="0A1D5F29">
            <w:pPr>
              <w:snapToGrid w:val="0"/>
              <w:spacing w:line="240" w:lineRule="auto"/>
              <w:ind w:firstLine="0" w:firstLineChars="0"/>
              <w:jc w:val="center"/>
            </w:pPr>
            <w:r>
              <w:rPr>
                <w:b/>
                <w:bCs/>
                <w:sz w:val="21"/>
                <w:szCs w:val="21"/>
              </w:rPr>
              <w:t>R²</w:t>
            </w:r>
          </w:p>
        </w:tc>
        <w:tc>
          <w:tcPr>
            <w:tcW w:w="0" w:type="auto"/>
            <w:tcBorders>
              <w:top w:val="single" w:color="000000" w:sz="12" w:space="0"/>
              <w:left w:val="nil"/>
              <w:bottom w:val="nil"/>
              <w:right w:val="nil"/>
            </w:tcBorders>
            <w:tcMar>
              <w:top w:w="-1" w:type="dxa"/>
              <w:left w:w="-1" w:type="dxa"/>
              <w:bottom w:w="-1" w:type="dxa"/>
              <w:right w:w="-1" w:type="dxa"/>
            </w:tcMar>
            <w:vAlign w:val="center"/>
          </w:tcPr>
          <w:p w14:paraId="23D8651D">
            <w:pPr>
              <w:snapToGrid w:val="0"/>
              <w:spacing w:line="240" w:lineRule="auto"/>
              <w:ind w:firstLine="0" w:firstLineChars="0"/>
              <w:jc w:val="center"/>
            </w:pPr>
            <w:r>
              <w:rPr>
                <w:b/>
                <w:bCs/>
                <w:sz w:val="21"/>
                <w:szCs w:val="21"/>
              </w:rPr>
              <w:t>RMSE</w:t>
            </w:r>
          </w:p>
        </w:tc>
        <w:tc>
          <w:tcPr>
            <w:tcW w:w="2472" w:type="dxa"/>
            <w:tcBorders>
              <w:top w:val="single" w:color="000000" w:sz="12" w:space="0"/>
              <w:left w:val="nil"/>
              <w:bottom w:val="nil"/>
              <w:right w:val="nil"/>
            </w:tcBorders>
            <w:tcMar>
              <w:top w:w="-1" w:type="dxa"/>
              <w:left w:w="-1" w:type="dxa"/>
              <w:bottom w:w="-1" w:type="dxa"/>
              <w:right w:w="-1" w:type="dxa"/>
            </w:tcMar>
            <w:vAlign w:val="center"/>
          </w:tcPr>
          <w:p w14:paraId="3FABCC5F">
            <w:pPr>
              <w:snapToGrid w:val="0"/>
              <w:spacing w:line="240" w:lineRule="auto"/>
              <w:ind w:firstLine="0" w:firstLineChars="0"/>
              <w:jc w:val="center"/>
            </w:pPr>
            <w:r>
              <w:rPr>
                <w:b/>
                <w:bCs/>
                <w:sz w:val="21"/>
                <w:szCs w:val="21"/>
              </w:rPr>
              <w:t>MAPE/%</w:t>
            </w:r>
          </w:p>
        </w:tc>
      </w:tr>
      <w:tr w14:paraId="150F99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0D6F6D2">
            <w:pPr>
              <w:snapToGrid w:val="0"/>
              <w:spacing w:line="240" w:lineRule="auto"/>
              <w:ind w:firstLine="0" w:firstLineChars="0"/>
              <w:jc w:val="center"/>
            </w:pPr>
            <w:r>
              <w:rPr>
                <w:sz w:val="21"/>
                <w:szCs w:val="21"/>
              </w:rPr>
              <w:t>Nu</w:t>
            </w:r>
          </w:p>
        </w:tc>
        <w:tc>
          <w:tcPr>
            <w:tcW w:w="0" w:type="auto"/>
            <w:tcBorders>
              <w:top w:val="single" w:color="auto" w:sz="4" w:space="0"/>
              <w:left w:val="nil"/>
              <w:bottom w:val="nil"/>
              <w:right w:val="nil"/>
            </w:tcBorders>
            <w:tcMar>
              <w:top w:w="-1" w:type="dxa"/>
              <w:left w:w="-1" w:type="dxa"/>
              <w:bottom w:w="-1" w:type="dxa"/>
              <w:right w:w="-1" w:type="dxa"/>
            </w:tcMar>
            <w:vAlign w:val="center"/>
          </w:tcPr>
          <w:p w14:paraId="51C77E3A">
            <w:pPr>
              <w:snapToGrid w:val="0"/>
              <w:spacing w:line="240" w:lineRule="auto"/>
              <w:ind w:firstLine="0" w:firstLineChars="0"/>
              <w:jc w:val="center"/>
            </w:pPr>
            <w:r>
              <w:rPr>
                <w:sz w:val="21"/>
                <w:szCs w:val="21"/>
              </w:rPr>
              <w:t>0.9756</w:t>
            </w:r>
          </w:p>
        </w:tc>
        <w:tc>
          <w:tcPr>
            <w:tcW w:w="0" w:type="auto"/>
            <w:tcBorders>
              <w:top w:val="single" w:color="auto" w:sz="4" w:space="0"/>
              <w:left w:val="nil"/>
              <w:bottom w:val="nil"/>
              <w:right w:val="nil"/>
            </w:tcBorders>
            <w:tcMar>
              <w:top w:w="-1" w:type="dxa"/>
              <w:left w:w="-1" w:type="dxa"/>
              <w:bottom w:w="-1" w:type="dxa"/>
              <w:right w:w="-1" w:type="dxa"/>
            </w:tcMar>
            <w:vAlign w:val="center"/>
          </w:tcPr>
          <w:p w14:paraId="6D4249CA">
            <w:pPr>
              <w:snapToGrid w:val="0"/>
              <w:spacing w:line="240" w:lineRule="auto"/>
              <w:ind w:firstLine="0" w:firstLineChars="0"/>
              <w:jc w:val="center"/>
            </w:pPr>
            <w:r>
              <w:rPr>
                <w:sz w:val="21"/>
                <w:szCs w:val="21"/>
              </w:rPr>
              <w:t>0.3765</w:t>
            </w:r>
          </w:p>
        </w:tc>
        <w:tc>
          <w:tcPr>
            <w:tcW w:w="2472" w:type="dxa"/>
            <w:tcBorders>
              <w:top w:val="single" w:color="auto" w:sz="4" w:space="0"/>
              <w:left w:val="nil"/>
              <w:bottom w:val="nil"/>
              <w:right w:val="nil"/>
            </w:tcBorders>
            <w:tcMar>
              <w:top w:w="-1" w:type="dxa"/>
              <w:left w:w="-1" w:type="dxa"/>
              <w:bottom w:w="-1" w:type="dxa"/>
              <w:right w:w="-1" w:type="dxa"/>
            </w:tcMar>
            <w:vAlign w:val="center"/>
          </w:tcPr>
          <w:p w14:paraId="2315C412">
            <w:pPr>
              <w:snapToGrid w:val="0"/>
              <w:spacing w:line="240" w:lineRule="auto"/>
              <w:ind w:firstLine="0" w:firstLineChars="0"/>
              <w:jc w:val="center"/>
            </w:pPr>
            <w:r>
              <w:rPr>
                <w:sz w:val="21"/>
                <w:szCs w:val="21"/>
              </w:rPr>
              <w:t>1.667</w:t>
            </w:r>
          </w:p>
        </w:tc>
      </w:tr>
      <w:tr w14:paraId="416E63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2354" w:type="dxa"/>
            <w:tcBorders>
              <w:top w:val="nil"/>
              <w:left w:val="nil"/>
              <w:bottom w:val="single" w:color="000000" w:sz="12" w:space="0"/>
              <w:right w:val="nil"/>
            </w:tcBorders>
            <w:tcMar>
              <w:top w:w="-1" w:type="dxa"/>
              <w:left w:w="-1" w:type="dxa"/>
              <w:bottom w:w="-1" w:type="dxa"/>
              <w:right w:w="-1" w:type="dxa"/>
            </w:tcMar>
            <w:vAlign w:val="center"/>
          </w:tcPr>
          <w:p w14:paraId="127D5E2A">
            <w:pPr>
              <w:snapToGrid w:val="0"/>
              <w:spacing w:line="240" w:lineRule="auto"/>
              <w:ind w:firstLine="0" w:firstLineChars="0"/>
              <w:jc w:val="center"/>
            </w:pPr>
            <w:r>
              <w:rPr>
                <w:sz w:val="21"/>
                <w:szCs w:val="21"/>
              </w:rPr>
              <w:t>f</w:t>
            </w:r>
          </w:p>
        </w:tc>
        <w:tc>
          <w:tcPr>
            <w:tcW w:w="1630" w:type="dxa"/>
            <w:tcBorders>
              <w:top w:val="nil"/>
              <w:left w:val="nil"/>
              <w:bottom w:val="single" w:color="000000" w:sz="12" w:space="0"/>
              <w:right w:val="nil"/>
            </w:tcBorders>
            <w:tcMar>
              <w:top w:w="-1" w:type="dxa"/>
              <w:left w:w="-1" w:type="dxa"/>
              <w:bottom w:w="-1" w:type="dxa"/>
              <w:right w:w="-1" w:type="dxa"/>
            </w:tcMar>
            <w:vAlign w:val="center"/>
          </w:tcPr>
          <w:p w14:paraId="6E921EE3">
            <w:pPr>
              <w:snapToGrid w:val="0"/>
              <w:spacing w:line="240" w:lineRule="auto"/>
              <w:ind w:firstLine="0" w:firstLineChars="0"/>
              <w:jc w:val="center"/>
            </w:pPr>
            <w:r>
              <w:rPr>
                <w:sz w:val="21"/>
                <w:szCs w:val="21"/>
              </w:rPr>
              <w:t>0.9633</w:t>
            </w:r>
          </w:p>
        </w:tc>
        <w:tc>
          <w:tcPr>
            <w:tcW w:w="2201" w:type="dxa"/>
            <w:tcBorders>
              <w:top w:val="nil"/>
              <w:left w:val="nil"/>
              <w:bottom w:val="single" w:color="000000" w:sz="12" w:space="0"/>
              <w:right w:val="nil"/>
            </w:tcBorders>
            <w:tcMar>
              <w:top w:w="-1" w:type="dxa"/>
              <w:left w:w="-1" w:type="dxa"/>
              <w:bottom w:w="-1" w:type="dxa"/>
              <w:right w:w="-1" w:type="dxa"/>
            </w:tcMar>
            <w:vAlign w:val="center"/>
          </w:tcPr>
          <w:p w14:paraId="76B7DC0E">
            <w:pPr>
              <w:snapToGrid w:val="0"/>
              <w:spacing w:line="240" w:lineRule="auto"/>
              <w:ind w:firstLine="0" w:firstLineChars="0"/>
              <w:jc w:val="center"/>
            </w:pPr>
            <w:r>
              <w:rPr>
                <w:sz w:val="21"/>
                <w:szCs w:val="21"/>
              </w:rPr>
              <w:t>0.000843</w:t>
            </w:r>
          </w:p>
        </w:tc>
        <w:tc>
          <w:tcPr>
            <w:tcW w:w="2472" w:type="dxa"/>
            <w:tcBorders>
              <w:top w:val="nil"/>
              <w:left w:val="nil"/>
              <w:bottom w:val="single" w:color="000000" w:sz="12" w:space="0"/>
              <w:right w:val="nil"/>
            </w:tcBorders>
            <w:tcMar>
              <w:top w:w="-1" w:type="dxa"/>
              <w:left w:w="-1" w:type="dxa"/>
              <w:bottom w:w="-1" w:type="dxa"/>
              <w:right w:w="-1" w:type="dxa"/>
            </w:tcMar>
            <w:vAlign w:val="center"/>
          </w:tcPr>
          <w:p w14:paraId="0681ED04">
            <w:pPr>
              <w:snapToGrid w:val="0"/>
              <w:spacing w:line="240" w:lineRule="auto"/>
              <w:ind w:firstLine="0" w:firstLineChars="0"/>
              <w:jc w:val="center"/>
            </w:pPr>
            <w:r>
              <w:rPr>
                <w:sz w:val="21"/>
                <w:szCs w:val="21"/>
              </w:rPr>
              <w:t>1.753</w:t>
            </w:r>
          </w:p>
        </w:tc>
      </w:tr>
    </w:tbl>
    <w:p w14:paraId="42ED3145">
      <w:pPr>
        <w:pStyle w:val="3"/>
        <w:spacing w:before="0" w:after="0"/>
        <w:ind w:firstLine="480"/>
        <w:rPr>
          <w:lang w:eastAsia="zh-CN"/>
        </w:rPr>
      </w:pPr>
      <w:r>
        <w:rPr>
          <w:lang w:eastAsia="zh-CN"/>
        </w:rPr>
        <w:t>为进一步评估小样本条件下模型预测结果对数据划分方式的敏感性，本文采用五折交叉验证对多模态 CNN 模型进行补充检验。将 500 组样本随机划分为 5 个规模相近的子集，每次选取其中 1 个子集作为验证集，其余 4 个子集作为训练集，重复训练与验证 5 次，并统计 Nu 和 f 预测结果的平均误差水平。交叉验证结果表明，多模态 CNN 在不同数据划分下均保持较稳定的预测性能，说明模型具有一定的泛化能力。</w:t>
      </w:r>
      <w:r>
        <w:rPr>
          <w:lang w:eastAsia="zh-CN"/>
        </w:rPr>
        <w:t xml:space="preserve">为分析流场图像输入的作用，将仅输入 6 维几何参数的 MLP 与多模态融合模型进行对比，结果如表 </w:t>
      </w:r>
      <w:r>
        <w:rPr>
          <w:rFonts w:hint="eastAsia"/>
          <w:lang w:eastAsia="zh-CN"/>
        </w:rPr>
        <w:t>7</w:t>
      </w:r>
      <w:r>
        <w:rPr>
          <w:lang w:eastAsia="zh-CN"/>
        </w:rPr>
        <w:t xml:space="preserve"> 所示。相较 MLP，多模态融合模型在 Nu 和 f 上均取得更高 R² 和更低 RMSE、MAPE，说明速度场、温度场和压力场图像特征能够补充几何参数难以直接表达的空间流热信息。</w:t>
      </w:r>
      <w:bookmarkStart w:id="43" w:name="_GoBack"/>
      <w:bookmarkEnd w:id="43"/>
    </w:p>
    <w:p w14:paraId="20880E3E">
      <w:pPr>
        <w:pStyle w:val="3"/>
        <w:spacing w:before="120" w:after="120" w:line="240" w:lineRule="auto"/>
        <w:ind w:firstLineChars="0"/>
        <w:jc w:val="center"/>
        <w:rPr>
          <w:lang w:eastAsia="zh-CN"/>
        </w:rPr>
      </w:pPr>
      <w:r>
        <w:rPr>
          <w:sz w:val="21"/>
          <w:lang w:eastAsia="zh-CN"/>
        </w:rPr>
        <w:t>表7　纯几何代理模型与多模态代理模型预测结果对比</w:t>
      </w:r>
    </w:p>
    <w:tbl>
      <w:tblPr>
        <w:tblStyle w:val="23"/>
        <w:tblW w:w="827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 w:type="dxa"/>
          <w:bottom w:w="0" w:type="dxa"/>
          <w:right w:w="10" w:type="dxa"/>
        </w:tblCellMar>
      </w:tblPr>
      <w:tblGrid>
        <w:gridCol w:w="1686"/>
        <w:gridCol w:w="2871"/>
        <w:gridCol w:w="931"/>
        <w:gridCol w:w="932"/>
        <w:gridCol w:w="930"/>
        <w:gridCol w:w="928"/>
      </w:tblGrid>
      <w:tr w14:paraId="03CBDA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blHeader/>
          <w:jc w:val="center"/>
        </w:trPr>
        <w:tc>
          <w:tcPr>
            <w:tcW w:w="1686" w:type="dxa"/>
            <w:tcBorders>
              <w:top w:val="single" w:color="000000" w:sz="8" w:space="0"/>
              <w:left w:val="nil"/>
              <w:bottom w:val="single" w:color="000000" w:sz="4" w:space="0"/>
              <w:right w:val="nil"/>
            </w:tcBorders>
            <w:vAlign w:val="center"/>
          </w:tcPr>
          <w:p w14:paraId="1E9722C3">
            <w:pPr>
              <w:spacing w:line="240" w:lineRule="auto"/>
              <w:ind w:firstLine="0" w:firstLineChars="0"/>
              <w:jc w:val="center"/>
            </w:pPr>
            <w:r>
              <w:rPr>
                <w:b/>
                <w:bCs/>
                <w:sz w:val="21"/>
                <w:szCs w:val="21"/>
              </w:rPr>
              <w:t>模型</w:t>
            </w:r>
          </w:p>
        </w:tc>
        <w:tc>
          <w:tcPr>
            <w:tcW w:w="2871" w:type="dxa"/>
            <w:tcBorders>
              <w:top w:val="single" w:color="000000" w:sz="8" w:space="0"/>
              <w:left w:val="nil"/>
              <w:bottom w:val="single" w:color="000000" w:sz="4" w:space="0"/>
              <w:right w:val="nil"/>
            </w:tcBorders>
            <w:vAlign w:val="center"/>
          </w:tcPr>
          <w:p w14:paraId="271D5C32">
            <w:pPr>
              <w:spacing w:line="240" w:lineRule="auto"/>
              <w:ind w:firstLine="0" w:firstLineChars="0"/>
              <w:jc w:val="center"/>
            </w:pPr>
            <w:r>
              <w:rPr>
                <w:b/>
                <w:bCs/>
                <w:sz w:val="21"/>
                <w:szCs w:val="21"/>
              </w:rPr>
              <w:t>输入信息</w:t>
            </w:r>
          </w:p>
        </w:tc>
        <w:tc>
          <w:tcPr>
            <w:tcW w:w="931" w:type="dxa"/>
            <w:tcBorders>
              <w:top w:val="single" w:color="000000" w:sz="8" w:space="0"/>
              <w:left w:val="nil"/>
              <w:bottom w:val="single" w:color="000000" w:sz="4" w:space="0"/>
              <w:right w:val="nil"/>
            </w:tcBorders>
            <w:vAlign w:val="center"/>
          </w:tcPr>
          <w:p w14:paraId="2C66BD56">
            <w:pPr>
              <w:spacing w:line="240" w:lineRule="auto"/>
              <w:ind w:firstLine="0" w:firstLineChars="0"/>
              <w:jc w:val="center"/>
            </w:pPr>
            <w:r>
              <w:rPr>
                <w:b/>
                <w:bCs/>
                <w:sz w:val="21"/>
                <w:szCs w:val="21"/>
              </w:rPr>
              <w:t>目标变量</w:t>
            </w:r>
          </w:p>
        </w:tc>
        <w:tc>
          <w:tcPr>
            <w:tcW w:w="932" w:type="dxa"/>
            <w:tcBorders>
              <w:top w:val="single" w:color="000000" w:sz="8" w:space="0"/>
              <w:left w:val="nil"/>
              <w:bottom w:val="single" w:color="000000" w:sz="4" w:space="0"/>
              <w:right w:val="nil"/>
            </w:tcBorders>
            <w:vAlign w:val="center"/>
          </w:tcPr>
          <w:p w14:paraId="7C7A578B">
            <w:pPr>
              <w:spacing w:line="240" w:lineRule="auto"/>
              <w:ind w:firstLine="0" w:firstLineChars="0"/>
              <w:jc w:val="center"/>
            </w:pPr>
            <w:r>
              <w:rPr>
                <w:b/>
                <w:bCs/>
                <w:sz w:val="21"/>
                <w:szCs w:val="21"/>
              </w:rPr>
              <w:t>R²</w:t>
            </w:r>
          </w:p>
        </w:tc>
        <w:tc>
          <w:tcPr>
            <w:tcW w:w="930" w:type="dxa"/>
            <w:tcBorders>
              <w:top w:val="single" w:color="000000" w:sz="8" w:space="0"/>
              <w:left w:val="nil"/>
              <w:bottom w:val="single" w:color="000000" w:sz="4" w:space="0"/>
              <w:right w:val="nil"/>
            </w:tcBorders>
            <w:vAlign w:val="center"/>
          </w:tcPr>
          <w:p w14:paraId="7C7D5E63">
            <w:pPr>
              <w:spacing w:line="240" w:lineRule="auto"/>
              <w:ind w:firstLine="0" w:firstLineChars="0"/>
              <w:jc w:val="center"/>
            </w:pPr>
            <w:r>
              <w:rPr>
                <w:b/>
                <w:bCs/>
                <w:sz w:val="21"/>
                <w:szCs w:val="21"/>
              </w:rPr>
              <w:t>RMSE</w:t>
            </w:r>
          </w:p>
        </w:tc>
        <w:tc>
          <w:tcPr>
            <w:tcW w:w="928" w:type="dxa"/>
            <w:tcBorders>
              <w:top w:val="single" w:color="000000" w:sz="8" w:space="0"/>
              <w:left w:val="nil"/>
              <w:bottom w:val="single" w:color="000000" w:sz="4" w:space="0"/>
              <w:right w:val="nil"/>
            </w:tcBorders>
            <w:vAlign w:val="center"/>
          </w:tcPr>
          <w:p w14:paraId="709AF592">
            <w:pPr>
              <w:spacing w:line="240" w:lineRule="auto"/>
              <w:ind w:firstLine="0" w:firstLineChars="0"/>
              <w:jc w:val="center"/>
            </w:pPr>
            <w:r>
              <w:rPr>
                <w:b/>
                <w:bCs/>
                <w:sz w:val="21"/>
                <w:szCs w:val="21"/>
              </w:rPr>
              <w:t>MAPE/%</w:t>
            </w:r>
          </w:p>
        </w:tc>
      </w:tr>
      <w:tr w14:paraId="4A7012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686" w:type="dxa"/>
            <w:tcBorders>
              <w:top w:val="nil"/>
              <w:left w:val="nil"/>
              <w:bottom w:val="nil"/>
              <w:right w:val="nil"/>
            </w:tcBorders>
            <w:vAlign w:val="center"/>
          </w:tcPr>
          <w:p w14:paraId="3E93C334">
            <w:pPr>
              <w:spacing w:line="240" w:lineRule="auto"/>
              <w:ind w:firstLine="0" w:firstLineChars="0"/>
              <w:jc w:val="center"/>
            </w:pPr>
            <w:r>
              <w:rPr>
                <w:sz w:val="21"/>
                <w:szCs w:val="21"/>
              </w:rPr>
              <w:t>MLP</w:t>
            </w:r>
          </w:p>
        </w:tc>
        <w:tc>
          <w:tcPr>
            <w:tcW w:w="2871" w:type="dxa"/>
            <w:tcBorders>
              <w:top w:val="nil"/>
              <w:left w:val="nil"/>
              <w:bottom w:val="nil"/>
              <w:right w:val="nil"/>
            </w:tcBorders>
            <w:vAlign w:val="center"/>
          </w:tcPr>
          <w:p w14:paraId="45B4785C">
            <w:pPr>
              <w:spacing w:line="240" w:lineRule="auto"/>
              <w:ind w:firstLine="0" w:firstLineChars="0"/>
              <w:jc w:val="center"/>
            </w:pPr>
            <w:r>
              <w:rPr>
                <w:sz w:val="21"/>
                <w:szCs w:val="21"/>
              </w:rPr>
              <w:t>6 维几何参数</w:t>
            </w:r>
          </w:p>
        </w:tc>
        <w:tc>
          <w:tcPr>
            <w:tcW w:w="931" w:type="dxa"/>
            <w:tcBorders>
              <w:top w:val="nil"/>
              <w:left w:val="nil"/>
              <w:bottom w:val="nil"/>
              <w:right w:val="nil"/>
            </w:tcBorders>
            <w:vAlign w:val="center"/>
          </w:tcPr>
          <w:p w14:paraId="377A2C6D">
            <w:pPr>
              <w:spacing w:line="240" w:lineRule="auto"/>
              <w:ind w:firstLine="0" w:firstLineChars="0"/>
              <w:jc w:val="center"/>
            </w:pPr>
            <w:r>
              <w:rPr>
                <w:sz w:val="21"/>
                <w:szCs w:val="21"/>
              </w:rPr>
              <w:t>Nu</w:t>
            </w:r>
          </w:p>
        </w:tc>
        <w:tc>
          <w:tcPr>
            <w:tcW w:w="932" w:type="dxa"/>
            <w:tcBorders>
              <w:top w:val="nil"/>
              <w:left w:val="nil"/>
              <w:bottom w:val="nil"/>
              <w:right w:val="nil"/>
            </w:tcBorders>
            <w:vAlign w:val="center"/>
          </w:tcPr>
          <w:p w14:paraId="6507249E">
            <w:pPr>
              <w:spacing w:line="240" w:lineRule="auto"/>
              <w:ind w:firstLine="0" w:firstLineChars="0"/>
              <w:jc w:val="center"/>
            </w:pPr>
            <w:r>
              <w:rPr>
                <w:sz w:val="21"/>
                <w:szCs w:val="21"/>
              </w:rPr>
              <w:t>0.9701</w:t>
            </w:r>
          </w:p>
        </w:tc>
        <w:tc>
          <w:tcPr>
            <w:tcW w:w="930" w:type="dxa"/>
            <w:tcBorders>
              <w:top w:val="nil"/>
              <w:left w:val="nil"/>
              <w:bottom w:val="nil"/>
              <w:right w:val="nil"/>
            </w:tcBorders>
            <w:vAlign w:val="center"/>
          </w:tcPr>
          <w:p w14:paraId="5E14A520">
            <w:pPr>
              <w:spacing w:line="240" w:lineRule="auto"/>
              <w:ind w:firstLine="0" w:firstLineChars="0"/>
              <w:jc w:val="center"/>
            </w:pPr>
            <w:r>
              <w:rPr>
                <w:sz w:val="21"/>
                <w:szCs w:val="21"/>
              </w:rPr>
              <w:t>0.4166</w:t>
            </w:r>
          </w:p>
        </w:tc>
        <w:tc>
          <w:tcPr>
            <w:tcW w:w="928" w:type="dxa"/>
            <w:tcBorders>
              <w:top w:val="nil"/>
              <w:left w:val="nil"/>
              <w:bottom w:val="nil"/>
              <w:right w:val="nil"/>
            </w:tcBorders>
            <w:vAlign w:val="center"/>
          </w:tcPr>
          <w:p w14:paraId="590FB3C3">
            <w:pPr>
              <w:spacing w:line="240" w:lineRule="auto"/>
              <w:ind w:firstLine="0" w:firstLineChars="0"/>
              <w:jc w:val="center"/>
            </w:pPr>
            <w:r>
              <w:rPr>
                <w:sz w:val="21"/>
                <w:szCs w:val="21"/>
              </w:rPr>
              <w:t>1.882</w:t>
            </w:r>
          </w:p>
        </w:tc>
      </w:tr>
      <w:tr w14:paraId="74553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686" w:type="dxa"/>
            <w:tcBorders>
              <w:top w:val="nil"/>
              <w:left w:val="nil"/>
              <w:bottom w:val="nil"/>
              <w:right w:val="nil"/>
            </w:tcBorders>
            <w:vAlign w:val="center"/>
          </w:tcPr>
          <w:p w14:paraId="487C468E">
            <w:pPr>
              <w:spacing w:line="240" w:lineRule="auto"/>
              <w:ind w:firstLine="0" w:firstLineChars="0"/>
              <w:jc w:val="center"/>
            </w:pPr>
            <w:r>
              <w:rPr>
                <w:sz w:val="21"/>
                <w:szCs w:val="21"/>
              </w:rPr>
              <w:t>MLP</w:t>
            </w:r>
          </w:p>
        </w:tc>
        <w:tc>
          <w:tcPr>
            <w:tcW w:w="2871" w:type="dxa"/>
            <w:tcBorders>
              <w:top w:val="nil"/>
              <w:left w:val="nil"/>
              <w:bottom w:val="nil"/>
              <w:right w:val="nil"/>
            </w:tcBorders>
            <w:vAlign w:val="center"/>
          </w:tcPr>
          <w:p w14:paraId="62ABA334">
            <w:pPr>
              <w:spacing w:line="240" w:lineRule="auto"/>
              <w:ind w:firstLine="0" w:firstLineChars="0"/>
              <w:jc w:val="center"/>
            </w:pPr>
            <w:r>
              <w:rPr>
                <w:sz w:val="21"/>
                <w:szCs w:val="21"/>
              </w:rPr>
              <w:t>6 维几何参数</w:t>
            </w:r>
          </w:p>
        </w:tc>
        <w:tc>
          <w:tcPr>
            <w:tcW w:w="931" w:type="dxa"/>
            <w:tcBorders>
              <w:top w:val="nil"/>
              <w:left w:val="nil"/>
              <w:bottom w:val="nil"/>
              <w:right w:val="nil"/>
            </w:tcBorders>
            <w:vAlign w:val="center"/>
          </w:tcPr>
          <w:p w14:paraId="6DA0F820">
            <w:pPr>
              <w:spacing w:line="240" w:lineRule="auto"/>
              <w:ind w:firstLine="0" w:firstLineChars="0"/>
              <w:jc w:val="center"/>
            </w:pPr>
            <w:r>
              <w:rPr>
                <w:sz w:val="21"/>
                <w:szCs w:val="21"/>
              </w:rPr>
              <w:t>f</w:t>
            </w:r>
          </w:p>
        </w:tc>
        <w:tc>
          <w:tcPr>
            <w:tcW w:w="932" w:type="dxa"/>
            <w:tcBorders>
              <w:top w:val="nil"/>
              <w:left w:val="nil"/>
              <w:bottom w:val="nil"/>
              <w:right w:val="nil"/>
            </w:tcBorders>
            <w:vAlign w:val="center"/>
          </w:tcPr>
          <w:p w14:paraId="535BD597">
            <w:pPr>
              <w:spacing w:line="240" w:lineRule="auto"/>
              <w:ind w:firstLine="0" w:firstLineChars="0"/>
              <w:jc w:val="center"/>
            </w:pPr>
            <w:r>
              <w:rPr>
                <w:sz w:val="21"/>
                <w:szCs w:val="21"/>
              </w:rPr>
              <w:t>0.9459</w:t>
            </w:r>
          </w:p>
        </w:tc>
        <w:tc>
          <w:tcPr>
            <w:tcW w:w="930" w:type="dxa"/>
            <w:tcBorders>
              <w:top w:val="nil"/>
              <w:left w:val="nil"/>
              <w:bottom w:val="nil"/>
              <w:right w:val="nil"/>
            </w:tcBorders>
            <w:vAlign w:val="center"/>
          </w:tcPr>
          <w:p w14:paraId="051DE657">
            <w:pPr>
              <w:spacing w:line="240" w:lineRule="auto"/>
              <w:ind w:firstLine="0" w:firstLineChars="0"/>
              <w:jc w:val="center"/>
            </w:pPr>
            <w:r>
              <w:rPr>
                <w:sz w:val="21"/>
                <w:szCs w:val="21"/>
              </w:rPr>
              <w:t>0.001024</w:t>
            </w:r>
          </w:p>
        </w:tc>
        <w:tc>
          <w:tcPr>
            <w:tcW w:w="928" w:type="dxa"/>
            <w:tcBorders>
              <w:top w:val="nil"/>
              <w:left w:val="nil"/>
              <w:bottom w:val="nil"/>
              <w:right w:val="nil"/>
            </w:tcBorders>
            <w:vAlign w:val="center"/>
          </w:tcPr>
          <w:p w14:paraId="671A3AF8">
            <w:pPr>
              <w:spacing w:line="240" w:lineRule="auto"/>
              <w:ind w:firstLine="0" w:firstLineChars="0"/>
              <w:jc w:val="center"/>
            </w:pPr>
            <w:r>
              <w:rPr>
                <w:sz w:val="21"/>
                <w:szCs w:val="21"/>
              </w:rPr>
              <w:t>2.570</w:t>
            </w:r>
          </w:p>
        </w:tc>
      </w:tr>
      <w:tr w14:paraId="3B9ADC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686" w:type="dxa"/>
            <w:tcBorders>
              <w:top w:val="nil"/>
              <w:left w:val="nil"/>
              <w:bottom w:val="nil"/>
              <w:right w:val="nil"/>
            </w:tcBorders>
            <w:vAlign w:val="center"/>
          </w:tcPr>
          <w:p w14:paraId="037012E0">
            <w:pPr>
              <w:spacing w:line="240" w:lineRule="auto"/>
              <w:ind w:firstLine="0" w:firstLineChars="0"/>
              <w:jc w:val="center"/>
            </w:pPr>
            <w:r>
              <w:rPr>
                <w:sz w:val="21"/>
                <w:szCs w:val="21"/>
              </w:rPr>
              <w:t>多模态融合模型</w:t>
            </w:r>
          </w:p>
        </w:tc>
        <w:tc>
          <w:tcPr>
            <w:tcW w:w="2871" w:type="dxa"/>
            <w:tcBorders>
              <w:top w:val="nil"/>
              <w:left w:val="nil"/>
              <w:bottom w:val="nil"/>
              <w:right w:val="nil"/>
            </w:tcBorders>
            <w:vAlign w:val="center"/>
          </w:tcPr>
          <w:p w14:paraId="7D90BF90">
            <w:pPr>
              <w:spacing w:line="240" w:lineRule="auto"/>
              <w:ind w:firstLine="0" w:firstLineChars="0"/>
              <w:jc w:val="center"/>
              <w:rPr>
                <w:lang w:eastAsia="zh-CN"/>
              </w:rPr>
            </w:pPr>
            <w:r>
              <w:rPr>
                <w:sz w:val="21"/>
                <w:szCs w:val="21"/>
                <w:lang w:eastAsia="zh-CN"/>
              </w:rPr>
              <w:t>几何参数 + 物理场图像特征</w:t>
            </w:r>
          </w:p>
        </w:tc>
        <w:tc>
          <w:tcPr>
            <w:tcW w:w="931" w:type="dxa"/>
            <w:tcBorders>
              <w:top w:val="nil"/>
              <w:left w:val="nil"/>
              <w:bottom w:val="nil"/>
              <w:right w:val="nil"/>
            </w:tcBorders>
            <w:vAlign w:val="center"/>
          </w:tcPr>
          <w:p w14:paraId="3511ED40">
            <w:pPr>
              <w:spacing w:line="240" w:lineRule="auto"/>
              <w:ind w:firstLine="0" w:firstLineChars="0"/>
              <w:jc w:val="center"/>
            </w:pPr>
            <w:r>
              <w:rPr>
                <w:sz w:val="21"/>
                <w:szCs w:val="21"/>
              </w:rPr>
              <w:t>Nu</w:t>
            </w:r>
          </w:p>
        </w:tc>
        <w:tc>
          <w:tcPr>
            <w:tcW w:w="932" w:type="dxa"/>
            <w:tcBorders>
              <w:top w:val="nil"/>
              <w:left w:val="nil"/>
              <w:bottom w:val="nil"/>
              <w:right w:val="nil"/>
            </w:tcBorders>
            <w:vAlign w:val="center"/>
          </w:tcPr>
          <w:p w14:paraId="0BC7867F">
            <w:pPr>
              <w:spacing w:line="240" w:lineRule="auto"/>
              <w:ind w:firstLine="0" w:firstLineChars="0"/>
              <w:jc w:val="center"/>
            </w:pPr>
            <w:r>
              <w:rPr>
                <w:sz w:val="21"/>
                <w:szCs w:val="21"/>
              </w:rPr>
              <w:t>0.9756</w:t>
            </w:r>
          </w:p>
        </w:tc>
        <w:tc>
          <w:tcPr>
            <w:tcW w:w="930" w:type="dxa"/>
            <w:tcBorders>
              <w:top w:val="nil"/>
              <w:left w:val="nil"/>
              <w:bottom w:val="nil"/>
              <w:right w:val="nil"/>
            </w:tcBorders>
            <w:vAlign w:val="center"/>
          </w:tcPr>
          <w:p w14:paraId="007F6C3D">
            <w:pPr>
              <w:spacing w:line="240" w:lineRule="auto"/>
              <w:ind w:firstLine="0" w:firstLineChars="0"/>
              <w:jc w:val="center"/>
            </w:pPr>
            <w:r>
              <w:rPr>
                <w:sz w:val="21"/>
                <w:szCs w:val="21"/>
              </w:rPr>
              <w:t>0.3765</w:t>
            </w:r>
          </w:p>
        </w:tc>
        <w:tc>
          <w:tcPr>
            <w:tcW w:w="928" w:type="dxa"/>
            <w:tcBorders>
              <w:top w:val="nil"/>
              <w:left w:val="nil"/>
              <w:bottom w:val="nil"/>
              <w:right w:val="nil"/>
            </w:tcBorders>
            <w:vAlign w:val="center"/>
          </w:tcPr>
          <w:p w14:paraId="3368192F">
            <w:pPr>
              <w:spacing w:line="240" w:lineRule="auto"/>
              <w:ind w:firstLine="0" w:firstLineChars="0"/>
              <w:jc w:val="center"/>
            </w:pPr>
            <w:r>
              <w:rPr>
                <w:sz w:val="21"/>
                <w:szCs w:val="21"/>
              </w:rPr>
              <w:t>1.667</w:t>
            </w:r>
          </w:p>
        </w:tc>
      </w:tr>
      <w:tr w14:paraId="2306BC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jc w:val="center"/>
        </w:trPr>
        <w:tc>
          <w:tcPr>
            <w:tcW w:w="1686" w:type="dxa"/>
            <w:tcBorders>
              <w:top w:val="nil"/>
              <w:left w:val="nil"/>
              <w:bottom w:val="single" w:color="000000" w:sz="8" w:space="0"/>
              <w:right w:val="nil"/>
            </w:tcBorders>
            <w:vAlign w:val="center"/>
          </w:tcPr>
          <w:p w14:paraId="3F02F644">
            <w:pPr>
              <w:spacing w:line="240" w:lineRule="auto"/>
              <w:ind w:firstLine="0" w:firstLineChars="0"/>
              <w:jc w:val="center"/>
            </w:pPr>
            <w:r>
              <w:rPr>
                <w:sz w:val="21"/>
                <w:szCs w:val="21"/>
              </w:rPr>
              <w:t>多模态融合模型</w:t>
            </w:r>
          </w:p>
        </w:tc>
        <w:tc>
          <w:tcPr>
            <w:tcW w:w="2871" w:type="dxa"/>
            <w:tcBorders>
              <w:top w:val="nil"/>
              <w:left w:val="nil"/>
              <w:bottom w:val="single" w:color="000000" w:sz="8" w:space="0"/>
              <w:right w:val="nil"/>
            </w:tcBorders>
            <w:vAlign w:val="center"/>
          </w:tcPr>
          <w:p w14:paraId="6FAE60F9">
            <w:pPr>
              <w:spacing w:line="240" w:lineRule="auto"/>
              <w:ind w:firstLine="0" w:firstLineChars="0"/>
              <w:jc w:val="center"/>
              <w:rPr>
                <w:lang w:eastAsia="zh-CN"/>
              </w:rPr>
            </w:pPr>
            <w:r>
              <w:rPr>
                <w:sz w:val="21"/>
                <w:szCs w:val="21"/>
                <w:lang w:eastAsia="zh-CN"/>
              </w:rPr>
              <w:t>几何参数 + 物理场图像特征</w:t>
            </w:r>
          </w:p>
        </w:tc>
        <w:tc>
          <w:tcPr>
            <w:tcW w:w="931" w:type="dxa"/>
            <w:tcBorders>
              <w:top w:val="nil"/>
              <w:left w:val="nil"/>
              <w:bottom w:val="single" w:color="000000" w:sz="8" w:space="0"/>
              <w:right w:val="nil"/>
            </w:tcBorders>
            <w:vAlign w:val="center"/>
          </w:tcPr>
          <w:p w14:paraId="0FCB1B3C">
            <w:pPr>
              <w:spacing w:line="240" w:lineRule="auto"/>
              <w:ind w:firstLine="0" w:firstLineChars="0"/>
              <w:jc w:val="center"/>
            </w:pPr>
            <w:r>
              <w:rPr>
                <w:sz w:val="21"/>
                <w:szCs w:val="21"/>
              </w:rPr>
              <w:t>f</w:t>
            </w:r>
          </w:p>
        </w:tc>
        <w:tc>
          <w:tcPr>
            <w:tcW w:w="932" w:type="dxa"/>
            <w:tcBorders>
              <w:top w:val="nil"/>
              <w:left w:val="nil"/>
              <w:bottom w:val="single" w:color="000000" w:sz="8" w:space="0"/>
              <w:right w:val="nil"/>
            </w:tcBorders>
            <w:vAlign w:val="center"/>
          </w:tcPr>
          <w:p w14:paraId="7DE07A20">
            <w:pPr>
              <w:spacing w:line="240" w:lineRule="auto"/>
              <w:ind w:firstLine="0" w:firstLineChars="0"/>
              <w:jc w:val="center"/>
            </w:pPr>
            <w:r>
              <w:rPr>
                <w:sz w:val="21"/>
                <w:szCs w:val="21"/>
              </w:rPr>
              <w:t>0.9633</w:t>
            </w:r>
          </w:p>
        </w:tc>
        <w:tc>
          <w:tcPr>
            <w:tcW w:w="930" w:type="dxa"/>
            <w:tcBorders>
              <w:top w:val="nil"/>
              <w:left w:val="nil"/>
              <w:bottom w:val="single" w:color="000000" w:sz="8" w:space="0"/>
              <w:right w:val="nil"/>
            </w:tcBorders>
            <w:vAlign w:val="center"/>
          </w:tcPr>
          <w:p w14:paraId="27BA19B5">
            <w:pPr>
              <w:spacing w:line="240" w:lineRule="auto"/>
              <w:ind w:firstLine="0" w:firstLineChars="0"/>
              <w:jc w:val="center"/>
            </w:pPr>
            <w:r>
              <w:rPr>
                <w:sz w:val="21"/>
                <w:szCs w:val="21"/>
              </w:rPr>
              <w:t>0.000843</w:t>
            </w:r>
          </w:p>
        </w:tc>
        <w:tc>
          <w:tcPr>
            <w:tcW w:w="928" w:type="dxa"/>
            <w:tcBorders>
              <w:top w:val="nil"/>
              <w:left w:val="nil"/>
              <w:bottom w:val="single" w:color="000000" w:sz="8" w:space="0"/>
              <w:right w:val="nil"/>
            </w:tcBorders>
            <w:vAlign w:val="center"/>
          </w:tcPr>
          <w:p w14:paraId="297906CD">
            <w:pPr>
              <w:spacing w:line="240" w:lineRule="auto"/>
              <w:ind w:firstLine="0" w:firstLineChars="0"/>
              <w:jc w:val="center"/>
            </w:pPr>
            <w:r>
              <w:rPr>
                <w:sz w:val="21"/>
                <w:szCs w:val="21"/>
              </w:rPr>
              <w:t>1.753</w:t>
            </w:r>
          </w:p>
        </w:tc>
      </w:tr>
    </w:tbl>
    <w:p w14:paraId="54743596">
      <w:pPr>
        <w:pStyle w:val="3"/>
        <w:ind w:firstLine="480"/>
        <w:rPr>
          <w:lang w:eastAsia="zh-CN"/>
        </w:rPr>
      </w:pPr>
      <w:r>
        <w:rPr>
          <w:rFonts w:hint="eastAsia"/>
          <w:lang w:eastAsia="zh-CN"/>
        </w:rPr>
        <w:t>图</w:t>
      </w:r>
      <w:r>
        <w:rPr>
          <w:lang w:eastAsia="zh-CN"/>
        </w:rPr>
        <w:t xml:space="preserve"> 6 </w:t>
      </w:r>
      <w:r>
        <w:rPr>
          <w:rFonts w:hint="eastAsia"/>
          <w:lang w:eastAsia="zh-CN"/>
        </w:rPr>
        <w:t>给出了独立测试集预测结果及模型对比。Nu</w:t>
      </w:r>
      <w:r>
        <w:rPr>
          <w:lang w:eastAsia="zh-CN"/>
        </w:rPr>
        <w:t xml:space="preserve"> </w:t>
      </w:r>
      <w:r>
        <w:rPr>
          <w:rFonts w:hint="eastAsia"/>
          <w:lang w:eastAsia="zh-CN"/>
        </w:rPr>
        <w:t>和</w:t>
      </w:r>
      <w:r>
        <w:rPr>
          <w:lang w:eastAsia="zh-CN"/>
        </w:rPr>
        <w:t xml:space="preserve"> f </w:t>
      </w:r>
      <w:r>
        <w:rPr>
          <w:rFonts w:hint="eastAsia"/>
          <w:lang w:eastAsia="zh-CN"/>
        </w:rPr>
        <w:t>的预测点整体分布在理想预测线附近，表明预测结果与</w:t>
      </w:r>
      <w:r>
        <w:rPr>
          <w:lang w:eastAsia="zh-CN"/>
        </w:rPr>
        <w:t xml:space="preserve"> CFD </w:t>
      </w:r>
      <w:r>
        <w:rPr>
          <w:rFonts w:hint="eastAsia"/>
          <w:lang w:eastAsia="zh-CN"/>
        </w:rPr>
        <w:t>计算结果具有较好一致性；R²</w:t>
      </w:r>
      <w:r>
        <w:rPr>
          <w:lang w:eastAsia="zh-CN"/>
        </w:rPr>
        <w:t xml:space="preserve"> </w:t>
      </w:r>
      <w:r>
        <w:rPr>
          <w:rFonts w:hint="eastAsia"/>
          <w:lang w:eastAsia="zh-CN"/>
        </w:rPr>
        <w:t>和</w:t>
      </w:r>
      <w:r>
        <w:rPr>
          <w:lang w:eastAsia="zh-CN"/>
        </w:rPr>
        <w:t xml:space="preserve"> MAPE </w:t>
      </w:r>
      <w:r>
        <w:rPr>
          <w:rFonts w:hint="eastAsia"/>
          <w:lang w:eastAsia="zh-CN"/>
        </w:rPr>
        <w:t>对比进一步表明，多模态融合模型整体优于纯几何</w:t>
      </w:r>
      <w:r>
        <w:rPr>
          <w:lang w:eastAsia="zh-CN"/>
        </w:rPr>
        <w:t xml:space="preserve"> MLP。</w:t>
      </w: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5EB0E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9" w:hRule="atLeast"/>
        </w:trPr>
        <w:tc>
          <w:tcPr>
            <w:tcW w:w="5000" w:type="pct"/>
          </w:tcPr>
          <w:p w14:paraId="0938AF7C">
            <w:pPr>
              <w:pStyle w:val="3"/>
              <w:widowControl w:val="0"/>
              <w:spacing w:line="240" w:lineRule="auto"/>
              <w:ind w:firstLine="480"/>
              <w:jc w:val="center"/>
              <w:rPr>
                <w:lang w:eastAsia="zh-CN"/>
              </w:rPr>
            </w:pPr>
            <w:r>
              <w:drawing>
                <wp:inline distT="0" distB="0" distL="114300" distR="114300">
                  <wp:extent cx="3861435" cy="1604010"/>
                  <wp:effectExtent l="0" t="0" r="5715" b="1524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a:xfrm>
                            <a:off x="0" y="0"/>
                            <a:ext cx="3861435" cy="1604010"/>
                          </a:xfrm>
                          <a:prstGeom prst="rect">
                            <a:avLst/>
                          </a:prstGeom>
                        </pic:spPr>
                      </pic:pic>
                    </a:graphicData>
                  </a:graphic>
                </wp:inline>
              </w:drawing>
            </w:r>
          </w:p>
        </w:tc>
      </w:tr>
      <w:tr w14:paraId="490AE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2EAE974">
            <w:pPr>
              <w:widowControl w:val="0"/>
              <w:spacing w:before="120" w:after="240" w:line="240" w:lineRule="auto"/>
              <w:ind w:firstLineChars="0"/>
              <w:jc w:val="center"/>
              <w:rPr>
                <w:lang w:eastAsia="zh-CN"/>
              </w:rPr>
            </w:pPr>
            <w:r>
              <w:rPr>
                <w:sz w:val="21"/>
                <w:lang w:eastAsia="zh-CN"/>
              </w:rPr>
              <w:t>（a）Nu 预测值与 CFD 真实值对比；（b）f 预测值与 CFD 真实值对比</w:t>
            </w:r>
          </w:p>
        </w:tc>
      </w:tr>
      <w:tr w14:paraId="3C97D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4" w:hRule="atLeast"/>
        </w:trPr>
        <w:tc>
          <w:tcPr>
            <w:tcW w:w="5000" w:type="pct"/>
          </w:tcPr>
          <w:p w14:paraId="420107DF">
            <w:pPr>
              <w:widowControl w:val="0"/>
              <w:spacing w:before="120" w:after="240" w:line="240" w:lineRule="auto"/>
              <w:ind w:firstLineChars="0"/>
              <w:jc w:val="center"/>
              <w:rPr>
                <w:sz w:val="21"/>
              </w:rPr>
            </w:pPr>
            <w:r>
              <w:rPr>
                <w:sz w:val="21"/>
              </w:rPr>
              <w:drawing>
                <wp:inline distT="0" distB="0" distL="0" distR="0">
                  <wp:extent cx="3841750" cy="1463040"/>
                  <wp:effectExtent l="0" t="0" r="6350" b="3810"/>
                  <wp:docPr id="103752115"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115" name="图形 2"/>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3841750" cy="1463040"/>
                          </a:xfrm>
                          <a:prstGeom prst="rect">
                            <a:avLst/>
                          </a:prstGeom>
                        </pic:spPr>
                      </pic:pic>
                    </a:graphicData>
                  </a:graphic>
                </wp:inline>
              </w:drawing>
            </w:r>
          </w:p>
        </w:tc>
      </w:tr>
      <w:tr w14:paraId="2D886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000" w:type="pct"/>
          </w:tcPr>
          <w:p w14:paraId="2821A374">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sz w:val="21"/>
              </w:rPr>
            </w:pPr>
            <w:r>
              <w:rPr>
                <w:rFonts w:hint="default" w:ascii="Times New Roman" w:hAnsi="Times New Roman" w:eastAsia="宋体" w:cs="Times New Roman"/>
                <w:sz w:val="21"/>
                <w:szCs w:val="21"/>
                <w:lang w:eastAsia="zh-CN"/>
              </w:rPr>
              <w:t>（c）MLP 与多模态融合模型 R² 对比</w:t>
            </w:r>
            <w:r>
              <w:rPr>
                <w:rFonts w:hint="eastAsia" w:ascii="Times New Roman" w:hAnsi="Times New Roman" w:eastAsia="宋体" w:cs="Times New Roman"/>
                <w:sz w:val="21"/>
                <w:szCs w:val="21"/>
                <w:lang w:val="en-US" w:eastAsia="zh-CN"/>
              </w:rPr>
              <w:t xml:space="preserve"> ； </w:t>
            </w:r>
            <w:r>
              <w:rPr>
                <w:rFonts w:hint="default" w:ascii="Times New Roman" w:hAnsi="Times New Roman" w:eastAsia="宋体" w:cs="Times New Roman"/>
                <w:sz w:val="21"/>
                <w:szCs w:val="21"/>
                <w:lang w:eastAsia="zh-CN"/>
              </w:rPr>
              <w:t>（d）MLP 与多模态融合模型 MAPE 对比</w:t>
            </w:r>
          </w:p>
        </w:tc>
      </w:tr>
      <w:tr w14:paraId="24804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000" w:type="pct"/>
          </w:tcPr>
          <w:p w14:paraId="1E818117">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Fig. 6 Prediction results and model comparison of the multimodal fusion model</w:t>
            </w:r>
          </w:p>
          <w:p w14:paraId="103E071B">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1"/>
                <w:szCs w:val="21"/>
              </w:rPr>
              <w:t>图 6 多模态融合模型预测结果及模型对比</w:t>
            </w:r>
          </w:p>
        </w:tc>
      </w:tr>
    </w:tbl>
    <w:p w14:paraId="64D2AE52">
      <w:pPr>
        <w:pStyle w:val="3"/>
        <w:ind w:firstLine="420"/>
        <w:jc w:val="center"/>
        <w:rPr>
          <w:sz w:val="21"/>
          <w:lang w:eastAsia="zh-CN"/>
        </w:rPr>
      </w:pPr>
      <w:r>
        <w:rPr>
          <w:sz w:val="21"/>
          <w:lang w:eastAsia="zh-CN"/>
        </w:rPr>
        <w:t>图 7 给出了训练集与验证集损失函数随迭代轮数的变化情况。两类损失整体下降并在后期趋于稳定，说明模型训练过程较稳定，未出现明显发散。</w:t>
      </w:r>
    </w:p>
    <w:tbl>
      <w:tblPr>
        <w:tblStyle w:val="24"/>
        <w:tblW w:w="92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232"/>
      </w:tblGrid>
      <w:tr w14:paraId="39109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232" w:type="dxa"/>
          </w:tcPr>
          <w:p w14:paraId="0176791A">
            <w:pPr>
              <w:pStyle w:val="3"/>
              <w:widowControl w:val="0"/>
              <w:spacing w:line="240" w:lineRule="auto"/>
              <w:ind w:firstLine="420"/>
              <w:jc w:val="center"/>
              <w:rPr>
                <w:sz w:val="21"/>
                <w:lang w:eastAsia="zh-CN"/>
              </w:rPr>
            </w:pPr>
            <w:r>
              <w:rPr>
                <w:rFonts w:hint="eastAsia"/>
                <w:sz w:val="21"/>
                <w:lang w:eastAsia="zh-CN"/>
              </w:rPr>
              <w:drawing>
                <wp:inline distT="0" distB="0" distL="114300" distR="114300">
                  <wp:extent cx="3757930" cy="1637030"/>
                  <wp:effectExtent l="0" t="0" r="0" b="0"/>
                  <wp:docPr id="3" name="图片 3" descr="Fig_CBAM_CNN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_CBAM_CNN_Loss"/>
                          <pic:cNvPicPr>
                            <a:picLocks noChangeAspect="1"/>
                          </pic:cNvPicPr>
                        </pic:nvPicPr>
                        <pic:blipFill>
                          <a:blip r:embed="rId26">
                            <a:extLst>
                              <a:ext uri="{96DAC541-7B7A-43D3-8B79-37D633B846F1}">
                                <asvg:svgBlip xmlns:asvg="http://schemas.microsoft.com/office/drawing/2016/SVG/main" r:embed="rId27"/>
                              </a:ext>
                            </a:extLst>
                          </a:blip>
                          <a:srcRect t="-8737" b="-8737"/>
                          <a:stretch>
                            <a:fillRect/>
                          </a:stretch>
                        </pic:blipFill>
                        <pic:spPr>
                          <a:xfrm>
                            <a:off x="0" y="0"/>
                            <a:ext cx="3765254" cy="1640425"/>
                          </a:xfrm>
                          <a:prstGeom prst="rect">
                            <a:avLst/>
                          </a:prstGeom>
                        </pic:spPr>
                      </pic:pic>
                    </a:graphicData>
                  </a:graphic>
                </wp:inline>
              </w:drawing>
            </w:r>
          </w:p>
        </w:tc>
      </w:tr>
      <w:tr w14:paraId="2869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atLeast"/>
        </w:trPr>
        <w:tc>
          <w:tcPr>
            <w:tcW w:w="9232" w:type="dxa"/>
          </w:tcPr>
          <w:p w14:paraId="46645B5C">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Fig. 7 Training and validation loss convergence curves of the multimodal fusion model</w:t>
            </w:r>
          </w:p>
          <w:p w14:paraId="4B91835D">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sz w:val="21"/>
                <w:lang w:eastAsia="zh-CN"/>
              </w:rPr>
            </w:pPr>
            <w:r>
              <w:rPr>
                <w:rFonts w:hint="default" w:ascii="Times New Roman" w:hAnsi="Times New Roman" w:eastAsia="宋体" w:cs="Times New Roman"/>
                <w:sz w:val="21"/>
                <w:szCs w:val="21"/>
                <w:lang w:eastAsia="zh-CN"/>
              </w:rPr>
              <w:t>图 7 多模态融合模型训练集与验证集损失函数收敛曲线</w:t>
            </w:r>
          </w:p>
        </w:tc>
      </w:tr>
      <w:bookmarkEnd w:id="14"/>
    </w:tbl>
    <w:p w14:paraId="6E3C6554">
      <w:pPr>
        <w:pStyle w:val="5"/>
        <w:ind w:left="480"/>
        <w:rPr>
          <w:lang w:eastAsia="zh-CN"/>
        </w:rPr>
      </w:pPr>
      <w:bookmarkStart w:id="15" w:name="基于代理模型的参数化优化"/>
      <w:r>
        <w:rPr>
          <w:lang w:eastAsia="zh-CN"/>
        </w:rPr>
        <w:t>4.3 基于代理模型的参数化优化</w:t>
      </w:r>
    </w:p>
    <w:p w14:paraId="1E083909">
      <w:pPr>
        <w:pStyle w:val="3"/>
        <w:spacing w:before="0" w:after="0"/>
        <w:ind w:firstLine="480"/>
        <w:rPr>
          <w:lang w:eastAsia="zh-CN"/>
        </w:rPr>
      </w:pPr>
      <w:r>
        <w:rPr>
          <w:lang w:eastAsia="zh-CN"/>
        </w:rPr>
        <w:t>完成模型训练与验证后，将多模态 CNN 作为快速适应度评估器，并结合差分进化算法对 6 维翼型管阵列参数化设计变量进行优化。优化目标为最大化综合评价因子 η：</w:t>
      </w:r>
    </w:p>
    <w:tbl>
      <w:tblPr>
        <w:tblStyle w:val="23"/>
        <w:tblW w:w="8278" w:type="dxa"/>
        <w:jc w:val="center"/>
        <w:tblLayout w:type="fixed"/>
        <w:tblCellMar>
          <w:top w:w="0" w:type="dxa"/>
          <w:left w:w="10" w:type="dxa"/>
          <w:bottom w:w="0" w:type="dxa"/>
          <w:right w:w="10" w:type="dxa"/>
        </w:tblCellMar>
      </w:tblPr>
      <w:tblGrid>
        <w:gridCol w:w="7217"/>
        <w:gridCol w:w="1061"/>
      </w:tblGrid>
      <w:tr w14:paraId="08DF6459">
        <w:trPr>
          <w:jc w:val="center"/>
        </w:trPr>
        <w:tc>
          <w:tcPr>
            <w:tcW w:w="7217" w:type="dxa"/>
            <w:tcBorders>
              <w:top w:val="nil"/>
              <w:left w:val="nil"/>
              <w:bottom w:val="nil"/>
              <w:right w:val="nil"/>
            </w:tcBorders>
            <w:vAlign w:val="center"/>
          </w:tcPr>
          <w:p w14:paraId="3C80C8F0">
            <w:pPr>
              <w:spacing w:line="240" w:lineRule="auto"/>
              <w:ind w:firstLine="480"/>
              <w:jc w:val="center"/>
              <w:rPr>
                <w:rFonts w:hAnsi="Cambria Math"/>
              </w:rPr>
            </w:pPr>
            <m:oMathPara>
              <m:oMathParaPr>
                <m:jc m:val="center"/>
              </m:oMathParaPr>
              <m:oMath>
                <m:r>
                  <m:rPr>
                    <m:sty m:val="p"/>
                  </m:rPr>
                  <m:t>max</m:t>
                </m:r>
                <m:r>
                  <m:rPr/>
                  <m:t> η</m:t>
                </m:r>
                <m:r>
                  <m:rPr>
                    <m:sty m:val="p"/>
                  </m:rPr>
                  <m:t>(</m:t>
                </m:r>
                <m:r>
                  <m:rPr/>
                  <m:t>X</m:t>
                </m:r>
                <m:r>
                  <m:rPr>
                    <m:sty m:val="p"/>
                  </m:rPr>
                  <m:t>)=</m:t>
                </m:r>
                <m:f>
                  <m:fPr/>
                  <m:num>
                    <m:r>
                      <m:rPr/>
                      <m:t>Nu</m:t>
                    </m:r>
                    <m:r>
                      <m:rPr>
                        <m:sty m:val="p"/>
                      </m:rPr>
                      <m:t>(</m:t>
                    </m:r>
                    <m:r>
                      <m:rPr/>
                      <m:t>X</m:t>
                    </m:r>
                    <m:r>
                      <m:rPr>
                        <m:sty m:val="p"/>
                      </m:rPr>
                      <m:t>)</m:t>
                    </m:r>
                  </m:num>
                  <m:den>
                    <m:r>
                      <m:rPr>
                        <m:sty m:val="p"/>
                      </m:rPr>
                      <m:t>[</m:t>
                    </m:r>
                    <m:r>
                      <m:rPr/>
                      <m:t>f</m:t>
                    </m:r>
                    <m:r>
                      <m:rPr>
                        <m:sty m:val="p"/>
                      </m:rPr>
                      <m:t>(</m:t>
                    </m:r>
                    <m:r>
                      <m:rPr/>
                      <m:t>X</m:t>
                    </m:r>
                    <m:r>
                      <m:rPr>
                        <m:sty m:val="p"/>
                      </m:rPr>
                      <m:t>)</m:t>
                    </m:r>
                    <m:sSup>
                      <m:sSupPr/>
                      <m:e>
                        <m:r>
                          <m:rPr>
                            <m:sty m:val="p"/>
                          </m:rPr>
                          <m:t>]</m:t>
                        </m:r>
                      </m:e>
                      <m:sup>
                        <m:r>
                          <m:rPr/>
                          <m:t>1</m:t>
                        </m:r>
                        <m:r>
                          <m:rPr>
                            <m:sty m:val="p"/>
                          </m:rPr>
                          <m:t>/</m:t>
                        </m:r>
                        <m:r>
                          <m:rPr/>
                          <m:t>3</m:t>
                        </m:r>
                      </m:sup>
                    </m:sSup>
                  </m:den>
                </m:f>
              </m:oMath>
            </m:oMathPara>
          </w:p>
        </w:tc>
        <w:tc>
          <w:tcPr>
            <w:tcW w:w="1061" w:type="dxa"/>
            <w:tcBorders>
              <w:top w:val="nil"/>
              <w:left w:val="nil"/>
              <w:bottom w:val="nil"/>
              <w:right w:val="nil"/>
            </w:tcBorders>
            <w:vAlign w:val="center"/>
          </w:tcPr>
          <w:p w14:paraId="33A981A5">
            <w:pPr>
              <w:ind w:firstLine="0" w:firstLineChars="0"/>
              <w:jc w:val="right"/>
            </w:pPr>
            <w:r>
              <w:rPr>
                <w:rFonts w:eastAsia="Times New Roman"/>
                <w:sz w:val="21"/>
                <w:szCs w:val="21"/>
              </w:rPr>
              <w:t>(</w:t>
            </w:r>
            <w:r>
              <w:rPr>
                <w:rFonts w:hint="eastAsia" w:eastAsiaTheme="minorEastAsia"/>
                <w:sz w:val="21"/>
                <w:szCs w:val="21"/>
                <w:lang w:val="en-US" w:eastAsia="zh-CN"/>
              </w:rPr>
              <w:t>19</w:t>
            </w:r>
            <w:r>
              <w:rPr>
                <w:rFonts w:eastAsia="Times New Roman"/>
                <w:sz w:val="21"/>
                <w:szCs w:val="21"/>
              </w:rPr>
              <w:t>)</w:t>
            </w:r>
          </w:p>
        </w:tc>
      </w:tr>
      <w:tr w14:paraId="4402ADEC">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7D194FCB">
            <w:pPr>
              <w:spacing w:before="0" w:after="0" w:line="240" w:lineRule="auto"/>
              <w:ind w:firstLine="480" w:firstLineChars="200"/>
              <w:jc w:val="center"/>
              <w:rPr>
                <w:rFonts w:hAnsi="Cambria Math"/>
              </w:rPr>
            </w:pPr>
            <m:oMathPara>
              <m:oMathParaPr>
                <m:jc m:val="center"/>
              </m:oMathParaPr>
              <m:oMath>
                <m:r>
                  <m:rPr/>
                  <m:t>X</m:t>
                </m:r>
                <m:r>
                  <m:rPr>
                    <m:sty m:val="p"/>
                  </m:rPr>
                  <m:t>=[</m:t>
                </m:r>
                <m:sSub>
                  <m:sSubPr/>
                  <m:e>
                    <m:r>
                      <m:rPr/>
                      <m:t>T</m:t>
                    </m:r>
                  </m:e>
                  <m:sub>
                    <m:r>
                      <m:rPr/>
                      <m:t>a</m:t>
                    </m:r>
                  </m:sub>
                </m:sSub>
                <m:r>
                  <m:rPr>
                    <m:sty m:val="p"/>
                  </m:rPr>
                  <m:t>,</m:t>
                </m:r>
                <m:sSub>
                  <m:sSubPr/>
                  <m:e>
                    <m:r>
                      <m:rPr/>
                      <m:t>T</m:t>
                    </m:r>
                  </m:e>
                  <m:sub>
                    <m:r>
                      <m:rPr/>
                      <m:t>wa</m:t>
                    </m:r>
                  </m:sub>
                </m:sSub>
                <m:r>
                  <m:rPr>
                    <m:sty m:val="p"/>
                  </m:rPr>
                  <m:t>,</m:t>
                </m:r>
                <m:sSub>
                  <m:sSubPr/>
                  <m:e>
                    <m:r>
                      <m:rPr/>
                      <m:t>T</m:t>
                    </m:r>
                  </m:e>
                  <m:sub>
                    <m:r>
                      <m:rPr/>
                      <m:t>b</m:t>
                    </m:r>
                  </m:sub>
                </m:sSub>
                <m:r>
                  <m:rPr>
                    <m:sty m:val="p"/>
                  </m:rPr>
                  <m:t>,</m:t>
                </m:r>
                <m:sSub>
                  <m:sSubPr/>
                  <m:e>
                    <m:r>
                      <m:rPr/>
                      <m:t>T</m:t>
                    </m:r>
                  </m:e>
                  <m:sub>
                    <m:r>
                      <m:rPr/>
                      <m:t>s</m:t>
                    </m:r>
                  </m:sub>
                </m:sSub>
                <m:r>
                  <m:rPr>
                    <m:sty m:val="p"/>
                  </m:rPr>
                  <m:t>,</m:t>
                </m:r>
                <m:sSub>
                  <m:sSubPr/>
                  <m:e>
                    <m:r>
                      <m:rPr/>
                      <m:t>T</m:t>
                    </m:r>
                  </m:e>
                  <m:sub>
                    <m:r>
                      <m:rPr/>
                      <m:t>t</m:t>
                    </m:r>
                  </m:sub>
                </m:sSub>
                <m:r>
                  <m:rPr>
                    <m:sty m:val="p"/>
                  </m:rPr>
                  <m:t>,</m:t>
                </m:r>
                <m:sSub>
                  <m:sSubPr/>
                  <m:e>
                    <m:r>
                      <m:rPr/>
                      <m:t>T</m:t>
                    </m:r>
                  </m:e>
                  <m:sub>
                    <m:r>
                      <m:rPr/>
                      <m:t>ad</m:t>
                    </m:r>
                  </m:sub>
                </m:sSub>
                <m:r>
                  <m:rPr>
                    <m:sty m:val="p"/>
                  </m:rPr>
                  <m:t>]</m:t>
                </m:r>
              </m:oMath>
            </m:oMathPara>
          </w:p>
        </w:tc>
        <w:tc>
          <w:tcPr>
            <w:tcW w:w="1061" w:type="dxa"/>
            <w:tcBorders>
              <w:top w:val="nil"/>
              <w:left w:val="nil"/>
              <w:bottom w:val="nil"/>
              <w:right w:val="nil"/>
            </w:tcBorders>
            <w:vAlign w:val="center"/>
          </w:tcPr>
          <w:p w14:paraId="4F17180E">
            <w:pPr>
              <w:ind w:firstLine="0" w:firstLineChars="0"/>
              <w:jc w:val="right"/>
            </w:pPr>
            <w:r>
              <w:rPr>
                <w:rFonts w:eastAsia="Times New Roman"/>
                <w:sz w:val="21"/>
                <w:szCs w:val="21"/>
              </w:rPr>
              <w:t>(</w:t>
            </w:r>
            <w:r>
              <w:rPr>
                <w:rFonts w:hint="eastAsia" w:eastAsiaTheme="minorEastAsia"/>
                <w:sz w:val="21"/>
                <w:szCs w:val="21"/>
                <w:lang w:eastAsia="zh-CN"/>
              </w:rPr>
              <w:t>2</w:t>
            </w:r>
            <w:r>
              <w:rPr>
                <w:rFonts w:hint="eastAsia" w:eastAsiaTheme="minorEastAsia"/>
                <w:sz w:val="21"/>
                <w:szCs w:val="21"/>
                <w:lang w:val="en-US" w:eastAsia="zh-CN"/>
              </w:rPr>
              <w:t>0</w:t>
            </w:r>
            <w:r>
              <w:rPr>
                <w:rFonts w:eastAsia="Times New Roman"/>
                <w:sz w:val="21"/>
                <w:szCs w:val="21"/>
              </w:rPr>
              <w:t>)</w:t>
            </w:r>
          </w:p>
        </w:tc>
      </w:tr>
      <w:tr w14:paraId="41074257">
        <w:tblPrEx>
          <w:tblCellMar>
            <w:top w:w="0" w:type="dxa"/>
            <w:left w:w="10" w:type="dxa"/>
            <w:bottom w:w="0" w:type="dxa"/>
            <w:right w:w="10" w:type="dxa"/>
          </w:tblCellMar>
        </w:tblPrEx>
        <w:trPr>
          <w:jc w:val="center"/>
        </w:trPr>
        <w:tc>
          <w:tcPr>
            <w:tcW w:w="7217" w:type="dxa"/>
            <w:tcBorders>
              <w:top w:val="nil"/>
              <w:left w:val="nil"/>
              <w:bottom w:val="nil"/>
              <w:right w:val="nil"/>
            </w:tcBorders>
            <w:vAlign w:val="center"/>
          </w:tcPr>
          <w:p w14:paraId="35D71299">
            <w:pPr>
              <w:spacing w:before="0" w:after="0" w:line="240" w:lineRule="auto"/>
              <w:ind w:firstLine="480" w:firstLineChars="200"/>
              <w:jc w:val="center"/>
              <w:rPr>
                <w:rFonts w:hAnsi="Cambria Math"/>
              </w:rPr>
            </w:pPr>
            <m:oMathPara>
              <m:oMathParaPr>
                <m:jc m:val="center"/>
              </m:oMathParaPr>
              <m:oMath>
                <m:sSub>
                  <m:sSubPr/>
                  <m:e>
                    <m:r>
                      <m:rPr/>
                      <m:t>X</m:t>
                    </m:r>
                  </m:e>
                  <m:sub>
                    <m:r>
                      <m:rPr/>
                      <m:t>min</m:t>
                    </m:r>
                  </m:sub>
                </m:sSub>
                <m:r>
                  <m:rPr>
                    <m:sty m:val="p"/>
                  </m:rPr>
                  <m:t>≤</m:t>
                </m:r>
                <m:r>
                  <m:rPr/>
                  <m:t>X</m:t>
                </m:r>
                <m:r>
                  <m:rPr>
                    <m:sty m:val="p"/>
                  </m:rPr>
                  <m:t>≤</m:t>
                </m:r>
                <m:sSub>
                  <m:sSubPr/>
                  <m:e>
                    <m:r>
                      <m:rPr/>
                      <m:t>X</m:t>
                    </m:r>
                  </m:e>
                  <m:sub>
                    <m:r>
                      <m:rPr/>
                      <m:t>max</m:t>
                    </m:r>
                  </m:sub>
                </m:sSub>
              </m:oMath>
            </m:oMathPara>
          </w:p>
        </w:tc>
        <w:tc>
          <w:tcPr>
            <w:tcW w:w="1061" w:type="dxa"/>
            <w:tcBorders>
              <w:top w:val="nil"/>
              <w:left w:val="nil"/>
              <w:bottom w:val="nil"/>
              <w:right w:val="nil"/>
            </w:tcBorders>
            <w:vAlign w:val="center"/>
          </w:tcPr>
          <w:p w14:paraId="16F14596">
            <w:pPr>
              <w:ind w:firstLine="0" w:firstLineChars="0"/>
              <w:jc w:val="right"/>
            </w:pPr>
            <w:r>
              <w:rPr>
                <w:rFonts w:eastAsia="Times New Roman"/>
                <w:sz w:val="21"/>
                <w:szCs w:val="21"/>
              </w:rPr>
              <w:t>(</w:t>
            </w:r>
            <w:r>
              <w:rPr>
                <w:rFonts w:hint="eastAsia" w:eastAsiaTheme="minorEastAsia"/>
                <w:sz w:val="21"/>
                <w:szCs w:val="21"/>
                <w:lang w:eastAsia="zh-CN"/>
              </w:rPr>
              <w:t>2</w:t>
            </w:r>
            <w:r>
              <w:rPr>
                <w:rFonts w:hint="eastAsia" w:eastAsiaTheme="minorEastAsia"/>
                <w:sz w:val="21"/>
                <w:szCs w:val="21"/>
                <w:lang w:val="en-US" w:eastAsia="zh-CN"/>
              </w:rPr>
              <w:t>1</w:t>
            </w:r>
            <w:r>
              <w:rPr>
                <w:rFonts w:eastAsia="Times New Roman"/>
                <w:sz w:val="21"/>
                <w:szCs w:val="21"/>
              </w:rPr>
              <w:t>)</w:t>
            </w:r>
          </w:p>
        </w:tc>
      </w:tr>
    </w:tbl>
    <w:p w14:paraId="4E88DBF2">
      <w:pPr>
        <w:pStyle w:val="3"/>
        <w:spacing w:before="0" w:after="0"/>
        <w:ind w:firstLine="480"/>
        <w:rPr>
          <w:lang w:eastAsia="zh-CN"/>
        </w:rPr>
      </w:pPr>
      <w:r>
        <w:rPr>
          <w:lang w:eastAsia="zh-CN"/>
        </w:rPr>
        <w:t>式中，X 为 6 维参数化设计变量向量，</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lang w:eastAsia="zh-CN"/>
        </w:rPr>
        <w:t xml:space="preserve"> 和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max</m:t>
            </m:r>
            <m:ctrlPr>
              <w:rPr>
                <w:rFonts w:ascii="Cambria Math" w:hAnsi="Cambria Math"/>
              </w:rPr>
            </m:ctrlPr>
          </m:sub>
        </m:sSub>
      </m:oMath>
      <w:r>
        <w:rPr>
          <w:lang w:eastAsia="zh-CN"/>
        </w:rPr>
        <w:t xml:space="preserve"> 分别为变量上下界，具体范围由表 1 给出。差分进化算法种群规模 NP = 50，变异因子 F = 0.8，交叉概率 CR = 0.9，最大迭代代数为 200。每一代候选个体均由代理模型快速预测 Nu、f 和 </w:t>
      </w:r>
      <w:r>
        <w:t>η</w:t>
      </w:r>
      <w:r>
        <w:rPr>
          <w:lang w:eastAsia="zh-CN"/>
        </w:rPr>
        <w:t>，从而减少重复 CFD 调用。</w:t>
      </w:r>
    </w:p>
    <w:p w14:paraId="736AB2AB">
      <w:pPr>
        <w:pStyle w:val="3"/>
        <w:spacing w:before="0" w:after="0"/>
        <w:ind w:firstLine="480"/>
        <w:rPr>
          <w:lang w:eastAsia="zh-CN"/>
        </w:rPr>
      </w:pPr>
      <w:r>
        <w:rPr>
          <w:rFonts w:hint="eastAsia"/>
          <w:lang w:eastAsia="zh-CN"/>
        </w:rPr>
        <w:t>需要指出的是，优化搜索阶段的新候选结构无法实时获得对应</w:t>
      </w:r>
      <w:r>
        <w:rPr>
          <w:lang w:eastAsia="zh-CN"/>
        </w:rPr>
        <w:t xml:space="preserve"> CFD </w:t>
      </w:r>
      <w:r>
        <w:rPr>
          <w:rFonts w:hint="eastAsia"/>
          <w:lang w:eastAsia="zh-CN"/>
        </w:rPr>
        <w:t>流场云图。为保证流程可执行，选取训练集中与基准工况相近且收敛稳定的样本云图作为视觉基准输入，候选结构则通过</w:t>
      </w:r>
      <w:r>
        <w:rPr>
          <w:lang w:eastAsia="zh-CN"/>
        </w:rPr>
        <w:t xml:space="preserve"> 6 </w:t>
      </w:r>
      <w:r>
        <w:rPr>
          <w:rFonts w:hint="eastAsia"/>
          <w:lang w:eastAsia="zh-CN"/>
        </w:rPr>
        <w:t>维几何变量描述相对扰动。该策略仅用于候选方案快速筛选，最终</w:t>
      </w:r>
      <w:r>
        <w:rPr>
          <w:lang w:eastAsia="zh-CN"/>
        </w:rPr>
        <w:t xml:space="preserve"> Nu、f </w:t>
      </w:r>
      <w:r>
        <w:rPr>
          <w:rFonts w:hint="eastAsia"/>
          <w:lang w:eastAsia="zh-CN"/>
        </w:rPr>
        <w:t>和</w:t>
      </w:r>
      <w:r>
        <w:rPr>
          <w:lang w:eastAsia="zh-CN"/>
        </w:rPr>
        <w:t xml:space="preserve"> η </w:t>
      </w:r>
      <w:r>
        <w:rPr>
          <w:rFonts w:hint="eastAsia"/>
          <w:lang w:eastAsia="zh-CN"/>
        </w:rPr>
        <w:t>均以独立</w:t>
      </w:r>
      <w:r>
        <w:rPr>
          <w:lang w:eastAsia="zh-CN"/>
        </w:rPr>
        <w:t xml:space="preserve"> CFD </w:t>
      </w:r>
      <w:r>
        <w:rPr>
          <w:rFonts w:hint="eastAsia"/>
          <w:lang w:eastAsia="zh-CN"/>
        </w:rPr>
        <w:t>复核结果为准。</w:t>
      </w:r>
    </w:p>
    <w:bookmarkEnd w:id="15"/>
    <w:p w14:paraId="5F554F91">
      <w:pPr>
        <w:pStyle w:val="5"/>
        <w:ind w:left="480"/>
        <w:rPr>
          <w:lang w:eastAsia="zh-CN"/>
        </w:rPr>
      </w:pPr>
      <w:bookmarkStart w:id="16" w:name="优化结果与流场分析"/>
      <w:r>
        <w:rPr>
          <w:lang w:eastAsia="zh-CN"/>
        </w:rPr>
        <w:t>4.4 优化结果与流场分析</w:t>
      </w:r>
    </w:p>
    <w:p w14:paraId="66DA5AD8">
      <w:pPr>
        <w:pStyle w:val="3"/>
        <w:spacing w:before="0" w:after="0"/>
        <w:ind w:firstLine="480"/>
        <w:rPr>
          <w:lang w:eastAsia="zh-CN"/>
        </w:rPr>
      </w:pPr>
      <w:r>
        <w:rPr>
          <w:rFonts w:hint="eastAsia"/>
          <w:lang w:eastAsia="zh-CN"/>
        </w:rPr>
        <w:t>经差分进化算法筛选后，获得一组综合评价因子较高的最优候选结构，其参数组合为：</w:t>
      </w:r>
      <m:oMath>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opt</m:t>
            </m:r>
            <m:ctrlPr>
              <w:rPr>
                <w:rFonts w:hint="eastAsia" w:ascii="Cambria Math" w:hAnsi="Cambria Math"/>
                <w:lang w:eastAsia="zh-CN"/>
              </w:rPr>
            </m:ctrlPr>
          </m:sub>
        </m:sSub>
        <m:r>
          <m:rPr>
            <m:sty m:val="p"/>
          </m:rPr>
          <w:rPr>
            <w:rFonts w:hint="eastAsia" w:ascii="Cambria Math" w:hAnsi="Cambria Math"/>
            <w:lang w:eastAsia="zh-CN"/>
          </w:rPr>
          <m:t>=[0.035,0.40,0.12,1.10,0.85,0.50]</m:t>
        </m:r>
      </m:oMath>
      <w:r>
        <w:rPr>
          <w:rFonts w:hint="eastAsia"/>
          <w:lang w:eastAsia="zh-CN"/>
        </w:rPr>
        <w:t>。</w:t>
      </w:r>
    </w:p>
    <w:p w14:paraId="61DC0342">
      <w:pPr>
        <w:pStyle w:val="3"/>
        <w:spacing w:before="0" w:after="0"/>
        <w:ind w:firstLine="480"/>
        <w:rPr>
          <w:lang w:eastAsia="zh-CN"/>
        </w:rPr>
      </w:pPr>
      <w:r>
        <w:rPr>
          <w:rFonts w:hint="eastAsia"/>
          <w:lang w:eastAsia="zh-CN"/>
        </w:rPr>
        <w:t>将该参数组合重新导入 COMSOL 进行流热耦合验证，并与无弯度对齐基准结构进行对比，结果如表 8 所示。</w:t>
      </w:r>
    </w:p>
    <w:p w14:paraId="5075DF4E">
      <w:pPr>
        <w:pStyle w:val="3"/>
        <w:spacing w:before="120" w:after="120" w:line="240" w:lineRule="auto"/>
        <w:ind w:firstLineChars="0"/>
        <w:jc w:val="center"/>
        <w:rPr>
          <w:lang w:eastAsia="zh-CN"/>
        </w:rPr>
      </w:pPr>
      <w:r>
        <w:rPr>
          <w:sz w:val="21"/>
          <w:lang w:eastAsia="zh-CN"/>
        </w:rPr>
        <w:t>表8　</w:t>
      </w:r>
      <w:r>
        <w:rPr>
          <w:rFonts w:hint="eastAsia"/>
          <w:sz w:val="21"/>
          <w:lang w:eastAsia="zh-CN"/>
        </w:rPr>
        <w:t>基准结构与最优结构散热性能及流阻代价对比</w:t>
      </w:r>
    </w:p>
    <w:tbl>
      <w:tblPr>
        <w:tblStyle w:val="23"/>
        <w:tblW w:w="8815"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2719"/>
        <w:gridCol w:w="499"/>
        <w:gridCol w:w="2311"/>
        <w:gridCol w:w="2311"/>
        <w:gridCol w:w="975"/>
      </w:tblGrid>
      <w:tr w14:paraId="31B60D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auto"/>
            <w:tcMar>
              <w:top w:w="-1" w:type="dxa"/>
              <w:left w:w="-1" w:type="dxa"/>
              <w:bottom w:w="-1" w:type="dxa"/>
              <w:right w:w="-1" w:type="dxa"/>
            </w:tcMar>
            <w:vAlign w:val="center"/>
          </w:tcPr>
          <w:p w14:paraId="78809B40">
            <w:pPr>
              <w:snapToGrid w:val="0"/>
              <w:spacing w:before="0" w:after="0" w:line="240" w:lineRule="auto"/>
              <w:ind w:left="0" w:leftChars="0" w:right="0" w:rightChars="0" w:firstLine="0" w:firstLineChars="0"/>
              <w:jc w:val="center"/>
              <w:rPr>
                <w:rFonts w:ascii="Times New Roman" w:hAnsi="Times New Roman" w:eastAsia="宋体" w:cs="Times New Roman"/>
                <w:b/>
                <w:color w:val="000000"/>
                <w:sz w:val="21"/>
                <w:szCs w:val="24"/>
                <w:lang w:val="en-US" w:eastAsia="zh-CN" w:bidi="ar-SA"/>
              </w:rPr>
            </w:pPr>
            <w:r>
              <w:rPr>
                <w:rFonts w:hint="default" w:ascii="Times New Roman" w:hAnsi="Times New Roman" w:eastAsia="宋体" w:cs="Times New Roman"/>
                <w:b/>
                <w:bCs/>
                <w:sz w:val="21"/>
                <w:szCs w:val="21"/>
              </w:rPr>
              <w:t>指标</w:t>
            </w:r>
          </w:p>
        </w:tc>
        <w:tc>
          <w:tcPr>
            <w:tcW w:w="0" w:type="auto"/>
            <w:tcBorders>
              <w:top w:val="single" w:color="000000" w:sz="12" w:space="0"/>
              <w:left w:val="nil"/>
              <w:bottom w:val="nil"/>
              <w:right w:val="nil"/>
            </w:tcBorders>
            <w:shd w:val="clear" w:color="auto" w:fill="auto"/>
            <w:tcMar>
              <w:top w:w="-1" w:type="dxa"/>
              <w:left w:w="-1" w:type="dxa"/>
              <w:bottom w:w="-1" w:type="dxa"/>
              <w:right w:w="-1" w:type="dxa"/>
            </w:tcMar>
            <w:vAlign w:val="center"/>
          </w:tcPr>
          <w:p w14:paraId="495C0B3C">
            <w:pPr>
              <w:snapToGrid w:val="0"/>
              <w:spacing w:before="0" w:after="0" w:line="240" w:lineRule="auto"/>
              <w:ind w:left="0" w:leftChars="0" w:right="0" w:rightChars="0" w:firstLine="0" w:firstLineChars="0"/>
              <w:jc w:val="center"/>
              <w:rPr>
                <w:rFonts w:ascii="Times New Roman" w:hAnsi="Times New Roman" w:eastAsia="宋体" w:cs="Times New Roman"/>
                <w:b/>
                <w:color w:val="000000"/>
                <w:sz w:val="21"/>
                <w:szCs w:val="24"/>
                <w:lang w:val="en-US" w:eastAsia="zh-CN" w:bidi="ar-SA"/>
              </w:rPr>
            </w:pPr>
            <w:r>
              <w:rPr>
                <w:rFonts w:hint="default" w:ascii="Times New Roman" w:hAnsi="Times New Roman" w:eastAsia="宋体" w:cs="Times New Roman"/>
                <w:b/>
                <w:bCs/>
                <w:sz w:val="21"/>
                <w:szCs w:val="21"/>
              </w:rPr>
              <w:t>单位</w:t>
            </w:r>
          </w:p>
        </w:tc>
        <w:tc>
          <w:tcPr>
            <w:tcW w:w="0" w:type="auto"/>
            <w:tcBorders>
              <w:top w:val="single" w:color="000000" w:sz="12" w:space="0"/>
              <w:left w:val="nil"/>
              <w:bottom w:val="nil"/>
              <w:right w:val="nil"/>
            </w:tcBorders>
            <w:tcMar>
              <w:top w:w="-1" w:type="dxa"/>
              <w:left w:w="-1" w:type="dxa"/>
              <w:bottom w:w="-1" w:type="dxa"/>
              <w:right w:w="-1" w:type="dxa"/>
            </w:tcMar>
            <w:vAlign w:val="center"/>
          </w:tcPr>
          <w:p w14:paraId="2BE7DAAA">
            <w:pPr>
              <w:snapToGrid w:val="0"/>
              <w:spacing w:before="0" w:after="0"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bCs/>
                <w:sz w:val="21"/>
                <w:szCs w:val="21"/>
              </w:rPr>
              <w:t>基准结构（Baseline）</w:t>
            </w:r>
          </w:p>
        </w:tc>
        <w:tc>
          <w:tcPr>
            <w:tcW w:w="0" w:type="auto"/>
            <w:tcBorders>
              <w:top w:val="single" w:color="000000" w:sz="12" w:space="0"/>
              <w:left w:val="nil"/>
              <w:bottom w:val="nil"/>
              <w:right w:val="nil"/>
            </w:tcBorders>
            <w:tcMar>
              <w:top w:w="-1" w:type="dxa"/>
              <w:left w:w="-1" w:type="dxa"/>
              <w:bottom w:w="-1" w:type="dxa"/>
              <w:right w:w="-1" w:type="dxa"/>
            </w:tcMar>
            <w:vAlign w:val="center"/>
          </w:tcPr>
          <w:p w14:paraId="78BC8811">
            <w:pPr>
              <w:snapToGrid w:val="0"/>
              <w:spacing w:before="0" w:after="0"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bCs/>
                <w:sz w:val="21"/>
                <w:szCs w:val="21"/>
              </w:rPr>
              <w:t>最优结构（Optimal）</w:t>
            </w:r>
          </w:p>
        </w:tc>
        <w:tc>
          <w:tcPr>
            <w:tcW w:w="975" w:type="dxa"/>
            <w:tcBorders>
              <w:top w:val="single" w:color="000000" w:sz="12" w:space="0"/>
              <w:left w:val="nil"/>
              <w:bottom w:val="nil"/>
              <w:right w:val="nil"/>
            </w:tcBorders>
            <w:tcMar>
              <w:top w:w="-1" w:type="dxa"/>
              <w:left w:w="-1" w:type="dxa"/>
              <w:bottom w:w="-1" w:type="dxa"/>
              <w:right w:w="-1" w:type="dxa"/>
            </w:tcMar>
            <w:vAlign w:val="center"/>
          </w:tcPr>
          <w:p w14:paraId="73BCEBFC">
            <w:pPr>
              <w:snapToGrid w:val="0"/>
              <w:spacing w:before="0" w:after="0"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bCs/>
                <w:sz w:val="21"/>
                <w:szCs w:val="21"/>
              </w:rPr>
              <w:t>变化比例</w:t>
            </w:r>
          </w:p>
        </w:tc>
      </w:tr>
      <w:tr w14:paraId="382DBE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shd w:val="clear" w:color="auto" w:fill="auto"/>
            <w:tcMar>
              <w:top w:w="-1" w:type="dxa"/>
              <w:left w:w="-1" w:type="dxa"/>
              <w:bottom w:w="-1" w:type="dxa"/>
              <w:right w:w="-1" w:type="dxa"/>
            </w:tcMar>
            <w:vAlign w:val="center"/>
          </w:tcPr>
          <w:p w14:paraId="1EB76C9C">
            <w:pPr>
              <w:snapToGrid w:val="0"/>
              <w:spacing w:before="0" w:after="0" w:line="240" w:lineRule="auto"/>
              <w:ind w:left="0" w:leftChars="0" w:right="0" w:rightChars="0" w:firstLine="0" w:firstLineChars="0"/>
              <w:jc w:val="center"/>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 xml:space="preserve">努塞尔数 </w:t>
            </w:r>
            <m:oMath>
              <m:r>
                <m:rPr/>
                <w:rPr>
                  <w:rFonts w:ascii="Times New Roman" w:hAnsi="Times New Roman" w:eastAsia="宋体"/>
                  <w:sz w:val="21"/>
                </w:rPr>
                <m:t>Nu</m:t>
              </m:r>
            </m:oMath>
          </w:p>
        </w:tc>
        <w:tc>
          <w:tcPr>
            <w:tcW w:w="0" w:type="auto"/>
            <w:tcBorders>
              <w:top w:val="single" w:color="auto" w:sz="4" w:space="0"/>
              <w:left w:val="nil"/>
              <w:bottom w:val="nil"/>
              <w:right w:val="nil"/>
            </w:tcBorders>
            <w:shd w:val="clear" w:color="auto" w:fill="auto"/>
            <w:tcMar>
              <w:top w:w="-1" w:type="dxa"/>
              <w:left w:w="-1" w:type="dxa"/>
              <w:bottom w:w="-1" w:type="dxa"/>
              <w:right w:w="-1" w:type="dxa"/>
            </w:tcMar>
            <w:vAlign w:val="center"/>
          </w:tcPr>
          <w:p w14:paraId="5A085344">
            <w:pPr>
              <w:snapToGrid w:val="0"/>
              <w:spacing w:before="0" w:after="0" w:line="240" w:lineRule="auto"/>
              <w:ind w:left="0" w:leftChars="0" w:right="0" w:rightChars="0" w:firstLine="0" w:firstLineChars="0"/>
              <w:jc w:val="left"/>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CA2FC8C">
            <w:pPr>
              <w:snapToGrid w:val="0"/>
              <w:spacing w:before="0" w:after="0" w:line="240" w:lineRule="auto"/>
              <w:ind w:left="0" w:leftChars="0" w:right="0" w:rightChars="0" w:firstLine="0" w:firstLineChars="0"/>
              <w:jc w:val="left"/>
              <w:rPr>
                <w:rFonts w:ascii="Times New Roman" w:eastAsia="宋体"/>
                <w:sz w:val="21"/>
              </w:rPr>
            </w:pPr>
            <w:r>
              <w:rPr>
                <w:rFonts w:hint="default" w:ascii="Times New Roman" w:hAnsi="Times New Roman" w:eastAsia="宋体" w:cs="Times New Roman"/>
                <w:sz w:val="21"/>
                <w:szCs w:val="21"/>
              </w:rPr>
              <w:t>36.574</w:t>
            </w:r>
          </w:p>
        </w:tc>
        <w:tc>
          <w:tcPr>
            <w:tcW w:w="0" w:type="auto"/>
            <w:tcBorders>
              <w:top w:val="single" w:color="auto" w:sz="4" w:space="0"/>
              <w:left w:val="nil"/>
              <w:bottom w:val="nil"/>
              <w:right w:val="nil"/>
            </w:tcBorders>
            <w:tcMar>
              <w:top w:w="-1" w:type="dxa"/>
              <w:left w:w="-1" w:type="dxa"/>
              <w:bottom w:w="-1" w:type="dxa"/>
              <w:right w:w="-1" w:type="dxa"/>
            </w:tcMar>
            <w:vAlign w:val="center"/>
          </w:tcPr>
          <w:p w14:paraId="03BF59A9">
            <w:pPr>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38.779</w:t>
            </w:r>
          </w:p>
        </w:tc>
        <w:tc>
          <w:tcPr>
            <w:tcW w:w="975" w:type="dxa"/>
            <w:tcBorders>
              <w:top w:val="single" w:color="auto" w:sz="4" w:space="0"/>
              <w:left w:val="nil"/>
              <w:bottom w:val="nil"/>
              <w:right w:val="nil"/>
            </w:tcBorders>
            <w:tcMar>
              <w:top w:w="-1" w:type="dxa"/>
              <w:left w:w="-1" w:type="dxa"/>
              <w:bottom w:w="-1" w:type="dxa"/>
              <w:right w:w="-1" w:type="dxa"/>
            </w:tcMar>
            <w:vAlign w:val="center"/>
          </w:tcPr>
          <w:p w14:paraId="5EDF50DB">
            <w:pPr>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+6.03%</w:t>
            </w:r>
          </w:p>
        </w:tc>
      </w:tr>
      <w:tr w14:paraId="2C38DA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2FD08251">
            <w:pPr>
              <w:snapToGrid w:val="0"/>
              <w:spacing w:before="0" w:after="0" w:line="240" w:lineRule="auto"/>
              <w:ind w:left="0" w:leftChars="0" w:right="0" w:rightChars="0" w:firstLine="0" w:firstLineChars="0"/>
              <w:jc w:val="center"/>
              <w:rPr>
                <w:rFonts w:hint="default" w:ascii="Times New Roman" w:hAnsi="Times New Roman" w:eastAsia="宋体" w:cs="Times New Roman"/>
                <w:color w:val="000000"/>
                <w:sz w:val="21"/>
                <w:szCs w:val="24"/>
                <w:lang w:val="en-US" w:eastAsia="en-US" w:bidi="ar-SA"/>
              </w:rPr>
            </w:pPr>
            <w:r>
              <w:rPr>
                <w:rFonts w:hint="default" w:ascii="Times New Roman" w:hAnsi="Times New Roman" w:eastAsia="宋体" w:cs="Times New Roman"/>
                <w:sz w:val="21"/>
                <w:szCs w:val="21"/>
              </w:rPr>
              <w:t>单位厚度</w:t>
            </w:r>
            <w:r>
              <w:rPr>
                <w:rFonts w:hint="eastAsia" w:cs="Times New Roman"/>
                <w:sz w:val="21"/>
                <w:szCs w:val="21"/>
                <w:lang w:val="en-US" w:eastAsia="zh-CN"/>
              </w:rPr>
              <w:t>总</w:t>
            </w:r>
            <w:r>
              <w:rPr>
                <w:rFonts w:hint="default" w:ascii="Times New Roman" w:hAnsi="Times New Roman" w:eastAsia="宋体" w:cs="Times New Roman"/>
                <w:sz w:val="21"/>
                <w:szCs w:val="21"/>
              </w:rPr>
              <w:t>换热率</w:t>
            </w:r>
            <m:oMath>
              <m:sSub>
                <m:sSubPr>
                  <m:ctrlPr>
                    <w:rPr>
                      <w:rFonts w:ascii="Cambria Math" w:hAnsi="Cambria Math" w:eastAsia="宋体"/>
                      <w:sz w:val="21"/>
                    </w:rPr>
                  </m:ctrlPr>
                </m:sSubPr>
                <m:e>
                  <m:r>
                    <m:rPr/>
                    <w:rPr>
                      <w:rFonts w:ascii="Times New Roman" w:hAnsi="Times New Roman" w:eastAsia="宋体"/>
                      <w:sz w:val="21"/>
                      <w:lang w:eastAsia="zh-CN"/>
                    </w:rPr>
                    <m:t>Q</m:t>
                  </m:r>
                  <m:ctrlPr>
                    <w:rPr>
                      <w:rFonts w:ascii="Cambria Math" w:hAnsi="Cambria Math" w:eastAsia="宋体"/>
                      <w:sz w:val="21"/>
                    </w:rPr>
                  </m:ctrlPr>
                </m:e>
                <m:sub>
                  <m:r>
                    <m:rPr>
                      <m:sty m:val="p"/>
                    </m:rPr>
                    <w:rPr>
                      <w:rFonts w:ascii="Times New Roman" w:hAnsi="Times New Roman" w:eastAsia="宋体"/>
                      <w:sz w:val="21"/>
                      <w:lang w:eastAsia="zh-CN"/>
                    </w:rPr>
                    <m:t>total</m:t>
                  </m:r>
                  <m:ctrlPr>
                    <w:rPr>
                      <w:rFonts w:ascii="Cambria Math" w:hAnsi="Cambria Math" w:eastAsia="宋体"/>
                      <w:sz w:val="21"/>
                    </w:rPr>
                  </m:ctrlPr>
                </m:sub>
              </m:sSub>
            </m:oMath>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502E7D50">
            <w:pPr>
              <w:snapToGrid w:val="0"/>
              <w:spacing w:before="0" w:after="0" w:line="240" w:lineRule="auto"/>
              <w:ind w:left="0" w:leftChars="0" w:right="0" w:rightChars="0" w:firstLine="0" w:firstLineChars="0"/>
              <w:jc w:val="left"/>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W/m</w:t>
            </w:r>
          </w:p>
        </w:tc>
        <w:tc>
          <w:tcPr>
            <w:tcW w:w="0" w:type="auto"/>
            <w:tcBorders>
              <w:top w:val="nil"/>
              <w:left w:val="nil"/>
              <w:bottom w:val="nil"/>
              <w:right w:val="nil"/>
            </w:tcBorders>
            <w:tcMar>
              <w:top w:w="-1" w:type="dxa"/>
              <w:left w:w="-1" w:type="dxa"/>
              <w:bottom w:w="-1" w:type="dxa"/>
              <w:right w:w="-1" w:type="dxa"/>
            </w:tcMar>
            <w:vAlign w:val="center"/>
          </w:tcPr>
          <w:p w14:paraId="784B3125">
            <w:pPr>
              <w:snapToGrid w:val="0"/>
              <w:spacing w:before="0" w:after="0" w:line="240" w:lineRule="auto"/>
              <w:ind w:left="0" w:leftChars="0" w:right="0" w:rightChars="0" w:firstLine="0" w:firstLineChars="0"/>
              <w:jc w:val="left"/>
              <w:rPr>
                <w:rFonts w:ascii="Times New Roman" w:eastAsia="宋体"/>
                <w:sz w:val="21"/>
              </w:rPr>
            </w:pPr>
            <w:r>
              <w:rPr>
                <w:rFonts w:hint="default" w:ascii="Times New Roman" w:hAnsi="Times New Roman" w:eastAsia="宋体" w:cs="Times New Roman"/>
                <w:sz w:val="21"/>
                <w:szCs w:val="21"/>
              </w:rPr>
              <w:t>1947.8</w:t>
            </w:r>
          </w:p>
        </w:tc>
        <w:tc>
          <w:tcPr>
            <w:tcW w:w="0" w:type="auto"/>
            <w:tcBorders>
              <w:top w:val="nil"/>
              <w:left w:val="nil"/>
              <w:bottom w:val="nil"/>
              <w:right w:val="nil"/>
            </w:tcBorders>
            <w:tcMar>
              <w:top w:w="-1" w:type="dxa"/>
              <w:left w:w="-1" w:type="dxa"/>
              <w:bottom w:w="-1" w:type="dxa"/>
              <w:right w:w="-1" w:type="dxa"/>
            </w:tcMar>
            <w:vAlign w:val="center"/>
          </w:tcPr>
          <w:p w14:paraId="77A95D83">
            <w:pPr>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1952.7</w:t>
            </w:r>
          </w:p>
        </w:tc>
        <w:tc>
          <w:tcPr>
            <w:tcW w:w="975" w:type="dxa"/>
            <w:tcBorders>
              <w:top w:val="nil"/>
              <w:left w:val="nil"/>
              <w:bottom w:val="nil"/>
              <w:right w:val="nil"/>
            </w:tcBorders>
            <w:tcMar>
              <w:top w:w="-1" w:type="dxa"/>
              <w:left w:w="-1" w:type="dxa"/>
              <w:bottom w:w="-1" w:type="dxa"/>
              <w:right w:w="-1" w:type="dxa"/>
            </w:tcMar>
            <w:vAlign w:val="center"/>
          </w:tcPr>
          <w:p w14:paraId="37755B35">
            <w:pPr>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+0.25%</w:t>
            </w:r>
          </w:p>
        </w:tc>
      </w:tr>
      <w:tr w14:paraId="041088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6566EC45">
            <w:pPr>
              <w:snapToGrid w:val="0"/>
              <w:spacing w:before="0" w:after="0" w:line="240" w:lineRule="auto"/>
              <w:ind w:left="0" w:leftChars="0" w:right="0" w:rightChars="0" w:firstLine="0" w:firstLineChars="0"/>
              <w:jc w:val="center"/>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 xml:space="preserve">翼型管平均温度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avg</m:t>
                  </m:r>
                  <m:ctrlPr>
                    <w:rPr>
                      <w:rFonts w:ascii="Cambria Math" w:hAnsi="Cambria Math"/>
                    </w:rPr>
                  </m:ctrlPr>
                </m:sub>
              </m:sSub>
            </m:oMath>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7A6E0CAB">
            <w:pPr>
              <w:snapToGrid w:val="0"/>
              <w:spacing w:before="0" w:after="0" w:line="240" w:lineRule="auto"/>
              <w:ind w:left="0" w:leftChars="0" w:right="0" w:rightChars="0" w:firstLine="0" w:firstLineChars="0"/>
              <w:jc w:val="left"/>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K</w:t>
            </w:r>
          </w:p>
        </w:tc>
        <w:tc>
          <w:tcPr>
            <w:tcW w:w="0" w:type="auto"/>
            <w:tcBorders>
              <w:top w:val="nil"/>
              <w:left w:val="nil"/>
              <w:bottom w:val="nil"/>
              <w:right w:val="nil"/>
            </w:tcBorders>
            <w:tcMar>
              <w:top w:w="-1" w:type="dxa"/>
              <w:left w:w="-1" w:type="dxa"/>
              <w:bottom w:w="-1" w:type="dxa"/>
              <w:right w:w="-1" w:type="dxa"/>
            </w:tcMar>
            <w:vAlign w:val="center"/>
          </w:tcPr>
          <w:p w14:paraId="707D2947">
            <w:pPr>
              <w:snapToGrid w:val="0"/>
              <w:spacing w:before="0" w:after="0" w:line="240" w:lineRule="auto"/>
              <w:ind w:left="0" w:leftChars="0" w:right="0" w:rightChars="0" w:firstLine="0" w:firstLineChars="0"/>
              <w:jc w:val="left"/>
              <w:rPr>
                <w:rFonts w:ascii="Times New Roman" w:eastAsia="宋体"/>
                <w:sz w:val="21"/>
              </w:rPr>
            </w:pPr>
            <w:r>
              <w:rPr>
                <w:rFonts w:hint="default" w:ascii="Times New Roman" w:hAnsi="Times New Roman" w:eastAsia="宋体" w:cs="Times New Roman"/>
                <w:sz w:val="21"/>
                <w:szCs w:val="21"/>
              </w:rPr>
              <w:t>318.63</w:t>
            </w:r>
          </w:p>
        </w:tc>
        <w:tc>
          <w:tcPr>
            <w:tcW w:w="0" w:type="auto"/>
            <w:tcBorders>
              <w:top w:val="nil"/>
              <w:left w:val="nil"/>
              <w:bottom w:val="nil"/>
              <w:right w:val="nil"/>
            </w:tcBorders>
            <w:tcMar>
              <w:top w:w="-1" w:type="dxa"/>
              <w:left w:w="-1" w:type="dxa"/>
              <w:bottom w:w="-1" w:type="dxa"/>
              <w:right w:w="-1" w:type="dxa"/>
            </w:tcMar>
            <w:vAlign w:val="center"/>
          </w:tcPr>
          <w:p w14:paraId="0CA57EE2">
            <w:pPr>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317.39</w:t>
            </w:r>
          </w:p>
        </w:tc>
        <w:tc>
          <w:tcPr>
            <w:tcW w:w="975" w:type="dxa"/>
            <w:tcBorders>
              <w:top w:val="nil"/>
              <w:left w:val="nil"/>
              <w:bottom w:val="nil"/>
              <w:right w:val="nil"/>
            </w:tcBorders>
            <w:tcMar>
              <w:top w:w="-1" w:type="dxa"/>
              <w:left w:w="-1" w:type="dxa"/>
              <w:bottom w:w="-1" w:type="dxa"/>
              <w:right w:w="-1" w:type="dxa"/>
            </w:tcMar>
            <w:vAlign w:val="center"/>
          </w:tcPr>
          <w:p w14:paraId="440161C5">
            <w:pPr>
              <w:snapToGrid w:val="0"/>
              <w:spacing w:before="0" w:after="0" w:line="240" w:lineRule="auto"/>
              <w:ind w:left="0" w:leftChars="0" w:right="0" w:rightChars="0" w:firstLine="0" w:firstLineChars="0"/>
              <w:jc w:val="center"/>
              <w:rPr>
                <w:rFonts w:ascii="Times New Roman" w:eastAsia="宋体"/>
                <w:sz w:val="21"/>
              </w:rPr>
            </w:pPr>
            <w:r>
              <w:rPr>
                <w:rFonts w:hint="default" w:ascii="Times New Roman" w:hAnsi="Times New Roman" w:eastAsia="宋体" w:cs="Times New Roman"/>
                <w:sz w:val="21"/>
                <w:szCs w:val="21"/>
              </w:rPr>
              <w:t>−0.39%</w:t>
            </w:r>
          </w:p>
        </w:tc>
      </w:tr>
      <w:tr w14:paraId="3A06EA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53CE65EF">
            <w:pPr>
              <w:snapToGrid w:val="0"/>
              <w:spacing w:before="0" w:after="0" w:line="240" w:lineRule="auto"/>
              <w:ind w:left="0" w:leftChars="0" w:right="0" w:rightChars="0" w:firstLine="0" w:firstLineChars="0"/>
              <w:jc w:val="center"/>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 xml:space="preserve">平均温升 </w:t>
            </w:r>
            <m:oMath>
              <m:r>
                <m:rPr/>
                <w:rPr>
                  <w:rFonts w:ascii="Times New Roman" w:hAnsi="Times New Roman" w:eastAsia="宋体"/>
                  <w:sz w:val="21"/>
                  <w:lang w:eastAsia="zh-CN"/>
                </w:rPr>
                <m:t>Δ</m:t>
              </m:r>
              <m:sSub>
                <m:sSubPr>
                  <m:ctrlPr>
                    <w:rPr>
                      <w:rFonts w:ascii="Cambria Math" w:hAnsi="Cambria Math" w:eastAsia="宋体"/>
                      <w:sz w:val="21"/>
                    </w:rPr>
                  </m:ctrlPr>
                </m:sSubPr>
                <m:e>
                  <m:r>
                    <m:rPr/>
                    <w:rPr>
                      <w:rFonts w:ascii="Times New Roman" w:hAnsi="Times New Roman" w:eastAsia="宋体"/>
                      <w:sz w:val="21"/>
                      <w:lang w:eastAsia="zh-CN"/>
                    </w:rPr>
                    <m:t>T</m:t>
                  </m:r>
                  <m:ctrlPr>
                    <w:rPr>
                      <w:rFonts w:ascii="Cambria Math" w:hAnsi="Cambria Math" w:eastAsia="宋体"/>
                      <w:sz w:val="21"/>
                    </w:rPr>
                  </m:ctrlPr>
                </m:e>
                <m:sub>
                  <m:r>
                    <m:rPr>
                      <m:sty m:val="p"/>
                    </m:rPr>
                    <w:rPr>
                      <w:rFonts w:ascii="Times New Roman" w:hAnsi="Times New Roman" w:eastAsia="宋体"/>
                      <w:sz w:val="21"/>
                      <w:lang w:eastAsia="zh-CN"/>
                    </w:rPr>
                    <m:t>out</m:t>
                  </m:r>
                  <m:ctrlPr>
                    <w:rPr>
                      <w:rFonts w:ascii="Cambria Math" w:hAnsi="Cambria Math" w:eastAsia="宋体"/>
                      <w:sz w:val="21"/>
                    </w:rPr>
                  </m:ctrlPr>
                </m:sub>
              </m:sSub>
            </m:oMath>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0B1B09F7">
            <w:pPr>
              <w:snapToGrid w:val="0"/>
              <w:spacing w:before="0" w:after="0" w:line="240" w:lineRule="auto"/>
              <w:ind w:left="0" w:leftChars="0" w:right="0" w:rightChars="0" w:firstLine="0" w:firstLineChars="0"/>
              <w:jc w:val="left"/>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K</w:t>
            </w:r>
          </w:p>
        </w:tc>
        <w:tc>
          <w:tcPr>
            <w:tcW w:w="0" w:type="auto"/>
            <w:tcBorders>
              <w:top w:val="nil"/>
              <w:left w:val="nil"/>
              <w:bottom w:val="nil"/>
              <w:right w:val="nil"/>
            </w:tcBorders>
            <w:tcMar>
              <w:top w:w="-1" w:type="dxa"/>
              <w:left w:w="-1" w:type="dxa"/>
              <w:bottom w:w="-1" w:type="dxa"/>
              <w:right w:w="-1" w:type="dxa"/>
            </w:tcMar>
            <w:vAlign w:val="center"/>
          </w:tcPr>
          <w:p w14:paraId="16262D12">
            <w:pPr>
              <w:snapToGrid w:val="0"/>
              <w:spacing w:before="0" w:after="0" w:line="240" w:lineRule="auto"/>
              <w:ind w:left="0" w:leftChars="0" w:right="0" w:rightChars="0" w:firstLine="0" w:firstLineChars="0"/>
              <w:jc w:val="left"/>
              <w:rPr>
                <w:rFonts w:ascii="Times New Roman" w:eastAsia="宋体"/>
                <w:sz w:val="21"/>
                <w:szCs w:val="21"/>
              </w:rPr>
            </w:pPr>
            <w:r>
              <w:rPr>
                <w:rFonts w:hint="default" w:ascii="Times New Roman" w:hAnsi="Times New Roman" w:eastAsia="宋体" w:cs="Times New Roman"/>
                <w:sz w:val="21"/>
                <w:szCs w:val="21"/>
              </w:rPr>
              <w:t>20.48</w:t>
            </w:r>
          </w:p>
        </w:tc>
        <w:tc>
          <w:tcPr>
            <w:tcW w:w="0" w:type="auto"/>
            <w:tcBorders>
              <w:top w:val="nil"/>
              <w:left w:val="nil"/>
              <w:bottom w:val="nil"/>
              <w:right w:val="nil"/>
            </w:tcBorders>
            <w:tcMar>
              <w:top w:w="-1" w:type="dxa"/>
              <w:left w:w="-1" w:type="dxa"/>
              <w:bottom w:w="-1" w:type="dxa"/>
              <w:right w:w="-1" w:type="dxa"/>
            </w:tcMar>
            <w:vAlign w:val="center"/>
          </w:tcPr>
          <w:p w14:paraId="519BC4B5">
            <w:pPr>
              <w:snapToGrid w:val="0"/>
              <w:spacing w:before="0" w:after="0" w:line="240" w:lineRule="auto"/>
              <w:ind w:left="0" w:leftChars="0" w:right="0" w:rightChars="0" w:firstLine="0" w:firstLineChars="0"/>
              <w:jc w:val="center"/>
              <w:rPr>
                <w:rFonts w:ascii="Times New Roman" w:eastAsia="宋体"/>
                <w:sz w:val="21"/>
                <w:szCs w:val="21"/>
              </w:rPr>
            </w:pPr>
            <w:r>
              <w:rPr>
                <w:rFonts w:hint="default" w:ascii="Times New Roman" w:hAnsi="Times New Roman" w:eastAsia="宋体" w:cs="Times New Roman"/>
                <w:sz w:val="21"/>
                <w:szCs w:val="21"/>
              </w:rPr>
              <w:t>19.37</w:t>
            </w:r>
          </w:p>
        </w:tc>
        <w:tc>
          <w:tcPr>
            <w:tcW w:w="975" w:type="dxa"/>
            <w:tcBorders>
              <w:top w:val="nil"/>
              <w:left w:val="nil"/>
              <w:bottom w:val="nil"/>
              <w:right w:val="nil"/>
            </w:tcBorders>
            <w:tcMar>
              <w:top w:w="-1" w:type="dxa"/>
              <w:left w:w="-1" w:type="dxa"/>
              <w:bottom w:w="-1" w:type="dxa"/>
              <w:right w:w="-1" w:type="dxa"/>
            </w:tcMar>
            <w:vAlign w:val="center"/>
          </w:tcPr>
          <w:p w14:paraId="5FD6444B">
            <w:pPr>
              <w:snapToGrid w:val="0"/>
              <w:spacing w:before="0" w:after="0" w:line="240" w:lineRule="auto"/>
              <w:ind w:left="0" w:leftChars="0" w:right="0" w:rightChars="0" w:firstLine="0" w:firstLineChars="0"/>
              <w:jc w:val="center"/>
              <w:rPr>
                <w:rFonts w:ascii="Times New Roman" w:eastAsia="宋体"/>
                <w:sz w:val="21"/>
                <w:szCs w:val="21"/>
              </w:rPr>
            </w:pPr>
            <w:r>
              <w:rPr>
                <w:rFonts w:hint="default" w:ascii="Times New Roman" w:hAnsi="Times New Roman" w:eastAsia="宋体" w:cs="Times New Roman"/>
                <w:sz w:val="21"/>
                <w:szCs w:val="21"/>
              </w:rPr>
              <w:t>−5.45%</w:t>
            </w:r>
          </w:p>
        </w:tc>
      </w:tr>
      <w:tr w14:paraId="0A506A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331E70C9">
            <w:pPr>
              <w:snapToGrid w:val="0"/>
              <w:spacing w:before="0" w:after="0" w:line="240" w:lineRule="auto"/>
              <w:ind w:left="0" w:leftChars="0" w:right="0" w:rightChars="0" w:firstLine="0" w:firstLineChars="0"/>
              <w:jc w:val="center"/>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综合评价因子</w:t>
            </w:r>
            <m:oMath>
              <m:r>
                <m:rPr/>
                <w:rPr>
                  <w:rFonts w:ascii="Times New Roman" w:hAnsi="Times New Roman" w:eastAsia="宋体"/>
                  <w:sz w:val="21"/>
                </w:rPr>
                <m:t>η</m:t>
              </m:r>
            </m:oMath>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4E8D2E7E">
            <w:pPr>
              <w:snapToGrid w:val="0"/>
              <w:spacing w:before="0" w:after="0" w:line="240" w:lineRule="auto"/>
              <w:ind w:left="0" w:leftChars="0" w:right="0" w:rightChars="0" w:firstLine="0" w:firstLineChars="0"/>
              <w:jc w:val="left"/>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w:t>
            </w:r>
          </w:p>
        </w:tc>
        <w:tc>
          <w:tcPr>
            <w:tcW w:w="0" w:type="auto"/>
            <w:tcBorders>
              <w:top w:val="nil"/>
              <w:left w:val="nil"/>
              <w:bottom w:val="nil"/>
              <w:right w:val="nil"/>
            </w:tcBorders>
            <w:tcMar>
              <w:top w:w="-1" w:type="dxa"/>
              <w:left w:w="-1" w:type="dxa"/>
              <w:bottom w:w="-1" w:type="dxa"/>
              <w:right w:w="-1" w:type="dxa"/>
            </w:tcMar>
            <w:vAlign w:val="center"/>
          </w:tcPr>
          <w:p w14:paraId="2495CD02">
            <w:pPr>
              <w:snapToGrid w:val="0"/>
              <w:spacing w:before="0" w:after="0" w:line="240" w:lineRule="auto"/>
              <w:ind w:left="0" w:leftChars="0" w:right="0" w:rightChars="0" w:firstLine="0" w:firstLineChars="0"/>
              <w:jc w:val="left"/>
              <w:rPr>
                <w:rFonts w:ascii="Times New Roman" w:eastAsia="宋体"/>
                <w:sz w:val="21"/>
                <w:szCs w:val="21"/>
              </w:rPr>
            </w:pPr>
            <w:r>
              <w:rPr>
                <w:rFonts w:hint="default" w:ascii="Times New Roman" w:hAnsi="Times New Roman" w:eastAsia="宋体" w:cs="Times New Roman"/>
                <w:sz w:val="21"/>
                <w:szCs w:val="21"/>
              </w:rPr>
              <w:t>81.555</w:t>
            </w:r>
          </w:p>
        </w:tc>
        <w:tc>
          <w:tcPr>
            <w:tcW w:w="0" w:type="auto"/>
            <w:tcBorders>
              <w:top w:val="nil"/>
              <w:left w:val="nil"/>
              <w:bottom w:val="nil"/>
              <w:right w:val="nil"/>
            </w:tcBorders>
            <w:tcMar>
              <w:top w:w="-1" w:type="dxa"/>
              <w:left w:w="-1" w:type="dxa"/>
              <w:bottom w:w="-1" w:type="dxa"/>
              <w:right w:w="-1" w:type="dxa"/>
            </w:tcMar>
            <w:vAlign w:val="center"/>
          </w:tcPr>
          <w:p w14:paraId="21E69899">
            <w:pPr>
              <w:snapToGrid w:val="0"/>
              <w:spacing w:before="0" w:after="0" w:line="240" w:lineRule="auto"/>
              <w:ind w:left="0" w:leftChars="0" w:right="0" w:rightChars="0" w:firstLine="0" w:firstLineChars="0"/>
              <w:jc w:val="center"/>
              <w:rPr>
                <w:rFonts w:ascii="Times New Roman" w:eastAsia="宋体"/>
                <w:sz w:val="21"/>
                <w:szCs w:val="21"/>
              </w:rPr>
            </w:pPr>
            <w:r>
              <w:rPr>
                <w:rFonts w:hint="default" w:ascii="Times New Roman" w:hAnsi="Times New Roman" w:eastAsia="宋体" w:cs="Times New Roman"/>
                <w:sz w:val="21"/>
                <w:szCs w:val="21"/>
              </w:rPr>
              <w:t>84.761</w:t>
            </w:r>
          </w:p>
        </w:tc>
        <w:tc>
          <w:tcPr>
            <w:tcW w:w="975" w:type="dxa"/>
            <w:tcBorders>
              <w:top w:val="nil"/>
              <w:left w:val="nil"/>
              <w:bottom w:val="nil"/>
              <w:right w:val="nil"/>
            </w:tcBorders>
            <w:tcMar>
              <w:top w:w="-1" w:type="dxa"/>
              <w:left w:w="-1" w:type="dxa"/>
              <w:bottom w:w="-1" w:type="dxa"/>
              <w:right w:w="-1" w:type="dxa"/>
            </w:tcMar>
            <w:vAlign w:val="center"/>
          </w:tcPr>
          <w:p w14:paraId="2678FB60">
            <w:pPr>
              <w:snapToGrid w:val="0"/>
              <w:spacing w:before="0" w:after="0" w:line="240" w:lineRule="auto"/>
              <w:ind w:left="0" w:leftChars="0" w:right="0" w:rightChars="0" w:firstLine="0" w:firstLineChars="0"/>
              <w:jc w:val="center"/>
              <w:rPr>
                <w:rFonts w:ascii="Times New Roman" w:eastAsia="宋体"/>
                <w:sz w:val="21"/>
                <w:szCs w:val="21"/>
              </w:rPr>
            </w:pPr>
            <w:r>
              <w:rPr>
                <w:rFonts w:hint="default" w:ascii="Times New Roman" w:hAnsi="Times New Roman" w:eastAsia="宋体" w:cs="Times New Roman"/>
                <w:sz w:val="21"/>
                <w:szCs w:val="21"/>
              </w:rPr>
              <w:t>+3.93%</w:t>
            </w:r>
          </w:p>
        </w:tc>
      </w:tr>
      <w:tr w14:paraId="09E748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5FF138E3">
            <w:pPr>
              <w:snapToGrid w:val="0"/>
              <w:spacing w:before="0" w:after="0" w:line="240" w:lineRule="auto"/>
              <w:ind w:left="0" w:leftChars="0" w:right="0" w:rightChars="0" w:firstLine="0" w:firstLineChars="0"/>
              <w:jc w:val="center"/>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阻力系数</w:t>
            </w:r>
            <m:oMath>
              <m:r>
                <m:rPr/>
                <w:rPr>
                  <w:rFonts w:ascii="Times New Roman" w:hAnsi="Times New Roman" w:eastAsia="宋体"/>
                  <w:sz w:val="21"/>
                </w:rPr>
                <m:t>f</m:t>
              </m:r>
            </m:oMath>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3F5EFB7D">
            <w:pPr>
              <w:snapToGrid w:val="0"/>
              <w:spacing w:before="0" w:after="0" w:line="240" w:lineRule="auto"/>
              <w:ind w:left="0" w:leftChars="0" w:right="0" w:rightChars="0" w:firstLine="0" w:firstLineChars="0"/>
              <w:jc w:val="left"/>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w:t>
            </w:r>
          </w:p>
        </w:tc>
        <w:tc>
          <w:tcPr>
            <w:tcW w:w="0" w:type="auto"/>
            <w:tcBorders>
              <w:top w:val="nil"/>
              <w:left w:val="nil"/>
              <w:bottom w:val="nil"/>
              <w:right w:val="nil"/>
            </w:tcBorders>
            <w:tcMar>
              <w:top w:w="-1" w:type="dxa"/>
              <w:left w:w="-1" w:type="dxa"/>
              <w:bottom w:w="-1" w:type="dxa"/>
              <w:right w:w="-1" w:type="dxa"/>
            </w:tcMar>
            <w:vAlign w:val="center"/>
          </w:tcPr>
          <w:p w14:paraId="0201ADC4">
            <w:pPr>
              <w:snapToGrid w:val="0"/>
              <w:spacing w:before="0" w:after="0" w:line="240" w:lineRule="auto"/>
              <w:ind w:left="0" w:leftChars="0" w:right="0" w:rightChars="0" w:firstLine="0" w:firstLineChars="0"/>
              <w:jc w:val="left"/>
              <w:rPr>
                <w:rFonts w:ascii="Times New Roman" w:eastAsia="宋体"/>
                <w:sz w:val="21"/>
                <w:szCs w:val="21"/>
              </w:rPr>
            </w:pPr>
            <w:r>
              <w:rPr>
                <w:rFonts w:hint="default" w:ascii="Times New Roman" w:hAnsi="Times New Roman" w:eastAsia="宋体" w:cs="Times New Roman"/>
                <w:sz w:val="21"/>
                <w:szCs w:val="21"/>
              </w:rPr>
              <w:t>0.09019</w:t>
            </w:r>
          </w:p>
        </w:tc>
        <w:tc>
          <w:tcPr>
            <w:tcW w:w="0" w:type="auto"/>
            <w:tcBorders>
              <w:top w:val="nil"/>
              <w:left w:val="nil"/>
              <w:bottom w:val="nil"/>
              <w:right w:val="nil"/>
            </w:tcBorders>
            <w:tcMar>
              <w:top w:w="-1" w:type="dxa"/>
              <w:left w:w="-1" w:type="dxa"/>
              <w:bottom w:w="-1" w:type="dxa"/>
              <w:right w:w="-1" w:type="dxa"/>
            </w:tcMar>
            <w:vAlign w:val="center"/>
          </w:tcPr>
          <w:p w14:paraId="1573DBF2">
            <w:pPr>
              <w:snapToGrid w:val="0"/>
              <w:spacing w:before="0" w:after="0" w:line="240" w:lineRule="auto"/>
              <w:ind w:left="0" w:leftChars="0" w:right="0" w:rightChars="0" w:firstLine="0" w:firstLineChars="0"/>
              <w:jc w:val="center"/>
              <w:rPr>
                <w:rFonts w:ascii="Times New Roman" w:eastAsia="宋体"/>
                <w:sz w:val="21"/>
                <w:szCs w:val="21"/>
              </w:rPr>
            </w:pPr>
            <w:r>
              <w:rPr>
                <w:rFonts w:hint="default" w:ascii="Times New Roman" w:hAnsi="Times New Roman" w:eastAsia="宋体" w:cs="Times New Roman"/>
                <w:sz w:val="21"/>
                <w:szCs w:val="21"/>
              </w:rPr>
              <w:t>0.09576</w:t>
            </w:r>
          </w:p>
        </w:tc>
        <w:tc>
          <w:tcPr>
            <w:tcW w:w="975" w:type="dxa"/>
            <w:tcBorders>
              <w:top w:val="nil"/>
              <w:left w:val="nil"/>
              <w:bottom w:val="nil"/>
              <w:right w:val="nil"/>
            </w:tcBorders>
            <w:tcMar>
              <w:top w:w="-1" w:type="dxa"/>
              <w:left w:w="-1" w:type="dxa"/>
              <w:bottom w:w="-1" w:type="dxa"/>
              <w:right w:w="-1" w:type="dxa"/>
            </w:tcMar>
            <w:vAlign w:val="center"/>
          </w:tcPr>
          <w:p w14:paraId="18C99F0C">
            <w:pPr>
              <w:snapToGrid w:val="0"/>
              <w:spacing w:before="0" w:after="0" w:line="240" w:lineRule="auto"/>
              <w:ind w:left="0" w:leftChars="0" w:right="0" w:rightChars="0" w:firstLine="0" w:firstLineChars="0"/>
              <w:jc w:val="center"/>
              <w:rPr>
                <w:rFonts w:ascii="Times New Roman" w:eastAsia="宋体"/>
                <w:sz w:val="21"/>
                <w:szCs w:val="21"/>
              </w:rPr>
            </w:pPr>
            <w:r>
              <w:rPr>
                <w:rFonts w:hint="default" w:ascii="Times New Roman" w:hAnsi="Times New Roman" w:eastAsia="宋体" w:cs="Times New Roman"/>
                <w:sz w:val="21"/>
                <w:szCs w:val="21"/>
              </w:rPr>
              <w:t>+6.18%</w:t>
            </w:r>
          </w:p>
        </w:tc>
      </w:tr>
      <w:tr w14:paraId="70032C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719" w:type="dxa"/>
            <w:tcBorders>
              <w:top w:val="nil"/>
              <w:left w:val="nil"/>
              <w:bottom w:val="single" w:color="000000" w:sz="12" w:space="0"/>
              <w:right w:val="nil"/>
            </w:tcBorders>
            <w:shd w:val="clear" w:color="auto" w:fill="auto"/>
            <w:tcMar>
              <w:top w:w="-1" w:type="dxa"/>
              <w:left w:w="-1" w:type="dxa"/>
              <w:bottom w:w="-1" w:type="dxa"/>
              <w:right w:w="-1" w:type="dxa"/>
            </w:tcMar>
            <w:vAlign w:val="center"/>
          </w:tcPr>
          <w:p w14:paraId="3AA38126">
            <w:pPr>
              <w:snapToGrid w:val="0"/>
              <w:spacing w:before="0" w:after="0" w:line="240" w:lineRule="auto"/>
              <w:ind w:left="0" w:leftChars="0" w:right="0" w:rightChars="0" w:firstLine="0" w:firstLineChars="0"/>
              <w:jc w:val="center"/>
              <w:rPr>
                <w:rFonts w:ascii="Times New Roman" w:hAnsi="Times New Roman" w:eastAsia="宋体" w:cs="Times New Roman"/>
                <w:color w:val="000000"/>
                <w:sz w:val="21"/>
                <w:szCs w:val="24"/>
                <w:lang w:val="en-US" w:eastAsia="zh-CN" w:bidi="ar-SA"/>
              </w:rPr>
            </w:pPr>
            <w:r>
              <w:rPr>
                <w:rFonts w:hint="default" w:ascii="Times New Roman" w:hAnsi="Times New Roman" w:eastAsia="宋体" w:cs="Times New Roman"/>
                <w:sz w:val="21"/>
                <w:szCs w:val="21"/>
              </w:rPr>
              <w:t xml:space="preserve">压降 </w:t>
            </w:r>
            <m:oMath>
              <m:r>
                <m:rPr/>
                <w:rPr>
                  <w:rFonts w:ascii="Times New Roman" w:hAnsi="Times New Roman" w:eastAsia="宋体"/>
                  <w:sz w:val="21"/>
                </w:rPr>
                <m:t>Δp</m:t>
              </m:r>
            </m:oMath>
          </w:p>
        </w:tc>
        <w:tc>
          <w:tcPr>
            <w:tcW w:w="499" w:type="dxa"/>
            <w:tcBorders>
              <w:top w:val="nil"/>
              <w:left w:val="nil"/>
              <w:bottom w:val="single" w:color="000000" w:sz="12" w:space="0"/>
              <w:right w:val="nil"/>
            </w:tcBorders>
            <w:shd w:val="clear" w:color="auto" w:fill="auto"/>
            <w:tcMar>
              <w:top w:w="-1" w:type="dxa"/>
              <w:left w:w="-1" w:type="dxa"/>
              <w:bottom w:w="-1" w:type="dxa"/>
              <w:right w:w="-1" w:type="dxa"/>
            </w:tcMar>
            <w:vAlign w:val="center"/>
          </w:tcPr>
          <w:p w14:paraId="1D597DD0">
            <w:pPr>
              <w:snapToGrid w:val="0"/>
              <w:spacing w:before="0" w:after="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Pa</w:t>
            </w:r>
          </w:p>
        </w:tc>
        <w:tc>
          <w:tcPr>
            <w:tcW w:w="2311" w:type="dxa"/>
            <w:tcBorders>
              <w:top w:val="nil"/>
              <w:left w:val="nil"/>
              <w:bottom w:val="single" w:color="000000" w:sz="12" w:space="0"/>
              <w:right w:val="nil"/>
            </w:tcBorders>
            <w:tcMar>
              <w:top w:w="-1" w:type="dxa"/>
              <w:left w:w="-1" w:type="dxa"/>
              <w:bottom w:w="-1" w:type="dxa"/>
              <w:right w:w="-1" w:type="dxa"/>
            </w:tcMar>
            <w:vAlign w:val="center"/>
          </w:tcPr>
          <w:p w14:paraId="278C0A2E">
            <w:pPr>
              <w:snapToGrid w:val="0"/>
              <w:spacing w:before="0" w:after="0" w:line="240" w:lineRule="auto"/>
              <w:ind w:left="0" w:leftChars="0" w:right="0" w:rightChars="0" w:firstLine="0" w:firstLineChars="0"/>
              <w:jc w:val="left"/>
              <w:rPr>
                <w:rFonts w:ascii="Times New Roman" w:hAnsi="宋体" w:eastAsia="宋体" w:cs="宋体"/>
                <w:sz w:val="21"/>
                <w:lang w:eastAsia="zh-CN" w:bidi="ar"/>
              </w:rPr>
            </w:pPr>
            <w:r>
              <w:rPr>
                <w:rFonts w:hint="default" w:ascii="Times New Roman" w:hAnsi="Times New Roman" w:eastAsia="宋体" w:cs="Times New Roman"/>
                <w:sz w:val="21"/>
                <w:szCs w:val="21"/>
              </w:rPr>
              <w:t>1.353</w:t>
            </w:r>
          </w:p>
        </w:tc>
        <w:tc>
          <w:tcPr>
            <w:tcW w:w="2311" w:type="dxa"/>
            <w:tcBorders>
              <w:top w:val="nil"/>
              <w:left w:val="nil"/>
              <w:bottom w:val="single" w:color="000000" w:sz="12" w:space="0"/>
              <w:right w:val="nil"/>
            </w:tcBorders>
            <w:tcMar>
              <w:top w:w="-1" w:type="dxa"/>
              <w:left w:w="-1" w:type="dxa"/>
              <w:bottom w:w="-1" w:type="dxa"/>
              <w:right w:w="-1" w:type="dxa"/>
            </w:tcMar>
            <w:vAlign w:val="center"/>
          </w:tcPr>
          <w:p w14:paraId="26147F8D">
            <w:pPr>
              <w:snapToGrid w:val="0"/>
              <w:spacing w:before="0" w:after="0" w:line="240" w:lineRule="auto"/>
              <w:ind w:left="0" w:leftChars="0" w:right="0" w:rightChars="0" w:firstLine="0" w:firstLineChars="0"/>
              <w:jc w:val="center"/>
              <w:rPr>
                <w:rFonts w:ascii="Times New Roman" w:hAnsi="宋体" w:eastAsia="宋体" w:cs="宋体"/>
                <w:sz w:val="21"/>
                <w:lang w:eastAsia="zh-CN" w:bidi="ar"/>
              </w:rPr>
            </w:pPr>
            <w:r>
              <w:rPr>
                <w:rFonts w:hint="default" w:ascii="Times New Roman" w:hAnsi="Times New Roman" w:eastAsia="宋体" w:cs="Times New Roman"/>
                <w:sz w:val="21"/>
                <w:szCs w:val="21"/>
              </w:rPr>
              <w:t>1.436</w:t>
            </w:r>
          </w:p>
        </w:tc>
        <w:tc>
          <w:tcPr>
            <w:tcW w:w="975" w:type="dxa"/>
            <w:tcBorders>
              <w:top w:val="nil"/>
              <w:left w:val="nil"/>
              <w:bottom w:val="single" w:color="000000" w:sz="12" w:space="0"/>
              <w:right w:val="nil"/>
            </w:tcBorders>
            <w:tcMar>
              <w:top w:w="-1" w:type="dxa"/>
              <w:left w:w="-1" w:type="dxa"/>
              <w:bottom w:w="-1" w:type="dxa"/>
              <w:right w:w="-1" w:type="dxa"/>
            </w:tcMar>
            <w:vAlign w:val="center"/>
          </w:tcPr>
          <w:p w14:paraId="1B1F1D31">
            <w:pPr>
              <w:snapToGrid w:val="0"/>
              <w:spacing w:before="0" w:after="0" w:line="240" w:lineRule="auto"/>
              <w:ind w:left="0" w:leftChars="0" w:right="0" w:rightChars="0" w:firstLine="0" w:firstLineChars="0"/>
              <w:jc w:val="center"/>
              <w:rPr>
                <w:rFonts w:ascii="Times New Roman" w:hAnsi="宋体" w:eastAsia="宋体" w:cs="宋体"/>
                <w:sz w:val="21"/>
                <w:lang w:eastAsia="zh-CN" w:bidi="ar"/>
              </w:rPr>
            </w:pPr>
            <w:r>
              <w:rPr>
                <w:rFonts w:hint="default" w:ascii="Times New Roman" w:hAnsi="Times New Roman" w:eastAsia="宋体" w:cs="Times New Roman"/>
                <w:sz w:val="21"/>
                <w:szCs w:val="21"/>
              </w:rPr>
              <w:t>+6.18%</w:t>
            </w:r>
          </w:p>
        </w:tc>
      </w:tr>
    </w:tbl>
    <w:tbl>
      <w:tblPr>
        <w:tblStyle w:val="24"/>
        <w:tblW w:w="508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87"/>
      </w:tblGrid>
      <w:tr w14:paraId="330B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5" w:hRule="atLeast"/>
        </w:trPr>
        <w:tc>
          <w:tcPr>
            <w:tcW w:w="5000" w:type="pct"/>
          </w:tcPr>
          <w:p w14:paraId="08D373B8">
            <w:pPr>
              <w:pStyle w:val="3"/>
              <w:widowControl w:val="0"/>
              <w:spacing w:line="240" w:lineRule="auto"/>
              <w:ind w:firstLine="0" w:firstLineChars="0"/>
              <w:jc w:val="center"/>
              <w:rPr>
                <w:b/>
                <w:bCs/>
                <w:lang w:eastAsia="zh-CN"/>
              </w:rPr>
            </w:pPr>
            <w:r>
              <w:rPr>
                <w:b/>
                <w:bCs/>
                <w:lang w:eastAsia="zh-CN"/>
              </w:rPr>
              <w:drawing>
                <wp:inline distT="0" distB="0" distL="114300" distR="114300">
                  <wp:extent cx="4933950" cy="2247900"/>
                  <wp:effectExtent l="0" t="0" r="0" b="0"/>
                  <wp:docPr id="33" name="图片 33" descr="Fig8_Heat_Metric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ig8_Heat_Metric_Bars"/>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4933950" cy="2247900"/>
                          </a:xfrm>
                          <a:prstGeom prst="rect">
                            <a:avLst/>
                          </a:prstGeom>
                        </pic:spPr>
                      </pic:pic>
                    </a:graphicData>
                  </a:graphic>
                </wp:inline>
              </w:drawing>
            </w:r>
          </w:p>
        </w:tc>
      </w:tr>
      <w:tr w14:paraId="08E5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5000" w:type="pct"/>
          </w:tcPr>
          <w:p w14:paraId="61A2CC1B">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Fig. 8 Comparison of key performance indicators before and after optimization</w:t>
            </w:r>
          </w:p>
          <w:p w14:paraId="49A638FD">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b/>
                <w:bCs/>
              </w:rPr>
            </w:pPr>
            <w:r>
              <w:rPr>
                <w:rFonts w:hint="default" w:ascii="Times New Roman" w:hAnsi="Times New Roman" w:eastAsia="宋体" w:cs="Times New Roman"/>
                <w:sz w:val="21"/>
                <w:szCs w:val="21"/>
              </w:rPr>
              <w:t>图 8 优化前后关键性能指标变化对比</w:t>
            </w:r>
          </w:p>
        </w:tc>
      </w:tr>
    </w:tbl>
    <w:p w14:paraId="56F3971B">
      <w:pPr>
        <w:pStyle w:val="3"/>
        <w:spacing w:before="0" w:after="0"/>
        <w:ind w:firstLine="480"/>
        <w:rPr>
          <w:rFonts w:hint="eastAsia"/>
          <w:lang w:eastAsia="zh-CN"/>
        </w:rPr>
      </w:pPr>
      <w:r>
        <w:rPr>
          <w:rFonts w:hint="eastAsia"/>
          <w:lang w:eastAsia="zh-CN"/>
        </w:rPr>
        <w:t xml:space="preserve">由表 8 和图 8 可知，与基准结构相比，最优结构的 </w:t>
      </w:r>
      <m:oMath>
        <m:r>
          <m:rPr>
            <m:sty m:val="p"/>
          </m:rPr>
          <w:rPr>
            <w:rFonts w:hint="eastAsia" w:ascii="Times New Roman" w:hAnsi="Times New Roman"/>
            <w:lang w:eastAsia="zh-CN"/>
          </w:rPr>
          <m:t>Nu</m:t>
        </m:r>
      </m:oMath>
      <w:r>
        <w:rPr>
          <w:rFonts w:hint="eastAsia"/>
          <w:lang w:eastAsia="zh-CN"/>
        </w:rPr>
        <w:t>、</w:t>
      </w:r>
      <w:r>
        <w:rPr>
          <w:rFonts w:hint="default"/>
          <w:lang w:eastAsia="zh-CN"/>
        </w:rPr>
        <w:t>单位厚度</w:t>
      </w:r>
      <w:r>
        <w:rPr>
          <w:rFonts w:hint="eastAsia"/>
          <w:lang w:eastAsia="zh-CN"/>
        </w:rPr>
        <w:t xml:space="preserve">总换热率 </w:t>
      </w:r>
      <m:oMath>
        <m:sSub>
          <m:sSubPr>
            <m:ctrlPr>
              <w:rPr>
                <w:rFonts w:hint="eastAsia" w:ascii="Cambria Math" w:hAnsi="Cambria Math"/>
                <w:lang w:eastAsia="zh-CN"/>
              </w:rPr>
            </m:ctrlPr>
          </m:sSubPr>
          <m:e>
            <m:r>
              <m:rPr>
                <m:sty m:val="p"/>
              </m:rPr>
              <w:rPr>
                <w:rFonts w:hint="eastAsia" w:ascii="Times New Roman" w:hAnsi="Times New Roman"/>
                <w:lang w:eastAsia="zh-CN"/>
              </w:rPr>
              <m:t>Q</m:t>
            </m:r>
            <m:ctrlPr>
              <w:rPr>
                <w:rFonts w:hint="eastAsia" w:ascii="Cambria Math" w:hAnsi="Cambria Math"/>
                <w:lang w:eastAsia="zh-CN"/>
              </w:rPr>
            </m:ctrlPr>
          </m:e>
          <m:sub>
            <m:r>
              <m:rPr>
                <m:sty m:val="p"/>
              </m:rPr>
              <w:rPr>
                <w:rFonts w:hint="eastAsia" w:ascii="Times New Roman" w:hAnsi="Times New Roman"/>
                <w:lang w:eastAsia="zh-CN"/>
              </w:rPr>
              <m:t>total</m:t>
            </m:r>
            <m:ctrlPr>
              <w:rPr>
                <w:rFonts w:hint="eastAsia" w:ascii="Cambria Math" w:hAnsi="Cambria Math"/>
                <w:lang w:eastAsia="zh-CN"/>
              </w:rPr>
            </m:ctrlPr>
          </m:sub>
        </m:sSub>
      </m:oMath>
      <w:r>
        <w:rPr>
          <w:rFonts w:hint="eastAsia"/>
          <w:lang w:eastAsia="zh-CN"/>
        </w:rPr>
        <w:t xml:space="preserve">、出口平均温升 </w:t>
      </w:r>
      <m:oMath>
        <m:r>
          <m:rPr>
            <m:sty m:val="p"/>
          </m:rPr>
          <w:rPr>
            <w:rFonts w:hint="eastAsia" w:ascii="Times New Roman" w:hAnsi="Times New Roman"/>
            <w:lang w:eastAsia="zh-CN"/>
          </w:rPr>
          <m:t>Δ</m:t>
        </m:r>
        <m:sSub>
          <m:sSubPr>
            <m:ctrlPr>
              <w:rPr>
                <w:rFonts w:hint="eastAsia" w:ascii="Cambria Math" w:hAnsi="Cambria Math"/>
                <w:lang w:eastAsia="zh-CN"/>
              </w:rPr>
            </m:ctrlPr>
          </m:sSubPr>
          <m:e>
            <m:r>
              <m:rPr>
                <m:sty m:val="p"/>
              </m:rPr>
              <w:rPr>
                <w:rFonts w:hint="eastAsia" w:ascii="Times New Roman" w:hAnsi="Times New Roman"/>
                <w:lang w:eastAsia="zh-CN"/>
              </w:rPr>
              <m:t>T</m:t>
            </m:r>
            <m:ctrlPr>
              <w:rPr>
                <w:rFonts w:hint="eastAsia" w:ascii="Cambria Math" w:hAnsi="Cambria Math"/>
                <w:lang w:eastAsia="zh-CN"/>
              </w:rPr>
            </m:ctrlPr>
          </m:e>
          <m:sub>
            <m:r>
              <m:rPr>
                <m:sty m:val="p"/>
              </m:rPr>
              <w:rPr>
                <w:rFonts w:hint="eastAsia" w:ascii="Times New Roman" w:hAnsi="Times New Roman"/>
                <w:lang w:eastAsia="zh-CN"/>
              </w:rPr>
              <m:t>out</m:t>
            </m:r>
            <m:ctrlPr>
              <w:rPr>
                <w:rFonts w:hint="eastAsia" w:ascii="Cambria Math" w:hAnsi="Cambria Math"/>
                <w:lang w:eastAsia="zh-CN"/>
              </w:rPr>
            </m:ctrlPr>
          </m:sub>
        </m:sSub>
      </m:oMath>
      <w:r>
        <w:rPr>
          <w:rFonts w:hint="eastAsia"/>
          <w:lang w:eastAsia="zh-CN"/>
        </w:rPr>
        <w:t xml:space="preserve"> 和综合评价因子 </w:t>
      </w:r>
      <m:oMath>
        <m:r>
          <m:rPr>
            <m:sty m:val="p"/>
          </m:rPr>
          <w:rPr>
            <w:rFonts w:hint="eastAsia" w:ascii="Times New Roman" w:hAnsi="Times New Roman"/>
            <w:lang w:eastAsia="zh-CN"/>
          </w:rPr>
          <m:t>η</m:t>
        </m:r>
      </m:oMath>
      <w:r>
        <w:rPr>
          <w:rFonts w:hint="eastAsia"/>
          <w:lang w:eastAsia="zh-CN"/>
        </w:rPr>
        <w:t>分别提升 6.03%、0.25% 和 3.93%；翼型管平均温升由 20.48 K 降至 19.37 K，降低 5.45%</w:t>
      </w:r>
      <w:r>
        <w:rPr>
          <w:rFonts w:hint="eastAsia"/>
          <w:lang w:eastAsia="zh-CN"/>
        </w:rPr>
        <w:t>；同时，阻力因子</w:t>
      </w:r>
      <m:oMath>
        <m:r>
          <m:rPr>
            <m:sty m:val="p"/>
          </m:rPr>
          <w:rPr>
            <w:rFonts w:hint="eastAsia" w:ascii="Times New Roman" w:hAnsi="Times New Roman"/>
            <w:lang w:eastAsia="zh-CN"/>
          </w:rPr>
          <m:t>f</m:t>
        </m:r>
      </m:oMath>
      <w:r>
        <w:rPr>
          <w:rFonts w:hint="eastAsia"/>
          <w:lang w:eastAsia="zh-CN"/>
        </w:rPr>
        <w:t>和压降</w:t>
      </w:r>
      <m:oMath>
        <m:r>
          <m:rPr>
            <m:sty m:val="p"/>
          </m:rPr>
          <w:rPr>
            <w:rFonts w:hint="eastAsia" w:ascii="Times New Roman" w:hAnsi="Times New Roman"/>
            <w:lang w:eastAsia="zh-CN"/>
          </w:rPr>
          <m:t>Δp</m:t>
        </m:r>
      </m:oMath>
      <w:r>
        <w:rPr>
          <w:rFonts w:hint="eastAsia"/>
          <w:lang w:eastAsia="zh-CN"/>
        </w:rPr>
        <w:t>均增加 6.18%。</w:t>
      </w:r>
      <m:oMath>
        <m:r>
          <m:rPr>
            <m:sty m:val="p"/>
          </m:rPr>
          <w:rPr>
            <w:rFonts w:hint="eastAsia" w:ascii="Times New Roman" w:hAnsi="Times New Roman"/>
            <w:lang w:eastAsia="zh-CN"/>
          </w:rPr>
          <m:t>Nu</m:t>
        </m:r>
      </m:oMath>
      <w:r>
        <w:rPr>
          <w:rFonts w:hint="eastAsia"/>
          <w:lang w:eastAsia="zh-CN"/>
        </w:rPr>
        <w:t xml:space="preserve"> 反映基于特征长度、空气导热系数和平均温差定义的无量纲换热强度，而</w:t>
      </w:r>
      <m:oMath>
        <m:sSub>
          <m:sSubPr>
            <m:ctrlPr>
              <w:rPr>
                <w:rFonts w:hint="eastAsia" w:ascii="Cambria Math" w:hAnsi="Cambria Math"/>
                <w:lang w:eastAsia="zh-CN"/>
              </w:rPr>
            </m:ctrlPr>
          </m:sSubPr>
          <m:e>
            <m:r>
              <m:rPr>
                <m:sty m:val="p"/>
              </m:rPr>
              <w:rPr>
                <w:rFonts w:hint="eastAsia" w:ascii="Times New Roman" w:hAnsi="Times New Roman"/>
                <w:lang w:eastAsia="zh-CN"/>
              </w:rPr>
              <m:t>Q</m:t>
            </m:r>
            <m:ctrlPr>
              <w:rPr>
                <w:rFonts w:hint="eastAsia" w:ascii="Cambria Math" w:hAnsi="Cambria Math"/>
                <w:lang w:eastAsia="zh-CN"/>
              </w:rPr>
            </m:ctrlPr>
          </m:e>
          <m:sub>
            <m:r>
              <m:rPr>
                <m:sty m:val="p"/>
              </m:rPr>
              <w:rPr>
                <w:rFonts w:hint="eastAsia" w:ascii="Times New Roman" w:hAnsi="Times New Roman"/>
                <w:lang w:eastAsia="zh-CN"/>
              </w:rPr>
              <m:t>total</m:t>
            </m:r>
            <m:ctrlPr>
              <w:rPr>
                <w:rFonts w:hint="eastAsia" w:ascii="Cambria Math" w:hAnsi="Cambria Math"/>
                <w:lang w:eastAsia="zh-CN"/>
              </w:rPr>
            </m:ctrlPr>
          </m:sub>
        </m:sSub>
      </m:oMath>
      <w:r>
        <w:rPr>
          <w:rFonts w:hint="eastAsia"/>
          <w:lang w:eastAsia="zh-CN"/>
        </w:rPr>
        <w:t xml:space="preserve"> 表示二维计算域按单位厚度得到的总换热率。由于本文采用固定体积生热率作为热源输入，稳态下总换热率主要受热源输入约束，因此 </w:t>
      </w:r>
      <m:oMath>
        <m:sSub>
          <m:sSubPr>
            <m:ctrlPr>
              <w:rPr>
                <w:rFonts w:hint="eastAsia" w:ascii="Cambria Math" w:hAnsi="Cambria Math"/>
                <w:lang w:eastAsia="zh-CN"/>
              </w:rPr>
            </m:ctrlPr>
          </m:sSubPr>
          <m:e>
            <m:r>
              <m:rPr>
                <m:sty m:val="p"/>
              </m:rPr>
              <w:rPr>
                <w:rFonts w:hint="eastAsia" w:ascii="Times New Roman" w:hAnsi="Times New Roman"/>
                <w:lang w:eastAsia="zh-CN"/>
              </w:rPr>
              <m:t>Q</m:t>
            </m:r>
            <m:ctrlPr>
              <w:rPr>
                <w:rFonts w:hint="eastAsia" w:ascii="Cambria Math" w:hAnsi="Cambria Math"/>
                <w:lang w:eastAsia="zh-CN"/>
              </w:rPr>
            </m:ctrlPr>
          </m:e>
          <m:sub>
            <m:r>
              <m:rPr>
                <m:sty m:val="p"/>
              </m:rPr>
              <w:rPr>
                <w:rFonts w:hint="eastAsia" w:ascii="Times New Roman" w:hAnsi="Times New Roman"/>
                <w:lang w:eastAsia="zh-CN"/>
              </w:rPr>
              <m:t>total</m:t>
            </m:r>
            <m:ctrlPr>
              <w:rPr>
                <w:rFonts w:hint="eastAsia" w:ascii="Cambria Math" w:hAnsi="Cambria Math"/>
                <w:lang w:eastAsia="zh-CN"/>
              </w:rPr>
            </m:ctrlPr>
          </m:sub>
        </m:sSub>
      </m:oMath>
      <w:r>
        <w:rPr>
          <w:rFonts w:hint="eastAsia"/>
          <w:lang w:eastAsia="zh-CN"/>
        </w:rPr>
        <w:t>的增幅小于</w:t>
      </w:r>
      <m:oMath>
        <m:r>
          <m:rPr>
            <m:sty m:val="p"/>
          </m:rPr>
          <w:rPr>
            <w:rFonts w:hint="eastAsia" w:ascii="Times New Roman" w:hAnsi="Times New Roman"/>
            <w:lang w:eastAsia="zh-CN"/>
          </w:rPr>
          <m:t>Nu</m:t>
        </m:r>
      </m:oMath>
      <w:r>
        <w:rPr>
          <w:rFonts w:hint="eastAsia"/>
          <w:lang w:eastAsia="zh-CN"/>
        </w:rPr>
        <w:t>的增幅是合理的。结果表明，最优结构在增强局部对流换热能力和降低固体热源区温升方面具有一定效果，但同时引入了一定流阻代价；按本文综合评价因子判断，其换热—流阻折中关系较基准结构更有利。</w:t>
      </w:r>
    </w:p>
    <w:tbl>
      <w:tblPr>
        <w:tblStyle w:val="24"/>
        <w:tblW w:w="88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8"/>
        <w:gridCol w:w="4428"/>
      </w:tblGrid>
      <w:tr w14:paraId="4DA78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5" w:hRule="atLeast"/>
          <w:jc w:val="center"/>
        </w:trPr>
        <w:tc>
          <w:tcPr>
            <w:tcW w:w="4428" w:type="dxa"/>
            <w:tcBorders>
              <w:top w:val="single" w:color="auto" w:sz="4" w:space="0"/>
              <w:left w:val="single" w:color="auto" w:sz="4" w:space="0"/>
              <w:bottom w:val="single" w:color="auto" w:sz="4" w:space="0"/>
              <w:right w:val="single" w:color="auto" w:sz="4" w:space="0"/>
            </w:tcBorders>
            <w:vAlign w:val="top"/>
          </w:tcPr>
          <w:p w14:paraId="59F8BABA">
            <w:pPr>
              <w:pStyle w:val="3"/>
              <w:widowControl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668905" cy="1504315"/>
                  <wp:effectExtent l="0" t="0" r="17145" b="635"/>
                  <wp:docPr id="29" name="图片 29" descr="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v"/>
                          <pic:cNvPicPr>
                            <a:picLocks noChangeAspect="1"/>
                          </pic:cNvPicPr>
                        </pic:nvPicPr>
                        <pic:blipFill>
                          <a:blip r:embed="rId17"/>
                          <a:stretch>
                            <a:fillRect/>
                          </a:stretch>
                        </pic:blipFill>
                        <pic:spPr>
                          <a:xfrm>
                            <a:off x="0" y="0"/>
                            <a:ext cx="2668905" cy="1504315"/>
                          </a:xfrm>
                          <a:prstGeom prst="rect">
                            <a:avLst/>
                          </a:prstGeom>
                        </pic:spPr>
                      </pic:pic>
                    </a:graphicData>
                  </a:graphic>
                </wp:inline>
              </w:drawing>
            </w:r>
          </w:p>
          <w:p w14:paraId="030ECDAA">
            <w:pPr>
              <w:pStyle w:val="3"/>
              <w:widowControl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668905" cy="1504315"/>
                  <wp:effectExtent l="0" t="0" r="17145" b="635"/>
                  <wp:docPr id="30" name="图片 30" descr="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v"/>
                          <pic:cNvPicPr>
                            <a:picLocks noChangeAspect="1"/>
                          </pic:cNvPicPr>
                        </pic:nvPicPr>
                        <pic:blipFill>
                          <a:blip r:embed="rId30"/>
                          <a:stretch>
                            <a:fillRect/>
                          </a:stretch>
                        </pic:blipFill>
                        <pic:spPr>
                          <a:xfrm>
                            <a:off x="0" y="0"/>
                            <a:ext cx="2668905" cy="1504315"/>
                          </a:xfrm>
                          <a:prstGeom prst="rect">
                            <a:avLst/>
                          </a:prstGeom>
                        </pic:spPr>
                      </pic:pic>
                    </a:graphicData>
                  </a:graphic>
                </wp:inline>
              </w:drawing>
            </w:r>
          </w:p>
        </w:tc>
        <w:tc>
          <w:tcPr>
            <w:tcW w:w="4428" w:type="dxa"/>
            <w:tcBorders>
              <w:top w:val="single" w:color="auto" w:sz="4" w:space="0"/>
              <w:left w:val="single" w:color="auto" w:sz="4" w:space="0"/>
              <w:bottom w:val="single" w:color="auto" w:sz="4" w:space="0"/>
              <w:right w:val="single" w:color="auto" w:sz="4" w:space="0"/>
            </w:tcBorders>
            <w:vAlign w:val="top"/>
          </w:tcPr>
          <w:p w14:paraId="405F54D5">
            <w:pPr>
              <w:pStyle w:val="3"/>
              <w:widowControl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668905" cy="1504315"/>
                  <wp:effectExtent l="0" t="0" r="17145" b="635"/>
                  <wp:docPr id="32" name="图片 32" descr="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t"/>
                          <pic:cNvPicPr>
                            <a:picLocks noChangeAspect="1"/>
                          </pic:cNvPicPr>
                        </pic:nvPicPr>
                        <pic:blipFill>
                          <a:blip r:embed="rId18"/>
                          <a:stretch>
                            <a:fillRect/>
                          </a:stretch>
                        </pic:blipFill>
                        <pic:spPr>
                          <a:xfrm>
                            <a:off x="0" y="0"/>
                            <a:ext cx="2668905" cy="1504315"/>
                          </a:xfrm>
                          <a:prstGeom prst="rect">
                            <a:avLst/>
                          </a:prstGeom>
                        </pic:spPr>
                      </pic:pic>
                    </a:graphicData>
                  </a:graphic>
                </wp:inline>
              </w:drawing>
            </w:r>
            <w:r>
              <w:rPr>
                <w:rFonts w:hint="eastAsia" w:eastAsia="宋体"/>
                <w:lang w:eastAsia="zh-CN"/>
              </w:rPr>
              <w:drawing>
                <wp:inline distT="0" distB="0" distL="114300" distR="114300">
                  <wp:extent cx="2668905" cy="1508760"/>
                  <wp:effectExtent l="0" t="0" r="17145" b="15240"/>
                  <wp:docPr id="31" name="图片 31" descr="2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t"/>
                          <pic:cNvPicPr>
                            <a:picLocks noChangeAspect="1"/>
                          </pic:cNvPicPr>
                        </pic:nvPicPr>
                        <pic:blipFill>
                          <a:blip r:embed="rId31"/>
                          <a:stretch>
                            <a:fillRect/>
                          </a:stretch>
                        </pic:blipFill>
                        <pic:spPr>
                          <a:xfrm>
                            <a:off x="0" y="0"/>
                            <a:ext cx="2668905" cy="1508760"/>
                          </a:xfrm>
                          <a:prstGeom prst="rect">
                            <a:avLst/>
                          </a:prstGeom>
                        </pic:spPr>
                      </pic:pic>
                    </a:graphicData>
                  </a:graphic>
                </wp:inline>
              </w:drawing>
            </w:r>
          </w:p>
        </w:tc>
      </w:tr>
      <w:tr w14:paraId="7ACFE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8" w:type="dxa"/>
            <w:tcBorders>
              <w:top w:val="single" w:color="auto" w:sz="4" w:space="0"/>
              <w:left w:val="single" w:color="auto" w:sz="4" w:space="0"/>
              <w:bottom w:val="single" w:color="auto" w:sz="4" w:space="0"/>
              <w:right w:val="single" w:color="auto" w:sz="4" w:space="0"/>
            </w:tcBorders>
            <w:vAlign w:val="top"/>
          </w:tcPr>
          <w:p w14:paraId="127DAFDA">
            <w:pPr>
              <w:widowControl w:val="0"/>
              <w:spacing w:before="120" w:after="240" w:line="240" w:lineRule="auto"/>
              <w:ind w:firstLineChars="0"/>
              <w:jc w:val="center"/>
              <w:rPr>
                <w:sz w:val="21"/>
                <w:lang w:eastAsia="zh-CN"/>
              </w:rPr>
            </w:pPr>
            <w:r>
              <w:rPr>
                <w:rFonts w:hint="eastAsia"/>
                <w:sz w:val="21"/>
                <w:lang w:eastAsia="zh-CN"/>
              </w:rPr>
              <w:t>（</w:t>
            </w:r>
            <w:r>
              <w:rPr>
                <w:rFonts w:hint="eastAsia"/>
                <w:sz w:val="21"/>
                <w:lang w:val="en-US" w:eastAsia="zh-CN"/>
              </w:rPr>
              <w:t>a</w:t>
            </w:r>
            <w:r>
              <w:rPr>
                <w:rFonts w:hint="eastAsia"/>
                <w:sz w:val="21"/>
                <w:lang w:eastAsia="zh-CN"/>
              </w:rPr>
              <w:t>）</w:t>
            </w:r>
            <w:r>
              <w:rPr>
                <w:sz w:val="21"/>
                <w:lang w:eastAsia="zh-CN"/>
              </w:rPr>
              <w:t xml:space="preserve"> 最优参数化结构与基准结构的</w:t>
            </w:r>
            <w:r>
              <w:rPr>
                <w:rFonts w:ascii="Segoe UI" w:hAnsi="Segoe UI" w:eastAsia="Segoe UI" w:cs="Segoe UI"/>
                <w:color w:val="3B3B3B"/>
                <w:sz w:val="19"/>
                <w:szCs w:val="19"/>
                <w:lang w:eastAsia="zh-CN"/>
              </w:rPr>
              <w:t>速度场云图</w:t>
            </w:r>
            <w:r>
              <w:rPr>
                <w:sz w:val="21"/>
                <w:lang w:eastAsia="zh-CN"/>
              </w:rPr>
              <w:t>对比分析</w:t>
            </w:r>
          </w:p>
        </w:tc>
        <w:tc>
          <w:tcPr>
            <w:tcW w:w="4428" w:type="dxa"/>
            <w:tcBorders>
              <w:top w:val="single" w:color="auto" w:sz="4" w:space="0"/>
              <w:left w:val="single" w:color="auto" w:sz="4" w:space="0"/>
              <w:bottom w:val="single" w:color="auto" w:sz="4" w:space="0"/>
              <w:right w:val="single" w:color="auto" w:sz="4" w:space="0"/>
            </w:tcBorders>
            <w:vAlign w:val="top"/>
          </w:tcPr>
          <w:p w14:paraId="57C431E1">
            <w:pPr>
              <w:widowControl w:val="0"/>
              <w:spacing w:before="120" w:after="240" w:line="240" w:lineRule="auto"/>
              <w:ind w:firstLineChars="0"/>
              <w:jc w:val="center"/>
              <w:rPr>
                <w:sz w:val="21"/>
                <w:lang w:eastAsia="zh-CN"/>
              </w:rPr>
            </w:pPr>
            <w:r>
              <w:rPr>
                <w:rFonts w:hint="eastAsia"/>
                <w:sz w:val="21"/>
                <w:lang w:eastAsia="zh-CN"/>
              </w:rPr>
              <w:t>（</w:t>
            </w:r>
            <w:r>
              <w:rPr>
                <w:rFonts w:hint="eastAsia"/>
                <w:sz w:val="21"/>
                <w:lang w:val="en-US" w:eastAsia="zh-CN"/>
              </w:rPr>
              <w:t>b</w:t>
            </w:r>
            <w:r>
              <w:rPr>
                <w:rFonts w:hint="eastAsia"/>
                <w:sz w:val="21"/>
                <w:lang w:eastAsia="zh-CN"/>
              </w:rPr>
              <w:t>）</w:t>
            </w:r>
            <w:r>
              <w:rPr>
                <w:sz w:val="21"/>
                <w:lang w:eastAsia="zh-CN"/>
              </w:rPr>
              <w:t>最优参数化结构与基准结构的</w:t>
            </w:r>
            <w:r>
              <w:rPr>
                <w:rFonts w:ascii="Segoe UI" w:hAnsi="Segoe UI" w:eastAsia="Segoe UI" w:cs="Segoe UI"/>
                <w:color w:val="3B3B3B"/>
                <w:sz w:val="19"/>
                <w:szCs w:val="19"/>
                <w:lang w:eastAsia="zh-CN"/>
              </w:rPr>
              <w:t>温度场云图</w:t>
            </w:r>
            <w:r>
              <w:rPr>
                <w:sz w:val="21"/>
                <w:lang w:eastAsia="zh-CN"/>
              </w:rPr>
              <w:t>对比分析</w:t>
            </w:r>
          </w:p>
        </w:tc>
      </w:tr>
      <w:tr w14:paraId="0AAD0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56" w:type="dxa"/>
            <w:gridSpan w:val="2"/>
            <w:tcBorders>
              <w:top w:val="single" w:color="auto" w:sz="4" w:space="0"/>
              <w:left w:val="single" w:color="auto" w:sz="4" w:space="0"/>
              <w:bottom w:val="single" w:color="auto" w:sz="4" w:space="0"/>
              <w:right w:val="single" w:color="auto" w:sz="4" w:space="0"/>
            </w:tcBorders>
            <w:vAlign w:val="top"/>
          </w:tcPr>
          <w:p w14:paraId="16AFAE21">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rFonts w:hint="default" w:ascii="Times New Roman" w:hAnsi="Times New Roman" w:eastAsia="宋体" w:cs="Times New Roman"/>
                <w:sz w:val="21"/>
                <w:szCs w:val="21"/>
              </w:rPr>
            </w:pPr>
            <w:bookmarkStart w:id="17" w:name="结论"/>
            <w:r>
              <w:rPr>
                <w:rFonts w:hint="default" w:ascii="Times New Roman" w:hAnsi="Times New Roman" w:eastAsia="宋体" w:cs="Times New Roman"/>
                <w:sz w:val="21"/>
                <w:szCs w:val="21"/>
              </w:rPr>
              <w:t>Fig. 9 Comparison of velocity field, temperature field, and heat dissipation effect between baseline and optimal structures</w:t>
            </w:r>
          </w:p>
          <w:p w14:paraId="4818505C">
            <w:pPr>
              <w:keepNext w:val="0"/>
              <w:keepLines w:val="0"/>
              <w:pageBreakBefore w:val="0"/>
              <w:widowControl w:val="0"/>
              <w:kinsoku/>
              <w:wordWrap/>
              <w:overflowPunct/>
              <w:topLinePunct w:val="0"/>
              <w:autoSpaceDE/>
              <w:autoSpaceDN/>
              <w:bidi w:val="0"/>
              <w:adjustRightInd/>
              <w:snapToGrid/>
              <w:spacing w:before="120" w:after="240" w:line="240" w:lineRule="auto"/>
              <w:ind w:firstLine="198" w:firstLineChars="0"/>
              <w:jc w:val="center"/>
              <w:textAlignment w:val="auto"/>
              <w:rPr>
                <w:sz w:val="21"/>
                <w:lang w:eastAsia="zh-CN"/>
              </w:rPr>
            </w:pPr>
            <w:r>
              <w:rPr>
                <w:rFonts w:hint="default" w:ascii="Times New Roman" w:hAnsi="Times New Roman" w:eastAsia="宋体" w:cs="Times New Roman"/>
                <w:sz w:val="21"/>
                <w:szCs w:val="21"/>
              </w:rPr>
              <w:t>图 9 基准结构与最优结构速度场、温度场及散热效果对比分析</w:t>
            </w:r>
          </w:p>
        </w:tc>
      </w:tr>
      <w:bookmarkEnd w:id="12"/>
      <w:bookmarkEnd w:id="16"/>
    </w:tbl>
    <w:p w14:paraId="15659114">
      <w:pPr>
        <w:pStyle w:val="21"/>
        <w:keepNext w:val="0"/>
        <w:keepLines w:val="0"/>
        <w:widowControl/>
        <w:suppressLineNumbers w:val="0"/>
      </w:pPr>
      <w:r>
        <w:t xml:space="preserve">图 9 </w:t>
      </w:r>
      <w:r>
        <w:rPr>
          <w:rFonts w:hint="eastAsia"/>
        </w:rPr>
        <w:t xml:space="preserve">对比了基准结构与最优结构的速度场和温度场分布。速度场结果显示，相较于基准结构，最优结构中翼型管后方尾迹区发生一定偏移，阵列内部流动通道更加弯曲，列间穿透流特征更明显，说明交错排布有助于改变后排翼型管附近的来流分配。温度场结果显示，最优结构中后排翼型管附近的高温滞留区范围有所减小，热尾迹向下游扩展时的集中程度降低，后排区域温度分布更加均匀。结合表 </w:t>
      </w:r>
      <w:r>
        <w:rPr>
          <w:rFonts w:hint="eastAsia"/>
          <w:lang w:val="en-US" w:eastAsia="zh-CN"/>
        </w:rPr>
        <w:t>8</w:t>
      </w:r>
      <w:r>
        <w:rPr>
          <w:rFonts w:hint="eastAsia"/>
        </w:rPr>
        <w:t xml:space="preserve"> 和图 8 中</w:t>
      </w:r>
      <w:r>
        <w:rPr>
          <w:lang w:eastAsia="zh-CN"/>
        </w:rPr>
        <w:t xml:space="preserve"> </w:t>
      </w:r>
      <m:oMath>
        <m:r>
          <m:rPr/>
          <w:rPr>
            <w:rFonts w:ascii="Cambria Math" w:hAnsi="Cambria Math"/>
            <w:lang w:eastAsia="zh-CN"/>
          </w:rPr>
          <m:t>Nu</m:t>
        </m:r>
      </m:oMath>
      <w:r>
        <w:rPr>
          <w:rFonts w:hint="eastAsia"/>
        </w:rPr>
        <w:t>、</w:t>
      </w:r>
      <w:r>
        <w:t>总换热率</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total</m:t>
            </m:r>
            <m:ctrlPr>
              <w:rPr>
                <w:rFonts w:ascii="Cambria Math" w:hAnsi="Cambria Math"/>
              </w:rPr>
            </m:ctrlPr>
          </m:sub>
        </m:sSub>
      </m:oMath>
      <w:r>
        <w:rPr>
          <w:rFonts w:hint="eastAsia"/>
        </w:rPr>
        <w:t>以及综合评价因子</w:t>
      </w:r>
      <m:oMath>
        <m:r>
          <m:rPr/>
          <w:rPr>
            <w:rFonts w:ascii="Times New Roman" w:hAnsi="Times New Roman" w:eastAsia="宋体"/>
            <w:sz w:val="21"/>
          </w:rPr>
          <m:t>η</m:t>
        </m:r>
      </m:oMath>
      <w:r>
        <w:rPr>
          <w:rFonts w:hint="eastAsia"/>
        </w:rPr>
        <w:t xml:space="preserve"> 的提升结果可知，优化结构能够在相同热源输入条件下增强气侧对流换热能力，减弱局部热量积聚，从而改善整体散热效果。</w:t>
      </w:r>
    </w:p>
    <w:p w14:paraId="747B6C40">
      <w:pPr>
        <w:pStyle w:val="4"/>
        <w:rPr>
          <w:lang w:eastAsia="zh-CN"/>
        </w:rPr>
      </w:pPr>
      <w:r>
        <w:rPr>
          <w:lang w:eastAsia="zh-CN"/>
        </w:rPr>
        <w:t>5 结论</w:t>
      </w:r>
    </w:p>
    <w:p w14:paraId="3DF4D819">
      <w:pPr>
        <w:pStyle w:val="32"/>
        <w:spacing w:before="0" w:after="0"/>
        <w:ind w:firstLine="480"/>
        <w:rPr>
          <w:lang w:eastAsia="zh-CN"/>
        </w:rPr>
      </w:pPr>
      <w:r>
        <w:rPr>
          <w:rFonts w:ascii="宋体" w:hAnsi="宋体" w:cs="宋体"/>
          <w:lang w:eastAsia="zh-CN"/>
        </w:rPr>
        <w:t>以 NACA0012 对称翼型管翅片散热器为基准构型，本文构建了包含翼型外形参数与阵列排布参数的 6 维参数化设计空间，建立融合物理场云图与几何参数的多模态 CNN 代理模型，并结合差分进化算法完成参数化优化。主要结论如下</w:t>
      </w:r>
      <w:r>
        <w:rPr>
          <w:lang w:eastAsia="zh-CN"/>
        </w:rPr>
        <w:t>：</w:t>
      </w:r>
    </w:p>
    <w:p w14:paraId="77C7BC0A">
      <w:pPr>
        <w:pStyle w:val="3"/>
        <w:spacing w:before="0" w:after="0"/>
        <w:ind w:firstLine="480"/>
        <w:rPr>
          <w:lang w:eastAsia="zh-CN"/>
        </w:rPr>
      </w:pPr>
      <w:r>
        <w:rPr>
          <w:rFonts w:hint="eastAsia"/>
          <w:lang w:eastAsia="zh-CN"/>
        </w:rPr>
        <w:t xml:space="preserve">（1）多模态 CNN 模型能够有效表征翼型管阵列的流热耦合特征。测试结果表明，模型对 </w:t>
      </w:r>
      <w:r>
        <w:rPr>
          <w:lang w:eastAsia="zh-CN"/>
        </w:rPr>
        <w:t xml:space="preserve"> </w:t>
      </w:r>
      <m:oMath>
        <m:r>
          <m:rPr/>
          <w:rPr>
            <w:rFonts w:ascii="Cambria Math" w:hAnsi="Cambria Math"/>
            <w:lang w:eastAsia="zh-CN"/>
          </w:rPr>
          <m:t>Nu</m:t>
        </m:r>
      </m:oMath>
      <w:r>
        <w:rPr>
          <w:rFonts w:hint="eastAsia"/>
          <w:lang w:eastAsia="zh-CN"/>
        </w:rPr>
        <w:t xml:space="preserve"> 和 f 的预测决定系数分别达到 0.9756 和 0.9633，且相较仅输入 6 维几何参数的 MLP 模型具有更低的 RMSE 和 MAPE，说明速度场、温度场和压力场图像能够补充几何标量难以表达的空间流热信息。</w:t>
      </w:r>
    </w:p>
    <w:p w14:paraId="1DF6FC96">
      <w:pPr>
        <w:pStyle w:val="3"/>
        <w:spacing w:before="0" w:after="0"/>
        <w:ind w:firstLine="480"/>
        <w:rPr>
          <w:rFonts w:hint="eastAsia"/>
          <w:lang w:eastAsia="zh-CN"/>
        </w:rPr>
      </w:pPr>
      <w:r>
        <w:rPr>
          <w:rFonts w:hint="eastAsia"/>
          <w:lang w:eastAsia="zh-CN"/>
        </w:rPr>
        <w:t>（2）基于代理模型和差分进化算法获得的最优结构表明，适度弯度与列间交错排布能够改善翼型管阵列内部的来流分配，削弱前排尾迹对后排翼型管的热遮挡，并增强局部对流换热，从而提升散热器整体换热性能。</w:t>
      </w:r>
    </w:p>
    <w:p w14:paraId="5D09158E">
      <w:pPr>
        <w:pStyle w:val="3"/>
        <w:spacing w:before="0" w:after="0"/>
        <w:ind w:firstLine="480"/>
        <w:rPr>
          <w:lang w:eastAsia="zh-CN"/>
        </w:rPr>
      </w:pPr>
      <w:r>
        <w:rPr>
          <w:rFonts w:hint="eastAsia"/>
          <w:lang w:eastAsia="zh-CN"/>
        </w:rPr>
        <w:t>（3）经  CFD 复核，</w:t>
      </w:r>
      <w:bookmarkEnd w:id="0"/>
      <w:bookmarkEnd w:id="17"/>
      <w:r>
        <w:rPr>
          <w:lang w:eastAsia="zh-CN"/>
        </w:rPr>
        <w:t xml:space="preserve">最优结构的 </w:t>
      </w:r>
      <m:oMath>
        <m:r>
          <m:rPr/>
          <w:rPr>
            <w:rFonts w:ascii="Cambria Math" w:hAnsi="Cambria Math"/>
            <w:lang w:eastAsia="zh-CN"/>
          </w:rPr>
          <m:t>Nu</m:t>
        </m:r>
      </m:oMath>
      <w:r>
        <w:rPr>
          <w:lang w:eastAsia="zh-CN"/>
        </w:rPr>
        <w:t>、</w:t>
      </w:r>
      <w:r>
        <w:rPr>
          <w:rFonts w:ascii="宋体" w:hAnsi="宋体" w:eastAsia="宋体" w:cs="宋体"/>
          <w:sz w:val="24"/>
          <w:szCs w:val="24"/>
        </w:rPr>
        <w:t>单位厚度</w:t>
      </w:r>
      <w:r>
        <w:t>总换热率</w:t>
      </w:r>
      <w:r>
        <w:rPr>
          <w:lang w:eastAsia="zh-CN"/>
        </w:rPr>
        <w:t xml:space="preserve"> </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total</m:t>
            </m:r>
            <m:ctrlPr>
              <w:rPr>
                <w:rFonts w:ascii="Cambria Math" w:hAnsi="Cambria Math"/>
              </w:rPr>
            </m:ctrlPr>
          </m:sub>
        </m:sSub>
      </m:oMath>
      <w:r>
        <w:rPr>
          <w:lang w:eastAsia="zh-CN"/>
        </w:rPr>
        <w:t>和综合评价因子</w:t>
      </w:r>
      <m:oMath>
        <m:r>
          <m:rPr/>
          <w:rPr>
            <w:rFonts w:ascii="Times New Roman" w:hAnsi="Times New Roman" w:eastAsia="宋体"/>
            <w:sz w:val="21"/>
          </w:rPr>
          <m:t>η</m:t>
        </m:r>
      </m:oMath>
      <w:r>
        <w:rPr>
          <w:lang w:eastAsia="zh-CN"/>
        </w:rPr>
        <w:t xml:space="preserve">分别提升 </w:t>
      </w:r>
      <w:r>
        <w:t xml:space="preserve">6.03%、0.25% </w:t>
      </w:r>
      <w:r>
        <w:rPr>
          <w:rFonts w:hint="eastAsia"/>
        </w:rPr>
        <w:t>和</w:t>
      </w:r>
      <w:r>
        <w:t xml:space="preserve"> </w:t>
      </w:r>
      <w:r>
        <w:rPr>
          <w:rFonts w:hint="eastAsia"/>
        </w:rPr>
        <w:t>3.93%，翼型管平均温升降低约</w:t>
      </w:r>
      <w:r>
        <w:t xml:space="preserve"> </w:t>
      </w:r>
      <w:r>
        <w:rPr>
          <w:rFonts w:hint="eastAsia"/>
        </w:rPr>
        <w:t>5.45%，阻力系数和压降均增加约</w:t>
      </w:r>
      <w:r>
        <w:t xml:space="preserve"> </w:t>
      </w:r>
      <w:r>
        <w:rPr>
          <w:rFonts w:hint="eastAsia"/>
        </w:rPr>
        <w:t>6.18%。</w:t>
      </w:r>
      <w:r>
        <w:rPr>
          <w:lang w:eastAsia="zh-CN"/>
        </w:rPr>
        <w:t>结果表明，优化结构在增强散热性能的同时引入了一定流阻代价，但综合</w:t>
      </w:r>
      <w:r>
        <w:rPr>
          <w:rFonts w:hint="eastAsia"/>
          <w:lang w:eastAsia="zh-CN"/>
        </w:rPr>
        <w:t>散热</w:t>
      </w:r>
      <w:r>
        <w:rPr>
          <w:lang w:eastAsia="zh-CN"/>
        </w:rPr>
        <w:t>性能仍优于基准结构；后续仍需结合实验测试进一步验证其工程适用性。</w:t>
      </w:r>
    </w:p>
    <w:p w14:paraId="408CD2D6">
      <w:pPr>
        <w:pStyle w:val="102"/>
        <w:spacing w:before="480" w:after="360" w:line="240" w:lineRule="auto"/>
        <w:jc w:val="both"/>
        <w:rPr>
          <w:lang w:eastAsia="zh-CN"/>
        </w:rPr>
      </w:pPr>
      <w:bookmarkStart w:id="18" w:name="参考文献"/>
      <w:r>
        <w:rPr>
          <w:rFonts w:eastAsia="黑体"/>
          <w:b/>
          <w:sz w:val="28"/>
          <w:lang w:eastAsia="zh-CN"/>
        </w:rPr>
        <w:t>参考文献</w:t>
      </w:r>
    </w:p>
    <w:p w14:paraId="758124F2">
      <w:pPr>
        <w:pStyle w:val="32"/>
        <w:spacing w:before="0" w:after="0" w:line="320" w:lineRule="exact"/>
        <w:ind w:left="900" w:leftChars="200" w:hanging="420" w:hangingChars="200"/>
        <w:jc w:val="both"/>
        <w:rPr>
          <w:lang w:eastAsia="zh-CN"/>
        </w:rPr>
      </w:pPr>
      <w:r>
        <w:rPr>
          <w:sz w:val="21"/>
          <w:lang w:eastAsia="zh-CN"/>
        </w:rPr>
        <w:t>[</w:t>
      </w:r>
      <w:bookmarkStart w:id="19" w:name="_RefNum_RefEntry_1"/>
      <w:r>
        <w:rPr>
          <w:sz w:val="21"/>
        </w:rPr>
        <w:fldChar w:fldCharType="begin"/>
      </w:r>
      <w:r>
        <w:rPr>
          <w:sz w:val="21"/>
          <w:lang w:eastAsia="zh-CN"/>
        </w:rPr>
        <w:instrText xml:space="preserve"> SEQ RefEntry \* ARABIC </w:instrText>
      </w:r>
      <w:r>
        <w:rPr>
          <w:sz w:val="21"/>
        </w:rPr>
        <w:fldChar w:fldCharType="separate"/>
      </w:r>
      <w:r>
        <w:rPr>
          <w:sz w:val="21"/>
          <w:lang w:eastAsia="zh-CN"/>
        </w:rPr>
        <w:t>1</w:t>
      </w:r>
      <w:r>
        <w:rPr>
          <w:sz w:val="21"/>
        </w:rPr>
        <w:fldChar w:fldCharType="end"/>
      </w:r>
      <w:bookmarkEnd w:id="19"/>
      <w:r>
        <w:rPr>
          <w:sz w:val="21"/>
          <w:lang w:eastAsia="zh-CN"/>
        </w:rPr>
        <w:t xml:space="preserve">] </w:t>
      </w:r>
      <w:bookmarkStart w:id="20" w:name="_RefEntry_1"/>
      <w:bookmarkEnd w:id="20"/>
      <w:r>
        <w:rPr>
          <w:sz w:val="21"/>
          <w:lang w:eastAsia="zh-CN"/>
        </w:rPr>
        <w:t>刘佳鑫. 工程机械散热模块传热性能研究[D]. 长春: 吉林大学, 2013.</w:t>
      </w:r>
    </w:p>
    <w:p w14:paraId="76734382">
      <w:pPr>
        <w:pStyle w:val="3"/>
        <w:spacing w:before="0" w:after="0" w:line="320" w:lineRule="exact"/>
        <w:ind w:left="900" w:leftChars="200" w:hanging="420" w:hangingChars="200"/>
        <w:jc w:val="both"/>
        <w:rPr>
          <w:lang w:eastAsia="zh-CN"/>
        </w:rPr>
      </w:pPr>
      <w:r>
        <w:rPr>
          <w:sz w:val="21"/>
          <w:lang w:eastAsia="zh-CN"/>
        </w:rPr>
        <w:t>[</w:t>
      </w:r>
      <w:bookmarkStart w:id="21" w:name="_RefNum_RefEntry_2"/>
      <w:r>
        <w:rPr>
          <w:sz w:val="21"/>
        </w:rPr>
        <w:fldChar w:fldCharType="begin"/>
      </w:r>
      <w:r>
        <w:rPr>
          <w:sz w:val="21"/>
          <w:lang w:eastAsia="zh-CN"/>
        </w:rPr>
        <w:instrText xml:space="preserve"> SEQ RefEntry \* ARABIC </w:instrText>
      </w:r>
      <w:r>
        <w:rPr>
          <w:sz w:val="21"/>
        </w:rPr>
        <w:fldChar w:fldCharType="separate"/>
      </w:r>
      <w:r>
        <w:rPr>
          <w:sz w:val="21"/>
          <w:lang w:eastAsia="zh-CN"/>
        </w:rPr>
        <w:t>2</w:t>
      </w:r>
      <w:r>
        <w:rPr>
          <w:sz w:val="21"/>
        </w:rPr>
        <w:fldChar w:fldCharType="end"/>
      </w:r>
      <w:bookmarkEnd w:id="21"/>
      <w:r>
        <w:rPr>
          <w:sz w:val="21"/>
          <w:lang w:eastAsia="zh-CN"/>
        </w:rPr>
        <w:t xml:space="preserve">] </w:t>
      </w:r>
      <w:bookmarkStart w:id="22" w:name="_RefEntry_2"/>
      <w:bookmarkEnd w:id="22"/>
      <w:r>
        <w:rPr>
          <w:sz w:val="21"/>
          <w:lang w:eastAsia="zh-CN"/>
        </w:rPr>
        <w:t>雷翔宇, 费文辉, 张超锋. 基于烟囱效应的域控制器散热器结构优化[J]. 低温工程, 2023(6): 17-24.</w:t>
      </w:r>
    </w:p>
    <w:p w14:paraId="3EF1CC23">
      <w:pPr>
        <w:pStyle w:val="3"/>
        <w:spacing w:before="0" w:after="0" w:line="320" w:lineRule="exact"/>
        <w:ind w:left="900" w:leftChars="200" w:hanging="420" w:hangingChars="200"/>
        <w:jc w:val="both"/>
        <w:rPr>
          <w:lang w:eastAsia="zh-CN"/>
        </w:rPr>
      </w:pPr>
      <w:r>
        <w:rPr>
          <w:sz w:val="21"/>
          <w:lang w:eastAsia="zh-CN"/>
        </w:rPr>
        <w:t>[</w:t>
      </w:r>
      <w:bookmarkStart w:id="23" w:name="_RefNum_RefEntry_3"/>
      <w:r>
        <w:rPr>
          <w:sz w:val="21"/>
        </w:rPr>
        <w:fldChar w:fldCharType="begin"/>
      </w:r>
      <w:r>
        <w:rPr>
          <w:sz w:val="21"/>
          <w:lang w:eastAsia="zh-CN"/>
        </w:rPr>
        <w:instrText xml:space="preserve"> SEQ RefEntry \* ARABIC </w:instrText>
      </w:r>
      <w:r>
        <w:rPr>
          <w:sz w:val="21"/>
        </w:rPr>
        <w:fldChar w:fldCharType="separate"/>
      </w:r>
      <w:r>
        <w:rPr>
          <w:sz w:val="21"/>
          <w:lang w:eastAsia="zh-CN"/>
        </w:rPr>
        <w:t>3</w:t>
      </w:r>
      <w:r>
        <w:rPr>
          <w:sz w:val="21"/>
        </w:rPr>
        <w:fldChar w:fldCharType="end"/>
      </w:r>
      <w:bookmarkEnd w:id="23"/>
      <w:r>
        <w:rPr>
          <w:sz w:val="21"/>
          <w:lang w:eastAsia="zh-CN"/>
        </w:rPr>
        <w:t xml:space="preserve">] </w:t>
      </w:r>
      <w:bookmarkStart w:id="24" w:name="_RefEntry_3"/>
      <w:bookmarkEnd w:id="24"/>
      <w:r>
        <w:rPr>
          <w:sz w:val="21"/>
          <w:lang w:eastAsia="zh-CN"/>
        </w:rPr>
        <w:t>潘晟. 基于MMC-密度法的分步式液冷散热器拓扑优化设计[D]. 大连: 大连理工大学, 2023.</w:t>
      </w:r>
    </w:p>
    <w:p w14:paraId="5D312292">
      <w:pPr>
        <w:pStyle w:val="3"/>
        <w:spacing w:before="0" w:after="0" w:line="320" w:lineRule="exact"/>
        <w:ind w:left="900" w:leftChars="200" w:hanging="420" w:hangingChars="200"/>
        <w:jc w:val="both"/>
        <w:rPr>
          <w:lang w:eastAsia="zh-CN"/>
        </w:rPr>
      </w:pPr>
      <w:r>
        <w:rPr>
          <w:sz w:val="21"/>
          <w:lang w:eastAsia="zh-CN"/>
        </w:rPr>
        <w:t>[</w:t>
      </w:r>
      <w:bookmarkStart w:id="25" w:name="_RefNum_RefEntry_4"/>
      <w:r>
        <w:rPr>
          <w:sz w:val="21"/>
        </w:rPr>
        <w:fldChar w:fldCharType="begin"/>
      </w:r>
      <w:r>
        <w:rPr>
          <w:sz w:val="21"/>
          <w:lang w:eastAsia="zh-CN"/>
        </w:rPr>
        <w:instrText xml:space="preserve"> SEQ RefEntry \* ARABIC </w:instrText>
      </w:r>
      <w:r>
        <w:rPr>
          <w:sz w:val="21"/>
        </w:rPr>
        <w:fldChar w:fldCharType="separate"/>
      </w:r>
      <w:r>
        <w:rPr>
          <w:sz w:val="21"/>
          <w:lang w:eastAsia="zh-CN"/>
        </w:rPr>
        <w:t>4</w:t>
      </w:r>
      <w:r>
        <w:rPr>
          <w:sz w:val="21"/>
        </w:rPr>
        <w:fldChar w:fldCharType="end"/>
      </w:r>
      <w:bookmarkEnd w:id="25"/>
      <w:r>
        <w:rPr>
          <w:sz w:val="21"/>
          <w:lang w:eastAsia="zh-CN"/>
        </w:rPr>
        <w:t xml:space="preserve">] </w:t>
      </w:r>
      <w:bookmarkStart w:id="26" w:name="_RefEntry_4"/>
      <w:bookmarkEnd w:id="26"/>
      <w:r>
        <w:rPr>
          <w:sz w:val="21"/>
          <w:lang w:eastAsia="zh-CN"/>
        </w:rPr>
        <w:t>于明豪. 液冷散热器流道与热源分布拓扑优化研究[D]. 大连: 大连理工大学, 2021.</w:t>
      </w:r>
    </w:p>
    <w:p w14:paraId="41081C4C">
      <w:pPr>
        <w:pStyle w:val="3"/>
        <w:spacing w:before="0" w:after="0" w:line="320" w:lineRule="exact"/>
        <w:ind w:left="900" w:leftChars="200" w:hanging="420" w:hangingChars="200"/>
        <w:jc w:val="both"/>
        <w:rPr>
          <w:sz w:val="21"/>
          <w:lang w:eastAsia="zh-CN"/>
        </w:rPr>
      </w:pPr>
      <w:r>
        <w:rPr>
          <w:sz w:val="21"/>
          <w:lang w:eastAsia="zh-CN"/>
        </w:rPr>
        <w:t>[</w:t>
      </w:r>
      <w:bookmarkStart w:id="27" w:name="_RefNum_RefEntry_5"/>
      <w:r>
        <w:rPr>
          <w:sz w:val="21"/>
          <w:lang w:eastAsia="zh-CN"/>
        </w:rPr>
        <w:fldChar w:fldCharType="begin"/>
      </w:r>
      <w:r>
        <w:rPr>
          <w:sz w:val="21"/>
          <w:lang w:eastAsia="zh-CN"/>
        </w:rPr>
        <w:instrText xml:space="preserve"> SEQ RefEntry \* ARABIC </w:instrText>
      </w:r>
      <w:r>
        <w:rPr>
          <w:sz w:val="21"/>
          <w:lang w:eastAsia="zh-CN"/>
        </w:rPr>
        <w:fldChar w:fldCharType="separate"/>
      </w:r>
      <w:r>
        <w:rPr>
          <w:sz w:val="21"/>
          <w:lang w:eastAsia="zh-CN"/>
        </w:rPr>
        <w:t>5</w:t>
      </w:r>
      <w:r>
        <w:rPr>
          <w:sz w:val="21"/>
          <w:lang w:eastAsia="zh-CN"/>
        </w:rPr>
        <w:fldChar w:fldCharType="end"/>
      </w:r>
      <w:bookmarkEnd w:id="27"/>
      <w:r>
        <w:rPr>
          <w:sz w:val="21"/>
          <w:lang w:eastAsia="zh-CN"/>
        </w:rPr>
        <w:t xml:space="preserve">] </w:t>
      </w:r>
      <w:bookmarkStart w:id="28" w:name="_RefEntry_5"/>
      <w:bookmarkEnd w:id="28"/>
      <w:r>
        <w:rPr>
          <w:rFonts w:hint="eastAsia"/>
          <w:sz w:val="21"/>
          <w:lang w:eastAsia="zh-CN"/>
        </w:rPr>
        <w:t>OZGUC S, PAN L, WEIBEL J A. Topology optimization of microchannel heat sinks using a homogenization approach[J]. International Journal of Heat and Mass Transfer, 2021, 169: 120896.</w:t>
      </w:r>
    </w:p>
    <w:p w14:paraId="6F32609B">
      <w:pPr>
        <w:pStyle w:val="3"/>
        <w:spacing w:before="0" w:after="0" w:line="320" w:lineRule="exact"/>
        <w:ind w:left="900" w:leftChars="200" w:hanging="420" w:hangingChars="200"/>
        <w:jc w:val="both"/>
        <w:rPr>
          <w:lang w:eastAsia="zh-CN"/>
        </w:rPr>
      </w:pPr>
      <w:r>
        <w:rPr>
          <w:sz w:val="21"/>
          <w:lang w:eastAsia="zh-CN"/>
        </w:rPr>
        <w:t>[</w:t>
      </w:r>
      <w:bookmarkStart w:id="29" w:name="_RefNum_RefEntry_6"/>
      <w:r>
        <w:rPr>
          <w:sz w:val="21"/>
        </w:rPr>
        <w:fldChar w:fldCharType="begin"/>
      </w:r>
      <w:r>
        <w:rPr>
          <w:sz w:val="21"/>
          <w:lang w:eastAsia="zh-CN"/>
        </w:rPr>
        <w:instrText xml:space="preserve"> SEQ RefEntry \* ARABIC </w:instrText>
      </w:r>
      <w:r>
        <w:rPr>
          <w:sz w:val="21"/>
        </w:rPr>
        <w:fldChar w:fldCharType="separate"/>
      </w:r>
      <w:r>
        <w:rPr>
          <w:sz w:val="21"/>
          <w:lang w:eastAsia="zh-CN"/>
        </w:rPr>
        <w:t>6</w:t>
      </w:r>
      <w:r>
        <w:rPr>
          <w:sz w:val="21"/>
        </w:rPr>
        <w:fldChar w:fldCharType="end"/>
      </w:r>
      <w:bookmarkEnd w:id="29"/>
      <w:r>
        <w:rPr>
          <w:sz w:val="21"/>
          <w:lang w:eastAsia="zh-CN"/>
        </w:rPr>
        <w:t xml:space="preserve">] </w:t>
      </w:r>
      <w:bookmarkStart w:id="30" w:name="_RefEntry_6"/>
      <w:bookmarkEnd w:id="30"/>
      <w:r>
        <w:rPr>
          <w:sz w:val="21"/>
          <w:lang w:eastAsia="zh-CN"/>
        </w:rPr>
        <w:t>王宝中, 沈超, 蔡惠坤. 工程车辆翼型管散热器冷侧翅片信噪比分析[J]. 机械设计与制造, 2018(01): 208-211.</w:t>
      </w:r>
    </w:p>
    <w:p w14:paraId="7AB101B5">
      <w:pPr>
        <w:pStyle w:val="3"/>
        <w:spacing w:before="0" w:after="0" w:line="320" w:lineRule="exact"/>
        <w:ind w:left="900" w:leftChars="200" w:hanging="420" w:hangingChars="200"/>
        <w:jc w:val="both"/>
        <w:rPr>
          <w:lang w:eastAsia="zh-CN"/>
        </w:rPr>
      </w:pPr>
      <w:r>
        <w:rPr>
          <w:sz w:val="21"/>
          <w:lang w:eastAsia="zh-CN"/>
        </w:rPr>
        <w:t>[</w:t>
      </w:r>
      <w:bookmarkStart w:id="31" w:name="_RefNum_RefEntry_7"/>
      <w:r>
        <w:rPr>
          <w:sz w:val="21"/>
        </w:rPr>
        <w:fldChar w:fldCharType="begin"/>
      </w:r>
      <w:r>
        <w:rPr>
          <w:sz w:val="21"/>
          <w:lang w:eastAsia="zh-CN"/>
        </w:rPr>
        <w:instrText xml:space="preserve"> SEQ RefEntry \* ARABIC </w:instrText>
      </w:r>
      <w:r>
        <w:rPr>
          <w:sz w:val="21"/>
        </w:rPr>
        <w:fldChar w:fldCharType="separate"/>
      </w:r>
      <w:r>
        <w:rPr>
          <w:sz w:val="21"/>
          <w:lang w:eastAsia="zh-CN"/>
        </w:rPr>
        <w:t>7</w:t>
      </w:r>
      <w:r>
        <w:rPr>
          <w:sz w:val="21"/>
        </w:rPr>
        <w:fldChar w:fldCharType="end"/>
      </w:r>
      <w:bookmarkEnd w:id="31"/>
      <w:r>
        <w:rPr>
          <w:sz w:val="21"/>
          <w:lang w:eastAsia="zh-CN"/>
        </w:rPr>
        <w:t xml:space="preserve">] </w:t>
      </w:r>
      <w:bookmarkStart w:id="32" w:name="_RefEntry_7"/>
      <w:bookmarkEnd w:id="32"/>
      <w:r>
        <w:rPr>
          <w:sz w:val="21"/>
          <w:lang w:eastAsia="zh-CN"/>
        </w:rPr>
        <w:t>冯少聪, 王宝中, 沈超. 工程车辆五位数翼型热管散热器性能对比分析[J]. 机械设计与制造, 2018(02): 112-114.</w:t>
      </w:r>
    </w:p>
    <w:p w14:paraId="739B7011">
      <w:pPr>
        <w:pStyle w:val="3"/>
        <w:spacing w:before="0" w:after="0" w:line="320" w:lineRule="exact"/>
        <w:ind w:left="900" w:leftChars="200" w:hanging="420" w:hangingChars="200"/>
        <w:jc w:val="both"/>
      </w:pPr>
      <w:r>
        <w:rPr>
          <w:sz w:val="21"/>
        </w:rPr>
        <w:t>[</w:t>
      </w:r>
      <w:bookmarkStart w:id="33" w:name="_RefNum_RefEntry_8"/>
      <w:r>
        <w:rPr>
          <w:sz w:val="21"/>
        </w:rPr>
        <w:fldChar w:fldCharType="begin"/>
      </w:r>
      <w:r>
        <w:rPr>
          <w:sz w:val="21"/>
        </w:rPr>
        <w:instrText xml:space="preserve"> SEQ RefEntry \* ARABIC </w:instrText>
      </w:r>
      <w:r>
        <w:rPr>
          <w:sz w:val="21"/>
        </w:rPr>
        <w:fldChar w:fldCharType="separate"/>
      </w:r>
      <w:r>
        <w:rPr>
          <w:sz w:val="21"/>
        </w:rPr>
        <w:t>8</w:t>
      </w:r>
      <w:r>
        <w:rPr>
          <w:sz w:val="21"/>
        </w:rPr>
        <w:fldChar w:fldCharType="end"/>
      </w:r>
      <w:bookmarkEnd w:id="33"/>
      <w:r>
        <w:rPr>
          <w:sz w:val="21"/>
        </w:rPr>
        <w:t xml:space="preserve">] </w:t>
      </w:r>
      <w:bookmarkStart w:id="34" w:name="_RefEntry_8"/>
      <w:bookmarkEnd w:id="34"/>
      <w:r>
        <w:rPr>
          <w:sz w:val="21"/>
        </w:rPr>
        <w:t>TARIQ M H, KHAN F, RIZWAN H M, et al. Thermo-fluid performance enhancement using NACA aerofoil cross-sectional tubes[J]. Engineering Proceedings, 2022, 23(1): 13.</w:t>
      </w:r>
    </w:p>
    <w:p w14:paraId="2D272AFF">
      <w:pPr>
        <w:pStyle w:val="3"/>
        <w:spacing w:before="0" w:after="0" w:line="320" w:lineRule="exact"/>
        <w:ind w:left="900" w:leftChars="200" w:hanging="420" w:hangingChars="200"/>
        <w:jc w:val="both"/>
        <w:rPr>
          <w:lang w:eastAsia="zh-CN"/>
        </w:rPr>
      </w:pPr>
      <w:r>
        <w:rPr>
          <w:sz w:val="21"/>
        </w:rPr>
        <w:t>[</w:t>
      </w:r>
      <w:bookmarkStart w:id="35" w:name="_RefNum_RefEntry_9"/>
      <w:r>
        <w:rPr>
          <w:sz w:val="21"/>
        </w:rPr>
        <w:fldChar w:fldCharType="begin"/>
      </w:r>
      <w:r>
        <w:rPr>
          <w:sz w:val="21"/>
        </w:rPr>
        <w:instrText xml:space="preserve"> SEQ RefEntry \* ARABIC </w:instrText>
      </w:r>
      <w:r>
        <w:rPr>
          <w:sz w:val="21"/>
        </w:rPr>
        <w:fldChar w:fldCharType="separate"/>
      </w:r>
      <w:r>
        <w:rPr>
          <w:sz w:val="21"/>
        </w:rPr>
        <w:t>9</w:t>
      </w:r>
      <w:r>
        <w:rPr>
          <w:sz w:val="21"/>
        </w:rPr>
        <w:fldChar w:fldCharType="end"/>
      </w:r>
      <w:bookmarkEnd w:id="35"/>
      <w:r>
        <w:rPr>
          <w:sz w:val="21"/>
        </w:rPr>
        <w:t xml:space="preserve">] </w:t>
      </w:r>
      <w:bookmarkStart w:id="36" w:name="_RefEntry_9"/>
      <w:bookmarkEnd w:id="36"/>
      <w:r>
        <w:rPr>
          <w:sz w:val="21"/>
        </w:rPr>
        <w:t xml:space="preserve">WANG H, WANG Z, QU Z, et al. Deep-learning accelerating topology optimization of three-dimensional coolant channels for flow and heat transfer in a proton exchange membrane fuel cell[J]. </w:t>
      </w:r>
      <w:r>
        <w:rPr>
          <w:sz w:val="21"/>
          <w:lang w:eastAsia="zh-CN"/>
        </w:rPr>
        <w:t>Applied Energy, 2023, 352: 121950.</w:t>
      </w:r>
    </w:p>
    <w:p w14:paraId="52A944FD">
      <w:pPr>
        <w:pStyle w:val="3"/>
        <w:spacing w:before="0" w:after="0" w:line="320" w:lineRule="exact"/>
        <w:ind w:left="900" w:leftChars="200" w:hanging="420" w:hangingChars="200"/>
        <w:jc w:val="both"/>
        <w:rPr>
          <w:lang w:eastAsia="zh-CN"/>
        </w:rPr>
      </w:pPr>
      <w:r>
        <w:rPr>
          <w:sz w:val="21"/>
          <w:lang w:eastAsia="zh-CN"/>
        </w:rPr>
        <w:t>[</w:t>
      </w:r>
      <w:bookmarkStart w:id="37" w:name="_RefNum_RefEntry_10"/>
      <w:r>
        <w:rPr>
          <w:sz w:val="21"/>
        </w:rPr>
        <w:fldChar w:fldCharType="begin"/>
      </w:r>
      <w:r>
        <w:rPr>
          <w:sz w:val="21"/>
          <w:lang w:eastAsia="zh-CN"/>
        </w:rPr>
        <w:instrText xml:space="preserve"> SEQ RefEntry \* ARABIC </w:instrText>
      </w:r>
      <w:r>
        <w:rPr>
          <w:sz w:val="21"/>
        </w:rPr>
        <w:fldChar w:fldCharType="separate"/>
      </w:r>
      <w:r>
        <w:rPr>
          <w:sz w:val="21"/>
          <w:lang w:eastAsia="zh-CN"/>
        </w:rPr>
        <w:t>10</w:t>
      </w:r>
      <w:r>
        <w:rPr>
          <w:sz w:val="21"/>
        </w:rPr>
        <w:fldChar w:fldCharType="end"/>
      </w:r>
      <w:bookmarkEnd w:id="37"/>
      <w:r>
        <w:rPr>
          <w:sz w:val="21"/>
          <w:lang w:eastAsia="zh-CN"/>
        </w:rPr>
        <w:t xml:space="preserve">] </w:t>
      </w:r>
      <w:bookmarkStart w:id="38" w:name="_RefEntry_10"/>
      <w:bookmarkEnd w:id="38"/>
      <w:r>
        <w:rPr>
          <w:sz w:val="21"/>
          <w:lang w:eastAsia="zh-CN"/>
        </w:rPr>
        <w:t>朱高嘉, 何函宇, 李龙女, 等. 基于神经网络同步学习的功率模块散热器拓扑优化快速迭代方法[J]. 电源学报, 2024, 22(3): 111-120.</w:t>
      </w:r>
    </w:p>
    <w:p w14:paraId="42C87B45">
      <w:pPr>
        <w:pStyle w:val="3"/>
        <w:spacing w:before="0" w:after="0" w:line="320" w:lineRule="exact"/>
        <w:ind w:left="900" w:leftChars="200" w:hanging="420" w:hangingChars="200"/>
        <w:jc w:val="both"/>
        <w:rPr>
          <w:lang w:eastAsia="zh-CN"/>
        </w:rPr>
      </w:pPr>
      <w:r>
        <w:rPr>
          <w:sz w:val="21"/>
          <w:lang w:eastAsia="zh-CN"/>
        </w:rPr>
        <w:t>[</w:t>
      </w:r>
      <w:bookmarkStart w:id="39" w:name="_RefNum_RefEntry_11"/>
      <w:r>
        <w:rPr>
          <w:sz w:val="21"/>
        </w:rPr>
        <w:fldChar w:fldCharType="begin"/>
      </w:r>
      <w:r>
        <w:rPr>
          <w:sz w:val="21"/>
          <w:lang w:eastAsia="zh-CN"/>
        </w:rPr>
        <w:instrText xml:space="preserve"> SEQ RefEntry \* ARABIC </w:instrText>
      </w:r>
      <w:r>
        <w:rPr>
          <w:sz w:val="21"/>
        </w:rPr>
        <w:fldChar w:fldCharType="separate"/>
      </w:r>
      <w:r>
        <w:rPr>
          <w:sz w:val="21"/>
          <w:lang w:eastAsia="zh-CN"/>
        </w:rPr>
        <w:t>11</w:t>
      </w:r>
      <w:r>
        <w:rPr>
          <w:sz w:val="21"/>
        </w:rPr>
        <w:fldChar w:fldCharType="end"/>
      </w:r>
      <w:bookmarkEnd w:id="39"/>
      <w:r>
        <w:rPr>
          <w:sz w:val="21"/>
          <w:lang w:eastAsia="zh-CN"/>
        </w:rPr>
        <w:t xml:space="preserve">] </w:t>
      </w:r>
      <w:bookmarkStart w:id="40" w:name="_RefEntry_11"/>
      <w:bookmarkEnd w:id="40"/>
      <w:r>
        <w:rPr>
          <w:sz w:val="21"/>
          <w:lang w:eastAsia="zh-CN"/>
        </w:rPr>
        <w:t>陈焱飙, 尤向华, 曹晔, 等. 基于人工神经网络的平直穿孔翅片散热器优化[J]. 低温工程, 2025(6): 106-111.</w:t>
      </w:r>
    </w:p>
    <w:p w14:paraId="202DEC59">
      <w:pPr>
        <w:pStyle w:val="3"/>
        <w:spacing w:before="0" w:after="0" w:line="320" w:lineRule="exact"/>
        <w:ind w:left="900" w:leftChars="200" w:hanging="420" w:hangingChars="200"/>
        <w:jc w:val="both"/>
      </w:pPr>
      <w:r>
        <w:rPr>
          <w:sz w:val="21"/>
        </w:rPr>
        <w:t>[</w:t>
      </w:r>
      <w:bookmarkStart w:id="41" w:name="_RefNum_RefEntry_12"/>
      <w:r>
        <w:rPr>
          <w:sz w:val="21"/>
        </w:rPr>
        <w:fldChar w:fldCharType="begin"/>
      </w:r>
      <w:r>
        <w:rPr>
          <w:sz w:val="21"/>
        </w:rPr>
        <w:instrText xml:space="preserve"> SEQ RefEntry \* ARABIC </w:instrText>
      </w:r>
      <w:r>
        <w:rPr>
          <w:sz w:val="21"/>
        </w:rPr>
        <w:fldChar w:fldCharType="separate"/>
      </w:r>
      <w:r>
        <w:rPr>
          <w:sz w:val="21"/>
        </w:rPr>
        <w:t>12</w:t>
      </w:r>
      <w:r>
        <w:rPr>
          <w:sz w:val="21"/>
        </w:rPr>
        <w:fldChar w:fldCharType="end"/>
      </w:r>
      <w:bookmarkEnd w:id="41"/>
      <w:r>
        <w:rPr>
          <w:sz w:val="21"/>
        </w:rPr>
        <w:t xml:space="preserve">] </w:t>
      </w:r>
      <w:bookmarkStart w:id="42" w:name="_RefEntry_12"/>
      <w:bookmarkEnd w:id="42"/>
      <w:r>
        <w:rPr>
          <w:sz w:val="21"/>
        </w:rPr>
        <w:t>JIANG T, LI M J, YANG J Q. Research on optimization of structural parameters for airfoil fin PCHE based on machine learning[J]. Applied Thermal Engineering, 2023, 229: 120498.</w:t>
      </w:r>
    </w:p>
    <w:bookmarkEnd w:id="18"/>
    <w:p w14:paraId="5DB3DCCA">
      <w:pPr>
        <w:pStyle w:val="3"/>
        <w:spacing w:before="0" w:after="0" w:line="320" w:lineRule="exact"/>
        <w:ind w:left="960" w:leftChars="200" w:hanging="480" w:hangingChars="200"/>
        <w:jc w:val="both"/>
        <w:rPr>
          <w:lang w:eastAsia="zh-CN"/>
        </w:rPr>
      </w:pPr>
    </w:p>
    <w:sectPr>
      <w:footnotePr>
        <w:numRestart w:val="eachSect"/>
      </w:footnote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58F99">
    <w:pPr>
      <w:ind w:firstLine="0" w:firstLineChars="0"/>
      <w:jc w:val="cente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8B420">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0F9FF">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422E7">
    <w:pPr>
      <w:pBdr>
        <w:bottom w:val="single" w:color="auto" w:sz="4" w:space="1"/>
      </w:pBdr>
      <w:ind w:firstLine="0" w:firstLineChars="0"/>
      <w:jc w:val="center"/>
    </w:pPr>
    <w:r>
      <w:rPr>
        <w:sz w:val="21"/>
        <w:szCs w:val="21"/>
      </w:rPr>
      <w:fldChar w:fldCharType="begin"/>
    </w:r>
    <w:r>
      <w:rPr>
        <w:sz w:val="21"/>
        <w:szCs w:val="21"/>
      </w:rPr>
      <w:instrText xml:space="preserve"> STYLEREF "标题 1" </w:instrText>
    </w:r>
    <w:r>
      <w:rPr>
        <w:sz w:val="21"/>
        <w:szCs w:val="21"/>
      </w:rPr>
      <w:fldChar w:fldCharType="separate"/>
    </w:r>
    <w:r>
      <w:rPr>
        <w:sz w:val="21"/>
        <w:szCs w:val="21"/>
      </w:rPr>
      <w:t>基于多模态卷积神经网络的翼型管翅片散热器形状与布局参数优化</w:t>
    </w:r>
    <w:r>
      <w:rPr>
        <w:sz w:val="21"/>
        <w:szCs w:val="21"/>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74E47">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FEAF6">
    <w:pPr>
      <w:pStyle w:val="1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embedSystemFonts/>
  <w:bordersDoNotSurroundHeader w:val="0"/>
  <w:bordersDoNotSurroundFooter w:val="0"/>
  <w:revisionView w:markup="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F39"/>
    <w:rsid w:val="00014BBA"/>
    <w:rsid w:val="000E5233"/>
    <w:rsid w:val="00154EBA"/>
    <w:rsid w:val="00197311"/>
    <w:rsid w:val="001C2186"/>
    <w:rsid w:val="00213252"/>
    <w:rsid w:val="002444B6"/>
    <w:rsid w:val="002637BB"/>
    <w:rsid w:val="00267F39"/>
    <w:rsid w:val="002B53C5"/>
    <w:rsid w:val="00383FDD"/>
    <w:rsid w:val="003C5FFB"/>
    <w:rsid w:val="003D66C4"/>
    <w:rsid w:val="00407F78"/>
    <w:rsid w:val="004370A9"/>
    <w:rsid w:val="00464950"/>
    <w:rsid w:val="004748AC"/>
    <w:rsid w:val="0048326B"/>
    <w:rsid w:val="004A41BD"/>
    <w:rsid w:val="004B26A4"/>
    <w:rsid w:val="004B346B"/>
    <w:rsid w:val="00500999"/>
    <w:rsid w:val="0051366D"/>
    <w:rsid w:val="0056180D"/>
    <w:rsid w:val="00581620"/>
    <w:rsid w:val="00594673"/>
    <w:rsid w:val="005B2D4F"/>
    <w:rsid w:val="00665396"/>
    <w:rsid w:val="00686924"/>
    <w:rsid w:val="0069008C"/>
    <w:rsid w:val="007106EA"/>
    <w:rsid w:val="00805494"/>
    <w:rsid w:val="008104CA"/>
    <w:rsid w:val="008177B5"/>
    <w:rsid w:val="00877B8E"/>
    <w:rsid w:val="00906D04"/>
    <w:rsid w:val="00A57CD8"/>
    <w:rsid w:val="00AA3699"/>
    <w:rsid w:val="00AB59B6"/>
    <w:rsid w:val="00AD30AB"/>
    <w:rsid w:val="00AF65A2"/>
    <w:rsid w:val="00B222C9"/>
    <w:rsid w:val="00B64BA7"/>
    <w:rsid w:val="00BC354C"/>
    <w:rsid w:val="00C472FC"/>
    <w:rsid w:val="00C61FC5"/>
    <w:rsid w:val="00C844AF"/>
    <w:rsid w:val="00D33B27"/>
    <w:rsid w:val="00D41A85"/>
    <w:rsid w:val="00D5290E"/>
    <w:rsid w:val="00D708E7"/>
    <w:rsid w:val="00D90884"/>
    <w:rsid w:val="00E73130"/>
    <w:rsid w:val="00EE2B12"/>
    <w:rsid w:val="00EF36DE"/>
    <w:rsid w:val="00F9568B"/>
    <w:rsid w:val="00FC0A85"/>
    <w:rsid w:val="00FD4A49"/>
    <w:rsid w:val="00FE13F6"/>
    <w:rsid w:val="026335EA"/>
    <w:rsid w:val="04DE3761"/>
    <w:rsid w:val="055D7563"/>
    <w:rsid w:val="056D3119"/>
    <w:rsid w:val="06131103"/>
    <w:rsid w:val="078352E4"/>
    <w:rsid w:val="07863B16"/>
    <w:rsid w:val="10102F58"/>
    <w:rsid w:val="12D55B62"/>
    <w:rsid w:val="13A76553"/>
    <w:rsid w:val="16572040"/>
    <w:rsid w:val="16E63949"/>
    <w:rsid w:val="196131C3"/>
    <w:rsid w:val="1ACF154E"/>
    <w:rsid w:val="1B3F107D"/>
    <w:rsid w:val="1CFC21FD"/>
    <w:rsid w:val="1D9F2A4D"/>
    <w:rsid w:val="1FAB7D05"/>
    <w:rsid w:val="1FCC0C84"/>
    <w:rsid w:val="206550E2"/>
    <w:rsid w:val="23FC19D2"/>
    <w:rsid w:val="2885289A"/>
    <w:rsid w:val="2D12358F"/>
    <w:rsid w:val="2D42263C"/>
    <w:rsid w:val="312A49A3"/>
    <w:rsid w:val="31427F2B"/>
    <w:rsid w:val="377A794E"/>
    <w:rsid w:val="397502F0"/>
    <w:rsid w:val="39B55242"/>
    <w:rsid w:val="3C245ED1"/>
    <w:rsid w:val="3C2F3137"/>
    <w:rsid w:val="3D3A2F0F"/>
    <w:rsid w:val="3EDB2B34"/>
    <w:rsid w:val="3F403CC7"/>
    <w:rsid w:val="3F7A2500"/>
    <w:rsid w:val="405C03BC"/>
    <w:rsid w:val="419E711F"/>
    <w:rsid w:val="46EB5807"/>
    <w:rsid w:val="473560BF"/>
    <w:rsid w:val="476169CD"/>
    <w:rsid w:val="49B643A4"/>
    <w:rsid w:val="52491F56"/>
    <w:rsid w:val="52FA40B1"/>
    <w:rsid w:val="53915C12"/>
    <w:rsid w:val="55EE688D"/>
    <w:rsid w:val="55FE2622"/>
    <w:rsid w:val="58172247"/>
    <w:rsid w:val="59281352"/>
    <w:rsid w:val="5D0631CD"/>
    <w:rsid w:val="630006BE"/>
    <w:rsid w:val="63785651"/>
    <w:rsid w:val="64D45DD3"/>
    <w:rsid w:val="687D532C"/>
    <w:rsid w:val="6B301415"/>
    <w:rsid w:val="6BAC37CE"/>
    <w:rsid w:val="6D5249AA"/>
    <w:rsid w:val="6EE82732"/>
    <w:rsid w:val="704E2A69"/>
    <w:rsid w:val="7058127B"/>
    <w:rsid w:val="711B32BB"/>
    <w:rsid w:val="724B5956"/>
    <w:rsid w:val="757B4747"/>
    <w:rsid w:val="770322D9"/>
    <w:rsid w:val="780C72E2"/>
    <w:rsid w:val="797167BB"/>
    <w:rsid w:val="7B1A0289"/>
    <w:rsid w:val="7DA20529"/>
    <w:rsid w:val="7F3070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pPr>
    <w:rPr>
      <w:rFonts w:ascii="Times New Roman" w:hAnsi="Times New Roman" w:eastAsia="宋体" w:cs="Times New Roman"/>
      <w:color w:val="000000"/>
      <w:sz w:val="24"/>
      <w:szCs w:val="24"/>
      <w:lang w:val="en-US" w:eastAsia="en-US" w:bidi="ar-SA"/>
    </w:rPr>
  </w:style>
  <w:style w:type="paragraph" w:styleId="2">
    <w:name w:val="heading 1"/>
    <w:basedOn w:val="1"/>
    <w:next w:val="3"/>
    <w:link w:val="40"/>
    <w:qFormat/>
    <w:uiPriority w:val="9"/>
    <w:pPr>
      <w:keepNext/>
      <w:keepLines/>
      <w:spacing w:before="480" w:after="360" w:line="240" w:lineRule="auto"/>
      <w:ind w:firstLine="0" w:firstLineChars="0"/>
      <w:outlineLvl w:val="0"/>
    </w:pPr>
    <w:rPr>
      <w:rFonts w:eastAsia="黑体"/>
      <w:b/>
      <w:bCs/>
      <w:sz w:val="28"/>
      <w:szCs w:val="28"/>
    </w:rPr>
  </w:style>
  <w:style w:type="paragraph" w:styleId="4">
    <w:name w:val="heading 2"/>
    <w:basedOn w:val="1"/>
    <w:next w:val="3"/>
    <w:link w:val="41"/>
    <w:semiHidden/>
    <w:unhideWhenUsed/>
    <w:qFormat/>
    <w:uiPriority w:val="9"/>
    <w:pPr>
      <w:keepNext/>
      <w:keepLines/>
      <w:spacing w:before="480" w:after="120" w:line="240" w:lineRule="auto"/>
      <w:ind w:firstLine="0" w:firstLineChars="0"/>
      <w:outlineLvl w:val="1"/>
    </w:pPr>
    <w:rPr>
      <w:rFonts w:eastAsia="黑体"/>
      <w:b/>
      <w:bCs/>
    </w:rPr>
  </w:style>
  <w:style w:type="paragraph" w:styleId="5">
    <w:name w:val="heading 3"/>
    <w:basedOn w:val="1"/>
    <w:next w:val="3"/>
    <w:link w:val="42"/>
    <w:semiHidden/>
    <w:unhideWhenUsed/>
    <w:qFormat/>
    <w:uiPriority w:val="9"/>
    <w:pPr>
      <w:keepNext/>
      <w:keepLines/>
      <w:spacing w:before="240" w:after="120" w:line="240" w:lineRule="auto"/>
      <w:ind w:left="200" w:leftChars="200" w:firstLine="0" w:firstLineChars="0"/>
      <w:outlineLvl w:val="2"/>
    </w:pPr>
    <w:rPr>
      <w:rFonts w:eastAsia="黑体"/>
      <w:sz w:val="26"/>
      <w:szCs w:val="26"/>
    </w:rPr>
  </w:style>
  <w:style w:type="paragraph" w:styleId="6">
    <w:name w:val="heading 4"/>
    <w:basedOn w:val="1"/>
    <w:next w:val="3"/>
    <w:link w:val="43"/>
    <w:semiHidden/>
    <w:unhideWhenUsed/>
    <w:qFormat/>
    <w:uiPriority w:val="9"/>
    <w:pPr>
      <w:keepNext/>
      <w:keepLines/>
      <w:spacing w:before="240" w:after="120" w:line="240" w:lineRule="auto"/>
      <w:ind w:left="200" w:leftChars="200" w:firstLine="0" w:firstLineChars="0"/>
      <w:outlineLvl w:val="3"/>
    </w:pPr>
    <w:rPr>
      <w:rFonts w:eastAsia="黑体"/>
    </w:rPr>
  </w:style>
  <w:style w:type="paragraph" w:styleId="7">
    <w:name w:val="heading 5"/>
    <w:basedOn w:val="1"/>
    <w:next w:val="3"/>
    <w:link w:val="44"/>
    <w:semiHidden/>
    <w:unhideWhenUsed/>
    <w:qFormat/>
    <w:uiPriority w:val="9"/>
    <w:pPr>
      <w:keepNext/>
      <w:keepLines/>
      <w:spacing w:before="120" w:after="120" w:line="240" w:lineRule="auto"/>
      <w:ind w:firstLine="0" w:firstLineChars="0"/>
      <w:outlineLvl w:val="4"/>
    </w:pPr>
    <w:rPr>
      <w:rFonts w:eastAsia="黑体"/>
    </w:rPr>
  </w:style>
  <w:style w:type="paragraph" w:styleId="8">
    <w:name w:val="heading 6"/>
    <w:basedOn w:val="1"/>
    <w:next w:val="3"/>
    <w:link w:val="45"/>
    <w:semiHidden/>
    <w:unhideWhenUsed/>
    <w:qFormat/>
    <w:uiPriority w:val="9"/>
    <w:pPr>
      <w:keepNext/>
      <w:keepLines/>
      <w:spacing w:before="120" w:after="120" w:line="240" w:lineRule="auto"/>
      <w:ind w:firstLine="0" w:firstLineChars="0"/>
      <w:outlineLvl w:val="5"/>
    </w:pPr>
    <w:rPr>
      <w:rFonts w:eastAsia="黑体"/>
    </w:rPr>
  </w:style>
  <w:style w:type="paragraph" w:styleId="9">
    <w:name w:val="heading 7"/>
    <w:basedOn w:val="1"/>
    <w:next w:val="3"/>
    <w:link w:val="46"/>
    <w:semiHidden/>
    <w:unhideWhenUsed/>
    <w:qFormat/>
    <w:uiPriority w:val="9"/>
    <w:pPr>
      <w:keepNext/>
      <w:keepLines/>
      <w:spacing w:before="120" w:after="120" w:line="240" w:lineRule="auto"/>
      <w:ind w:firstLine="0" w:firstLineChars="0"/>
      <w:outlineLvl w:val="6"/>
    </w:pPr>
    <w:rPr>
      <w:rFonts w:eastAsia="黑体"/>
      <w:sz w:val="21"/>
      <w:szCs w:val="21"/>
    </w:rPr>
  </w:style>
  <w:style w:type="paragraph" w:styleId="10">
    <w:name w:val="heading 8"/>
    <w:basedOn w:val="1"/>
    <w:next w:val="3"/>
    <w:link w:val="47"/>
    <w:semiHidden/>
    <w:unhideWhenUsed/>
    <w:qFormat/>
    <w:uiPriority w:val="9"/>
    <w:pPr>
      <w:keepNext/>
      <w:keepLines/>
      <w:spacing w:before="120" w:after="120" w:line="240" w:lineRule="auto"/>
      <w:ind w:firstLine="0" w:firstLineChars="0"/>
      <w:outlineLvl w:val="7"/>
    </w:pPr>
    <w:rPr>
      <w:rFonts w:eastAsia="黑体"/>
      <w:sz w:val="21"/>
      <w:szCs w:val="21"/>
    </w:rPr>
  </w:style>
  <w:style w:type="paragraph" w:styleId="11">
    <w:name w:val="heading 9"/>
    <w:basedOn w:val="1"/>
    <w:next w:val="3"/>
    <w:link w:val="4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9"/>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link w:val="103"/>
    <w:qFormat/>
    <w:uiPriority w:val="0"/>
  </w:style>
  <w:style w:type="paragraph" w:styleId="14">
    <w:name w:val="Block Text"/>
    <w:basedOn w:val="3"/>
    <w:next w:val="3"/>
    <w:unhideWhenUsed/>
    <w:qFormat/>
    <w:uiPriority w:val="9"/>
    <w:pPr>
      <w:spacing w:before="100" w:after="100"/>
      <w:ind w:left="480" w:right="480" w:firstLine="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link w:val="99"/>
    <w:qFormat/>
    <w:uiPriority w:val="0"/>
    <w:pPr>
      <w:tabs>
        <w:tab w:val="center" w:pos="4153"/>
        <w:tab w:val="right" w:pos="8306"/>
      </w:tabs>
      <w:snapToGrid w:val="0"/>
      <w:spacing w:line="240" w:lineRule="atLeast"/>
    </w:pPr>
    <w:rPr>
      <w:sz w:val="18"/>
      <w:szCs w:val="18"/>
    </w:rPr>
  </w:style>
  <w:style w:type="paragraph" w:styleId="17">
    <w:name w:val="header"/>
    <w:basedOn w:val="1"/>
    <w:link w:val="98"/>
    <w:qFormat/>
    <w:uiPriority w:val="0"/>
    <w:pPr>
      <w:tabs>
        <w:tab w:val="center" w:pos="4153"/>
        <w:tab w:val="right" w:pos="8306"/>
      </w:tabs>
      <w:snapToGrid w:val="0"/>
      <w:spacing w:line="240" w:lineRule="atLeast"/>
      <w:jc w:val="center"/>
    </w:pPr>
    <w:rPr>
      <w:sz w:val="18"/>
      <w:szCs w:val="18"/>
    </w:rPr>
  </w:style>
  <w:style w:type="paragraph" w:styleId="18">
    <w:name w:val="Subtitle"/>
    <w:basedOn w:val="19"/>
    <w:next w:val="3"/>
    <w:link w:val="35"/>
    <w:qFormat/>
    <w:uiPriority w:val="11"/>
    <w:rPr>
      <w:spacing w:val="15"/>
      <w:sz w:val="28"/>
      <w:szCs w:val="28"/>
    </w:rPr>
  </w:style>
  <w:style w:type="paragraph" w:styleId="19">
    <w:name w:val="Title"/>
    <w:basedOn w:val="1"/>
    <w:next w:val="3"/>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0">
    <w:name w:val="footnote text"/>
    <w:basedOn w:val="1"/>
    <w:unhideWhenUsed/>
    <w:qFormat/>
    <w:uiPriority w:val="9"/>
  </w:style>
  <w:style w:type="paragraph" w:styleId="21">
    <w:name w:val="Normal (Web)"/>
    <w:basedOn w:val="1"/>
    <w:qFormat/>
    <w:uiPriority w:val="0"/>
    <w:pPr>
      <w:spacing w:beforeAutospacing="1" w:afterAutospacing="1"/>
    </w:pPr>
    <w:rPr>
      <w:lang w:eastAsia="zh-CN"/>
    </w:rPr>
  </w:style>
  <w:style w:type="paragraph" w:styleId="22">
    <w:name w:val="annotation subject"/>
    <w:basedOn w:val="13"/>
    <w:next w:val="13"/>
    <w:link w:val="10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mphasis"/>
    <w:basedOn w:val="25"/>
    <w:qFormat/>
    <w:uiPriority w:val="0"/>
    <w:rPr>
      <w:i/>
    </w:rPr>
  </w:style>
  <w:style w:type="character" w:styleId="28">
    <w:name w:val="Hyperlink"/>
    <w:basedOn w:val="29"/>
    <w:qFormat/>
    <w:uiPriority w:val="0"/>
    <w:rPr>
      <w:color w:val="156082" w:themeColor="accent1"/>
      <w14:textFill>
        <w14:solidFill>
          <w14:schemeClr w14:val="accent1"/>
        </w14:solidFill>
      </w14:textFill>
    </w:rPr>
  </w:style>
  <w:style w:type="character" w:customStyle="1" w:styleId="29">
    <w:name w:val="正文文本 字符"/>
    <w:basedOn w:val="25"/>
    <w:link w:val="3"/>
    <w:qFormat/>
    <w:uiPriority w:val="0"/>
  </w:style>
  <w:style w:type="character" w:styleId="30">
    <w:name w:val="annotation reference"/>
    <w:basedOn w:val="25"/>
    <w:qFormat/>
    <w:uiPriority w:val="0"/>
    <w:rPr>
      <w:sz w:val="21"/>
      <w:szCs w:val="21"/>
    </w:rPr>
  </w:style>
  <w:style w:type="character" w:styleId="31">
    <w:name w:val="footnote reference"/>
    <w:basedOn w:val="29"/>
    <w:qFormat/>
    <w:uiPriority w:val="0"/>
    <w:rPr>
      <w:vertAlign w:val="superscript"/>
    </w:rPr>
  </w:style>
  <w:style w:type="paragraph" w:customStyle="1" w:styleId="32">
    <w:name w:val="First Paragraph"/>
    <w:basedOn w:val="3"/>
    <w:next w:val="3"/>
    <w:qFormat/>
    <w:uiPriority w:val="0"/>
  </w:style>
  <w:style w:type="paragraph" w:customStyle="1" w:styleId="33">
    <w:name w:val="Compact"/>
    <w:basedOn w:val="3"/>
    <w:qFormat/>
    <w:uiPriority w:val="0"/>
    <w:pPr>
      <w:spacing w:before="36" w:after="36"/>
    </w:pPr>
  </w:style>
  <w:style w:type="character" w:customStyle="1" w:styleId="34">
    <w:name w:val="标题 字符"/>
    <w:basedOn w:val="25"/>
    <w:link w:val="19"/>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5"/>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7">
    <w:name w:val="Abstract Title"/>
    <w:basedOn w:val="1"/>
    <w:next w:val="38"/>
    <w:qFormat/>
    <w:uiPriority w:val="0"/>
    <w:pPr>
      <w:keepNext/>
      <w:keepLines/>
      <w:spacing w:before="300"/>
      <w:jc w:val="center"/>
    </w:pPr>
    <w:rPr>
      <w:b/>
      <w:sz w:val="20"/>
      <w:szCs w:val="20"/>
    </w:rPr>
  </w:style>
  <w:style w:type="paragraph" w:customStyle="1" w:styleId="38">
    <w:name w:val="Abstract"/>
    <w:basedOn w:val="1"/>
    <w:next w:val="3"/>
    <w:qFormat/>
    <w:uiPriority w:val="0"/>
    <w:pPr>
      <w:keepNext/>
      <w:keepLines/>
      <w:spacing w:before="100" w:after="300"/>
    </w:pPr>
    <w:rPr>
      <w:sz w:val="20"/>
      <w:szCs w:val="20"/>
    </w:rPr>
  </w:style>
  <w:style w:type="paragraph" w:customStyle="1" w:styleId="39">
    <w:name w:val="书目1"/>
    <w:basedOn w:val="1"/>
    <w:qFormat/>
    <w:uiPriority w:val="0"/>
  </w:style>
  <w:style w:type="character" w:customStyle="1" w:styleId="40">
    <w:name w:val="标题 1 字符"/>
    <w:basedOn w:val="25"/>
    <w:link w:val="2"/>
    <w:qFormat/>
    <w:uiPriority w:val="9"/>
    <w:rPr>
      <w:rFonts w:asciiTheme="majorHAnsi" w:hAnsiTheme="majorHAnsi" w:eastAsiaTheme="majorEastAsia" w:cstheme="majorBidi"/>
      <w:color w:val="104862" w:themeColor="accent1" w:themeShade="BF"/>
      <w:sz w:val="40"/>
      <w:szCs w:val="40"/>
    </w:rPr>
  </w:style>
  <w:style w:type="character" w:customStyle="1" w:styleId="41">
    <w:name w:val="标题 2 字符"/>
    <w:basedOn w:val="2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42">
    <w:name w:val="标题 3 字符"/>
    <w:basedOn w:val="25"/>
    <w:link w:val="5"/>
    <w:semiHidden/>
    <w:qFormat/>
    <w:uiPriority w:val="9"/>
    <w:rPr>
      <w:rFonts w:eastAsiaTheme="majorEastAsia" w:cstheme="majorBidi"/>
      <w:color w:val="104862" w:themeColor="accent1" w:themeShade="BF"/>
      <w:sz w:val="28"/>
      <w:szCs w:val="28"/>
    </w:rPr>
  </w:style>
  <w:style w:type="character" w:customStyle="1" w:styleId="43">
    <w:name w:val="标题 4 字符"/>
    <w:basedOn w:val="25"/>
    <w:link w:val="6"/>
    <w:semiHidden/>
    <w:qFormat/>
    <w:uiPriority w:val="9"/>
    <w:rPr>
      <w:rFonts w:eastAsiaTheme="majorEastAsia" w:cstheme="majorBidi"/>
      <w:i/>
      <w:iCs/>
      <w:color w:val="104862" w:themeColor="accent1" w:themeShade="BF"/>
    </w:rPr>
  </w:style>
  <w:style w:type="character" w:customStyle="1" w:styleId="44">
    <w:name w:val="标题 5 字符"/>
    <w:basedOn w:val="25"/>
    <w:link w:val="7"/>
    <w:semiHidden/>
    <w:qFormat/>
    <w:uiPriority w:val="9"/>
    <w:rPr>
      <w:rFonts w:eastAsiaTheme="majorEastAsia" w:cstheme="majorBidi"/>
      <w:color w:val="104862" w:themeColor="accent1" w:themeShade="BF"/>
    </w:rPr>
  </w:style>
  <w:style w:type="character" w:customStyle="1" w:styleId="45">
    <w:name w:val="标题 6 字符"/>
    <w:basedOn w:val="25"/>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6">
    <w:name w:val="标题 7 字符"/>
    <w:basedOn w:val="25"/>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7">
    <w:name w:val="标题 8 字符"/>
    <w:basedOn w:val="25"/>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8">
    <w:name w:val="标题 9 字符"/>
    <w:basedOn w:val="25"/>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9">
    <w:name w:val="Footnote Block Text"/>
    <w:basedOn w:val="20"/>
    <w:next w:val="20"/>
    <w:unhideWhenUsed/>
    <w:qFormat/>
    <w:uiPriority w:val="9"/>
    <w:pPr>
      <w:spacing w:before="100" w:after="100"/>
      <w:ind w:left="480" w:right="480" w:firstLine="0"/>
    </w:pPr>
  </w:style>
  <w:style w:type="table" w:customStyle="1" w:styleId="5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1">
    <w:name w:val="Definition Term"/>
    <w:basedOn w:val="1"/>
    <w:next w:val="52"/>
    <w:qFormat/>
    <w:uiPriority w:val="0"/>
    <w:pPr>
      <w:keepNext/>
      <w:keepLines/>
    </w:pPr>
    <w:rPr>
      <w:b/>
    </w:rPr>
  </w:style>
  <w:style w:type="paragraph" w:customStyle="1" w:styleId="52">
    <w:name w:val="Definition"/>
    <w:basedOn w:val="1"/>
    <w:qFormat/>
    <w:uiPriority w:val="0"/>
  </w:style>
  <w:style w:type="paragraph" w:customStyle="1" w:styleId="53">
    <w:name w:val="Table Caption"/>
    <w:basedOn w:val="12"/>
    <w:qFormat/>
    <w:uiPriority w:val="0"/>
    <w:pPr>
      <w:keepNext/>
    </w:pPr>
  </w:style>
  <w:style w:type="paragraph" w:customStyle="1" w:styleId="54">
    <w:name w:val="Image Caption"/>
    <w:basedOn w:val="12"/>
    <w:qFormat/>
    <w:uiPriority w:val="0"/>
  </w:style>
  <w:style w:type="paragraph" w:customStyle="1" w:styleId="55">
    <w:name w:val="Figure"/>
    <w:basedOn w:val="1"/>
    <w:qFormat/>
    <w:uiPriority w:val="0"/>
  </w:style>
  <w:style w:type="paragraph" w:customStyle="1" w:styleId="56">
    <w:name w:val="Captioned Figure"/>
    <w:basedOn w:val="55"/>
    <w:qFormat/>
    <w:uiPriority w:val="0"/>
    <w:pPr>
      <w:keepNext/>
    </w:pPr>
  </w:style>
  <w:style w:type="character" w:customStyle="1" w:styleId="57">
    <w:name w:val="Verbatim Char"/>
    <w:basedOn w:val="29"/>
    <w:link w:val="58"/>
    <w:qFormat/>
    <w:uiPriority w:val="0"/>
    <w:rPr>
      <w:rFonts w:ascii="Consolas" w:hAnsi="Consolas"/>
      <w:sz w:val="22"/>
    </w:rPr>
  </w:style>
  <w:style w:type="paragraph" w:customStyle="1" w:styleId="58">
    <w:name w:val="Source Code"/>
    <w:basedOn w:val="1"/>
    <w:link w:val="57"/>
    <w:qFormat/>
    <w:uiPriority w:val="0"/>
    <w:pPr>
      <w:wordWrap w:val="0"/>
    </w:pPr>
  </w:style>
  <w:style w:type="character" w:customStyle="1" w:styleId="59">
    <w:name w:val="Section Number"/>
    <w:basedOn w:val="29"/>
    <w:qFormat/>
    <w:uiPriority w:val="0"/>
  </w:style>
  <w:style w:type="paragraph" w:customStyle="1" w:styleId="60">
    <w:name w:val="TOC 标题1"/>
    <w:basedOn w:val="1"/>
    <w:next w:val="3"/>
    <w:unhideWhenUsed/>
    <w:qFormat/>
    <w:uiPriority w:val="39"/>
    <w:pPr>
      <w:spacing w:before="480" w:after="360" w:line="240" w:lineRule="auto"/>
      <w:ind w:firstLine="0" w:firstLineChars="0"/>
      <w:jc w:val="center"/>
    </w:pPr>
    <w:rPr>
      <w:rFonts w:eastAsia="黑体"/>
      <w:b/>
      <w:color w:val="104862" w:themeColor="accent1" w:themeShade="BF"/>
      <w:sz w:val="32"/>
    </w:rPr>
  </w:style>
  <w:style w:type="character" w:customStyle="1" w:styleId="61">
    <w:name w:val="KeywordTok"/>
    <w:basedOn w:val="57"/>
    <w:qFormat/>
    <w:uiPriority w:val="0"/>
    <w:rPr>
      <w:rFonts w:ascii="Consolas" w:hAnsi="Consolas"/>
      <w:b/>
      <w:color w:val="007020"/>
      <w:sz w:val="22"/>
    </w:rPr>
  </w:style>
  <w:style w:type="character" w:customStyle="1" w:styleId="62">
    <w:name w:val="DataTypeTok"/>
    <w:basedOn w:val="57"/>
    <w:qFormat/>
    <w:uiPriority w:val="0"/>
    <w:rPr>
      <w:rFonts w:ascii="Consolas" w:hAnsi="Consolas"/>
      <w:color w:val="902000"/>
      <w:sz w:val="22"/>
    </w:rPr>
  </w:style>
  <w:style w:type="character" w:customStyle="1" w:styleId="63">
    <w:name w:val="DecValTok"/>
    <w:basedOn w:val="57"/>
    <w:qFormat/>
    <w:uiPriority w:val="0"/>
    <w:rPr>
      <w:rFonts w:ascii="Consolas" w:hAnsi="Consolas"/>
      <w:color w:val="40A070"/>
      <w:sz w:val="22"/>
    </w:rPr>
  </w:style>
  <w:style w:type="character" w:customStyle="1" w:styleId="64">
    <w:name w:val="BaseNTok"/>
    <w:basedOn w:val="57"/>
    <w:qFormat/>
    <w:uiPriority w:val="0"/>
    <w:rPr>
      <w:rFonts w:ascii="Consolas" w:hAnsi="Consolas"/>
      <w:color w:val="40A070"/>
      <w:sz w:val="22"/>
    </w:rPr>
  </w:style>
  <w:style w:type="character" w:customStyle="1" w:styleId="65">
    <w:name w:val="FloatTok"/>
    <w:basedOn w:val="57"/>
    <w:qFormat/>
    <w:uiPriority w:val="0"/>
    <w:rPr>
      <w:rFonts w:ascii="Consolas" w:hAnsi="Consolas"/>
      <w:color w:val="40A070"/>
      <w:sz w:val="22"/>
    </w:rPr>
  </w:style>
  <w:style w:type="character" w:customStyle="1" w:styleId="66">
    <w:name w:val="ConstantTok"/>
    <w:basedOn w:val="57"/>
    <w:qFormat/>
    <w:uiPriority w:val="0"/>
    <w:rPr>
      <w:rFonts w:ascii="Consolas" w:hAnsi="Consolas"/>
      <w:color w:val="880000"/>
      <w:sz w:val="22"/>
    </w:rPr>
  </w:style>
  <w:style w:type="character" w:customStyle="1" w:styleId="67">
    <w:name w:val="CharTok"/>
    <w:basedOn w:val="57"/>
    <w:qFormat/>
    <w:uiPriority w:val="0"/>
    <w:rPr>
      <w:rFonts w:ascii="Consolas" w:hAnsi="Consolas"/>
      <w:color w:val="4070A0"/>
      <w:sz w:val="22"/>
    </w:rPr>
  </w:style>
  <w:style w:type="character" w:customStyle="1" w:styleId="68">
    <w:name w:val="SpecialCharTok"/>
    <w:basedOn w:val="57"/>
    <w:qFormat/>
    <w:uiPriority w:val="0"/>
    <w:rPr>
      <w:rFonts w:ascii="Consolas" w:hAnsi="Consolas"/>
      <w:color w:val="4070A0"/>
      <w:sz w:val="22"/>
    </w:rPr>
  </w:style>
  <w:style w:type="character" w:customStyle="1" w:styleId="69">
    <w:name w:val="StringTok"/>
    <w:basedOn w:val="57"/>
    <w:qFormat/>
    <w:uiPriority w:val="0"/>
    <w:rPr>
      <w:rFonts w:ascii="Consolas" w:hAnsi="Consolas"/>
      <w:color w:val="4070A0"/>
      <w:sz w:val="22"/>
    </w:rPr>
  </w:style>
  <w:style w:type="character" w:customStyle="1" w:styleId="70">
    <w:name w:val="VerbatimStringTok"/>
    <w:basedOn w:val="57"/>
    <w:qFormat/>
    <w:uiPriority w:val="0"/>
    <w:rPr>
      <w:rFonts w:ascii="Consolas" w:hAnsi="Consolas"/>
      <w:color w:val="4070A0"/>
      <w:sz w:val="22"/>
    </w:rPr>
  </w:style>
  <w:style w:type="character" w:customStyle="1" w:styleId="71">
    <w:name w:val="SpecialStringTok"/>
    <w:basedOn w:val="57"/>
    <w:qFormat/>
    <w:uiPriority w:val="0"/>
    <w:rPr>
      <w:rFonts w:ascii="Consolas" w:hAnsi="Consolas"/>
      <w:color w:val="BB6688"/>
      <w:sz w:val="22"/>
    </w:rPr>
  </w:style>
  <w:style w:type="character" w:customStyle="1" w:styleId="72">
    <w:name w:val="ImportTok"/>
    <w:basedOn w:val="57"/>
    <w:qFormat/>
    <w:uiPriority w:val="0"/>
    <w:rPr>
      <w:rFonts w:ascii="Consolas" w:hAnsi="Consolas"/>
      <w:b/>
      <w:color w:val="008000"/>
      <w:sz w:val="22"/>
    </w:rPr>
  </w:style>
  <w:style w:type="character" w:customStyle="1" w:styleId="73">
    <w:name w:val="CommentTok"/>
    <w:basedOn w:val="57"/>
    <w:qFormat/>
    <w:uiPriority w:val="0"/>
    <w:rPr>
      <w:rFonts w:ascii="Consolas" w:hAnsi="Consolas"/>
      <w:i/>
      <w:color w:val="60A0B0"/>
      <w:sz w:val="22"/>
    </w:rPr>
  </w:style>
  <w:style w:type="character" w:customStyle="1" w:styleId="74">
    <w:name w:val="DocumentationTok"/>
    <w:basedOn w:val="57"/>
    <w:qFormat/>
    <w:uiPriority w:val="0"/>
    <w:rPr>
      <w:rFonts w:ascii="Consolas" w:hAnsi="Consolas"/>
      <w:i/>
      <w:color w:val="BA2121"/>
      <w:sz w:val="22"/>
    </w:rPr>
  </w:style>
  <w:style w:type="character" w:customStyle="1" w:styleId="75">
    <w:name w:val="AnnotationTok"/>
    <w:basedOn w:val="57"/>
    <w:qFormat/>
    <w:uiPriority w:val="0"/>
    <w:rPr>
      <w:rFonts w:ascii="Consolas" w:hAnsi="Consolas"/>
      <w:b/>
      <w:i/>
      <w:color w:val="60A0B0"/>
      <w:sz w:val="22"/>
    </w:rPr>
  </w:style>
  <w:style w:type="character" w:customStyle="1" w:styleId="76">
    <w:name w:val="CommentVarTok"/>
    <w:basedOn w:val="57"/>
    <w:qFormat/>
    <w:uiPriority w:val="0"/>
    <w:rPr>
      <w:rFonts w:ascii="Consolas" w:hAnsi="Consolas"/>
      <w:b/>
      <w:i/>
      <w:color w:val="60A0B0"/>
      <w:sz w:val="22"/>
    </w:rPr>
  </w:style>
  <w:style w:type="character" w:customStyle="1" w:styleId="77">
    <w:name w:val="OtherTok"/>
    <w:basedOn w:val="57"/>
    <w:qFormat/>
    <w:uiPriority w:val="0"/>
    <w:rPr>
      <w:rFonts w:ascii="Consolas" w:hAnsi="Consolas"/>
      <w:color w:val="007020"/>
      <w:sz w:val="22"/>
    </w:rPr>
  </w:style>
  <w:style w:type="character" w:customStyle="1" w:styleId="78">
    <w:name w:val="FunctionTok"/>
    <w:basedOn w:val="57"/>
    <w:qFormat/>
    <w:uiPriority w:val="0"/>
    <w:rPr>
      <w:rFonts w:ascii="Consolas" w:hAnsi="Consolas"/>
      <w:color w:val="06287E"/>
      <w:sz w:val="22"/>
    </w:rPr>
  </w:style>
  <w:style w:type="character" w:customStyle="1" w:styleId="79">
    <w:name w:val="VariableTok"/>
    <w:basedOn w:val="57"/>
    <w:qFormat/>
    <w:uiPriority w:val="0"/>
    <w:rPr>
      <w:rFonts w:ascii="Consolas" w:hAnsi="Consolas"/>
      <w:color w:val="19177C"/>
      <w:sz w:val="22"/>
    </w:rPr>
  </w:style>
  <w:style w:type="character" w:customStyle="1" w:styleId="80">
    <w:name w:val="ControlFlowTok"/>
    <w:basedOn w:val="57"/>
    <w:qFormat/>
    <w:uiPriority w:val="0"/>
    <w:rPr>
      <w:rFonts w:ascii="Consolas" w:hAnsi="Consolas"/>
      <w:b/>
      <w:color w:val="007020"/>
      <w:sz w:val="22"/>
    </w:rPr>
  </w:style>
  <w:style w:type="character" w:customStyle="1" w:styleId="81">
    <w:name w:val="OperatorTok"/>
    <w:basedOn w:val="57"/>
    <w:qFormat/>
    <w:uiPriority w:val="0"/>
    <w:rPr>
      <w:rFonts w:ascii="Consolas" w:hAnsi="Consolas"/>
      <w:color w:val="666666"/>
      <w:sz w:val="22"/>
    </w:rPr>
  </w:style>
  <w:style w:type="character" w:customStyle="1" w:styleId="82">
    <w:name w:val="BuiltInTok"/>
    <w:basedOn w:val="57"/>
    <w:qFormat/>
    <w:uiPriority w:val="0"/>
    <w:rPr>
      <w:rFonts w:ascii="Consolas" w:hAnsi="Consolas"/>
      <w:color w:val="008000"/>
      <w:sz w:val="22"/>
    </w:rPr>
  </w:style>
  <w:style w:type="character" w:customStyle="1" w:styleId="83">
    <w:name w:val="ExtensionTok"/>
    <w:basedOn w:val="57"/>
    <w:qFormat/>
    <w:uiPriority w:val="0"/>
    <w:rPr>
      <w:rFonts w:ascii="Consolas" w:hAnsi="Consolas"/>
      <w:sz w:val="22"/>
    </w:rPr>
  </w:style>
  <w:style w:type="character" w:customStyle="1" w:styleId="84">
    <w:name w:val="PreprocessorTok"/>
    <w:basedOn w:val="57"/>
    <w:qFormat/>
    <w:uiPriority w:val="0"/>
    <w:rPr>
      <w:rFonts w:ascii="Consolas" w:hAnsi="Consolas"/>
      <w:color w:val="BC7A00"/>
      <w:sz w:val="22"/>
    </w:rPr>
  </w:style>
  <w:style w:type="character" w:customStyle="1" w:styleId="85">
    <w:name w:val="AttributeTok"/>
    <w:basedOn w:val="57"/>
    <w:qFormat/>
    <w:uiPriority w:val="0"/>
    <w:rPr>
      <w:rFonts w:ascii="Consolas" w:hAnsi="Consolas"/>
      <w:color w:val="7D9029"/>
      <w:sz w:val="22"/>
    </w:rPr>
  </w:style>
  <w:style w:type="character" w:customStyle="1" w:styleId="86">
    <w:name w:val="RegionMarkerTok"/>
    <w:basedOn w:val="57"/>
    <w:qFormat/>
    <w:uiPriority w:val="0"/>
    <w:rPr>
      <w:rFonts w:ascii="Consolas" w:hAnsi="Consolas"/>
      <w:sz w:val="22"/>
    </w:rPr>
  </w:style>
  <w:style w:type="character" w:customStyle="1" w:styleId="87">
    <w:name w:val="InformationTok"/>
    <w:basedOn w:val="57"/>
    <w:qFormat/>
    <w:uiPriority w:val="0"/>
    <w:rPr>
      <w:rFonts w:ascii="Consolas" w:hAnsi="Consolas"/>
      <w:b/>
      <w:i/>
      <w:color w:val="60A0B0"/>
      <w:sz w:val="22"/>
    </w:rPr>
  </w:style>
  <w:style w:type="character" w:customStyle="1" w:styleId="88">
    <w:name w:val="WarningTok"/>
    <w:basedOn w:val="57"/>
    <w:qFormat/>
    <w:uiPriority w:val="0"/>
    <w:rPr>
      <w:rFonts w:ascii="Consolas" w:hAnsi="Consolas"/>
      <w:b/>
      <w:i/>
      <w:color w:val="60A0B0"/>
      <w:sz w:val="22"/>
    </w:rPr>
  </w:style>
  <w:style w:type="character" w:customStyle="1" w:styleId="89">
    <w:name w:val="AlertTok"/>
    <w:basedOn w:val="57"/>
    <w:qFormat/>
    <w:uiPriority w:val="0"/>
    <w:rPr>
      <w:rFonts w:ascii="Consolas" w:hAnsi="Consolas"/>
      <w:b/>
      <w:color w:val="FF0000"/>
      <w:sz w:val="22"/>
    </w:rPr>
  </w:style>
  <w:style w:type="character" w:customStyle="1" w:styleId="90">
    <w:name w:val="ErrorTok"/>
    <w:basedOn w:val="57"/>
    <w:qFormat/>
    <w:uiPriority w:val="0"/>
    <w:rPr>
      <w:rFonts w:ascii="Consolas" w:hAnsi="Consolas"/>
      <w:b/>
      <w:color w:val="FF0000"/>
      <w:sz w:val="22"/>
    </w:rPr>
  </w:style>
  <w:style w:type="character" w:customStyle="1" w:styleId="91">
    <w:name w:val="NormalTok"/>
    <w:basedOn w:val="57"/>
    <w:qFormat/>
    <w:uiPriority w:val="0"/>
    <w:rPr>
      <w:rFonts w:ascii="Consolas" w:hAnsi="Consolas"/>
      <w:sz w:val="22"/>
    </w:rPr>
  </w:style>
  <w:style w:type="paragraph" w:customStyle="1" w:styleId="92">
    <w:name w:val="code_block"/>
    <w:qFormat/>
    <w:uiPriority w:val="0"/>
    <w:pPr>
      <w:spacing w:line="320" w:lineRule="exact"/>
    </w:pPr>
    <w:rPr>
      <w:rFonts w:ascii="Consolas" w:hAnsi="Consolas" w:eastAsia="Consolas" w:cs="Consolas"/>
      <w:color w:val="000000"/>
      <w:lang w:val="en-US" w:eastAsia="en-US" w:bidi="ar-SA"/>
    </w:rPr>
  </w:style>
  <w:style w:type="paragraph" w:customStyle="1" w:styleId="93">
    <w:name w:val="figure_caption"/>
    <w:qFormat/>
    <w:uiPriority w:val="0"/>
    <w:pPr>
      <w:spacing w:before="120" w:after="240"/>
      <w:jc w:val="center"/>
    </w:pPr>
    <w:rPr>
      <w:rFonts w:ascii="Times New Roman" w:hAnsi="Times New Roman" w:eastAsia="宋体" w:cs="Times New Roman"/>
      <w:color w:val="000000"/>
      <w:sz w:val="21"/>
      <w:szCs w:val="21"/>
      <w:lang w:val="en-US" w:eastAsia="en-US" w:bidi="ar-SA"/>
    </w:rPr>
  </w:style>
  <w:style w:type="paragraph" w:customStyle="1" w:styleId="94">
    <w:name w:val="table_caption"/>
    <w:qFormat/>
    <w:uiPriority w:val="0"/>
    <w:pPr>
      <w:spacing w:before="120" w:after="120"/>
      <w:jc w:val="center"/>
    </w:pPr>
    <w:rPr>
      <w:rFonts w:ascii="Times New Roman" w:hAnsi="Times New Roman" w:eastAsia="宋体" w:cs="Times New Roman"/>
      <w:color w:val="000000"/>
      <w:sz w:val="21"/>
      <w:szCs w:val="21"/>
      <w:lang w:val="en-US" w:eastAsia="en-US" w:bidi="ar-SA"/>
    </w:rPr>
  </w:style>
  <w:style w:type="paragraph" w:customStyle="1" w:styleId="95">
    <w:name w:val="TOC 11"/>
    <w:qFormat/>
    <w:uiPriority w:val="0"/>
    <w:pPr>
      <w:spacing w:before="120"/>
      <w:jc w:val="both"/>
    </w:pPr>
    <w:rPr>
      <w:rFonts w:ascii="Times New Roman" w:hAnsi="Times New Roman" w:eastAsia="宋体" w:cs="Times New Roman"/>
      <w:sz w:val="28"/>
      <w:szCs w:val="24"/>
      <w:lang w:val="en-US" w:eastAsia="en-US" w:bidi="ar-SA"/>
    </w:rPr>
  </w:style>
  <w:style w:type="paragraph" w:customStyle="1" w:styleId="96">
    <w:name w:val="TOC 21"/>
    <w:qFormat/>
    <w:uiPriority w:val="0"/>
    <w:pPr>
      <w:spacing w:before="120"/>
      <w:ind w:left="100" w:leftChars="100"/>
      <w:jc w:val="both"/>
    </w:pPr>
    <w:rPr>
      <w:rFonts w:ascii="Times New Roman" w:hAnsi="Times New Roman" w:eastAsia="宋体" w:cs="Times New Roman"/>
      <w:sz w:val="24"/>
      <w:szCs w:val="24"/>
      <w:lang w:val="en-US" w:eastAsia="en-US" w:bidi="ar-SA"/>
    </w:rPr>
  </w:style>
  <w:style w:type="paragraph" w:customStyle="1" w:styleId="97">
    <w:name w:val="TOC 31"/>
    <w:qFormat/>
    <w:uiPriority w:val="0"/>
    <w:pPr>
      <w:spacing w:before="120"/>
      <w:ind w:left="200" w:leftChars="200"/>
      <w:jc w:val="both"/>
    </w:pPr>
    <w:rPr>
      <w:rFonts w:ascii="Times New Roman" w:hAnsi="Times New Roman" w:eastAsia="宋体" w:cs="Times New Roman"/>
      <w:sz w:val="21"/>
      <w:szCs w:val="24"/>
      <w:lang w:val="en-US" w:eastAsia="en-US" w:bidi="ar-SA"/>
    </w:rPr>
  </w:style>
  <w:style w:type="character" w:customStyle="1" w:styleId="98">
    <w:name w:val="页眉 字符"/>
    <w:basedOn w:val="25"/>
    <w:link w:val="17"/>
    <w:qFormat/>
    <w:uiPriority w:val="0"/>
    <w:rPr>
      <w:rFonts w:ascii="Times New Roman" w:hAnsi="Times New Roman" w:eastAsia="宋体" w:cs="Times New Roman"/>
      <w:color w:val="000000"/>
      <w:sz w:val="18"/>
      <w:szCs w:val="18"/>
      <w:lang w:eastAsia="en-US"/>
    </w:rPr>
  </w:style>
  <w:style w:type="character" w:customStyle="1" w:styleId="99">
    <w:name w:val="页脚 字符"/>
    <w:basedOn w:val="25"/>
    <w:link w:val="16"/>
    <w:qFormat/>
    <w:uiPriority w:val="0"/>
    <w:rPr>
      <w:rFonts w:ascii="Times New Roman" w:hAnsi="Times New Roman" w:eastAsia="宋体" w:cs="Times New Roman"/>
      <w:color w:val="000000"/>
      <w:sz w:val="18"/>
      <w:szCs w:val="18"/>
      <w:lang w:eastAsia="en-US"/>
    </w:rPr>
  </w:style>
  <w:style w:type="paragraph" w:styleId="100">
    <w:name w:val="List Paragraph"/>
    <w:basedOn w:val="1"/>
    <w:unhideWhenUsed/>
    <w:qFormat/>
    <w:uiPriority w:val="99"/>
    <w:pPr>
      <w:ind w:firstLine="420"/>
    </w:pPr>
  </w:style>
  <w:style w:type="paragraph" w:customStyle="1" w:styleId="101">
    <w:name w:val="修订1"/>
    <w:hidden/>
    <w:unhideWhenUsed/>
    <w:qFormat/>
    <w:uiPriority w:val="99"/>
    <w:rPr>
      <w:rFonts w:ascii="Times New Roman" w:hAnsi="Times New Roman" w:eastAsia="宋体" w:cs="Times New Roman"/>
      <w:color w:val="000000"/>
      <w:sz w:val="24"/>
      <w:szCs w:val="24"/>
      <w:lang w:val="en-US" w:eastAsia="en-US" w:bidi="ar-SA"/>
    </w:rPr>
  </w:style>
  <w:style w:type="paragraph" w:customStyle="1" w:styleId="102">
    <w:name w:val="Heading 1 Unnumbered"/>
    <w:basedOn w:val="1"/>
    <w:qFormat/>
    <w:uiPriority w:val="0"/>
    <w:pPr>
      <w:ind w:firstLine="0" w:firstLineChars="0"/>
      <w:outlineLvl w:val="0"/>
    </w:pPr>
  </w:style>
  <w:style w:type="character" w:customStyle="1" w:styleId="103">
    <w:name w:val="批注文字 字符"/>
    <w:basedOn w:val="25"/>
    <w:link w:val="13"/>
    <w:qFormat/>
    <w:uiPriority w:val="0"/>
    <w:rPr>
      <w:color w:val="000000"/>
      <w:sz w:val="24"/>
      <w:szCs w:val="24"/>
      <w:lang w:eastAsia="en-US"/>
    </w:rPr>
  </w:style>
  <w:style w:type="character" w:customStyle="1" w:styleId="104">
    <w:name w:val="批注主题 字符"/>
    <w:basedOn w:val="103"/>
    <w:link w:val="22"/>
    <w:qFormat/>
    <w:uiPriority w:val="0"/>
    <w:rPr>
      <w:b/>
      <w:bCs/>
      <w:color w:val="00000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0.tiff"/><Relationship Id="rId30" Type="http://schemas.openxmlformats.org/officeDocument/2006/relationships/image" Target="media/image19.tiff"/><Relationship Id="rId3" Type="http://schemas.openxmlformats.org/officeDocument/2006/relationships/footnotes" Target="footnotes.xml"/><Relationship Id="rId29" Type="http://schemas.openxmlformats.org/officeDocument/2006/relationships/image" Target="media/image18.svg"/><Relationship Id="rId28" Type="http://schemas.openxmlformats.org/officeDocument/2006/relationships/image" Target="media/image17.png"/><Relationship Id="rId27" Type="http://schemas.openxmlformats.org/officeDocument/2006/relationships/image" Target="media/image16.svg"/><Relationship Id="rId26" Type="http://schemas.openxmlformats.org/officeDocument/2006/relationships/image" Target="media/image15.png"/><Relationship Id="rId25" Type="http://schemas.openxmlformats.org/officeDocument/2006/relationships/image" Target="media/image14.svg"/><Relationship Id="rId24" Type="http://schemas.openxmlformats.org/officeDocument/2006/relationships/image" Target="media/image13.png"/><Relationship Id="rId23" Type="http://schemas.openxmlformats.org/officeDocument/2006/relationships/image" Target="media/image12.svg"/><Relationship Id="rId22" Type="http://schemas.openxmlformats.org/officeDocument/2006/relationships/image" Target="media/image11.png"/><Relationship Id="rId21" Type="http://schemas.openxmlformats.org/officeDocument/2006/relationships/image" Target="media/image10.sv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tiff"/><Relationship Id="rId18" Type="http://schemas.openxmlformats.org/officeDocument/2006/relationships/image" Target="media/image7.tiff"/><Relationship Id="rId17" Type="http://schemas.openxmlformats.org/officeDocument/2006/relationships/image" Target="media/image6.tiff"/><Relationship Id="rId16" Type="http://schemas.openxmlformats.org/officeDocument/2006/relationships/image" Target="media/image5.tiff"/><Relationship Id="rId15" Type="http://schemas.openxmlformats.org/officeDocument/2006/relationships/image" Target="media/image4.svg"/><Relationship Id="rId14" Type="http://schemas.openxmlformats.org/officeDocument/2006/relationships/image" Target="media/image3.png"/><Relationship Id="rId13" Type="http://schemas.openxmlformats.org/officeDocument/2006/relationships/image" Target="media/image2.sv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E3841-28EB-4272-9FCA-634D5302ABF4}">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4281</Words>
  <Characters>6794</Characters>
  <Lines>107</Lines>
  <Paragraphs>30</Paragraphs>
  <TotalTime>19</TotalTime>
  <ScaleCrop>false</ScaleCrop>
  <LinksUpToDate>false</LinksUpToDate>
  <CharactersWithSpaces>7342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2026-05-07T09:16:00Z</dcterms:created>
  <dc:creator>MING.</dc:creator>
  <cp:lastModifiedBy>MING.</cp:lastModifiedBy>
  <dcterms:modified xsi:type="dcterms:W3CDTF">2026-05-27T15:07:31Z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eyJoZGlkIjoiMGM1NjllODRiOTlhYzQ5OGVjZWFkYTcwMGVhNzI0NzYiLCJ1c2VySWQiOiIyOTY4NjIyNiJ9</vt:lpwstr>
  </property>
  <property fmtid="{D5CDD505-2E9C-101B-9397-08002B2CF9AE}" pid="3" name="KSOProductBuildVer">
    <vt:lpwstr>2052-12.1.0.25865</vt:lpwstr>
  </property>
  <property fmtid="{D5CDD505-2E9C-101B-9397-08002B2CF9AE}" pid="4" name="ICV">
    <vt:lpwstr>73B57A45654A413880B278949C96014C_13</vt:lpwstr>
  </property>
</Properties>
</file>