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WOLSELEY AVENUE E6 — PROJECT SURVEY AND FEASIBILITY PACK</w:t>
      </w:r>
    </w:p>
    <w:p>
      <w:pPr>
        <w:jc w:val="center"/>
      </w:pPr>
      <w:r>
        <w:rPr>
          <w:i/>
          <w:sz w:val="21"/>
        </w:rPr>
        <w:t>Expanded working blueprint for option development, proposal preparation, and CAD / drafting coordination</w:t>
      </w:r>
    </w:p>
    <w:p>
      <w:pPr>
        <w:pStyle w:val="Heading1"/>
        <w:spacing w:before="120" w:after="40"/>
      </w:pPr>
      <w:r>
        <w:t>Document Control</w:t>
      </w:r>
    </w:p>
    <w:tbl>
      <w:tblPr>
        <w:tblStyle w:val="TableGrid"/>
        <w:tblW w:type="auto" w:w="0"/>
        <w:tblLook w:firstColumn="1" w:firstRow="1" w:lastColumn="0" w:lastRow="0" w:noHBand="0" w:noVBand="1" w:val="04A0"/>
      </w:tblPr>
      <w:tblGrid>
        <w:gridCol w:w="5328"/>
        <w:gridCol w:w="5328"/>
      </w:tblGrid>
      <w:tr>
        <w:tc>
          <w:tcPr>
            <w:tcW w:type="dxa" w:w="5328"/>
            <w:shd w:fill="D9EAF7"/>
            <w:tcMar>
              <w:top w:w="55" w:type="dxa"/>
              <w:start w:w="60" w:type="dxa"/>
              <w:bottom w:w="55" w:type="dxa"/>
              <w:end w:w="60" w:type="dxa"/>
            </w:tcMar>
          </w:tcPr>
          <w:p>
            <w:r>
              <w:rPr>
                <w:sz w:val="19"/>
              </w:rPr>
              <w:t>File name</w:t>
            </w:r>
          </w:p>
        </w:tc>
        <w:tc>
          <w:tcPr>
            <w:tcW w:type="dxa" w:w="5328"/>
            <w:tcMar>
              <w:top w:w="55" w:type="dxa"/>
              <w:start w:w="60" w:type="dxa"/>
              <w:bottom w:w="55" w:type="dxa"/>
              <w:end w:w="60" w:type="dxa"/>
            </w:tcMar>
          </w:tcPr>
          <w:p>
            <w:r>
              <w:rPr>
                <w:sz w:val="19"/>
              </w:rPr>
              <w:t>Wolseley Avenue E6 - Project Survey and Feasibility Pack - v3.docx</w:t>
            </w:r>
          </w:p>
        </w:tc>
      </w:tr>
      <w:tr>
        <w:tc>
          <w:tcPr>
            <w:tcW w:type="dxa" w:w="5328"/>
            <w:shd w:fill="D9EAF7"/>
            <w:tcMar>
              <w:top w:w="55" w:type="dxa"/>
              <w:start w:w="60" w:type="dxa"/>
              <w:bottom w:w="55" w:type="dxa"/>
              <w:end w:w="60" w:type="dxa"/>
            </w:tcMar>
          </w:tcPr>
          <w:p>
            <w:r>
              <w:rPr>
                <w:sz w:val="19"/>
              </w:rPr>
              <w:t>Version</w:t>
            </w:r>
          </w:p>
        </w:tc>
        <w:tc>
          <w:tcPr>
            <w:tcW w:type="dxa" w:w="5328"/>
            <w:tcMar>
              <w:top w:w="55" w:type="dxa"/>
              <w:start w:w="60" w:type="dxa"/>
              <w:bottom w:w="55" w:type="dxa"/>
              <w:end w:w="60" w:type="dxa"/>
            </w:tcMar>
          </w:tcPr>
          <w:p>
            <w:r>
              <w:rPr>
                <w:sz w:val="19"/>
              </w:rPr>
              <w:t>v3</w:t>
            </w:r>
          </w:p>
        </w:tc>
      </w:tr>
      <w:tr>
        <w:tc>
          <w:tcPr>
            <w:tcW w:type="dxa" w:w="5328"/>
            <w:shd w:fill="D9EAF7"/>
            <w:tcMar>
              <w:top w:w="55" w:type="dxa"/>
              <w:start w:w="60" w:type="dxa"/>
              <w:bottom w:w="55" w:type="dxa"/>
              <w:end w:w="60" w:type="dxa"/>
            </w:tcMar>
          </w:tcPr>
          <w:p>
            <w:r>
              <w:rPr>
                <w:sz w:val="19"/>
              </w:rPr>
              <w:t>Status</w:t>
            </w:r>
          </w:p>
        </w:tc>
        <w:tc>
          <w:tcPr>
            <w:tcW w:type="dxa" w:w="5328"/>
            <w:tcMar>
              <w:top w:w="55" w:type="dxa"/>
              <w:start w:w="60" w:type="dxa"/>
              <w:bottom w:w="55" w:type="dxa"/>
              <w:end w:w="60" w:type="dxa"/>
            </w:tcMar>
          </w:tcPr>
          <w:p>
            <w:r>
              <w:rPr>
                <w:sz w:val="19"/>
              </w:rPr>
              <w:t>Current issue</w:t>
            </w:r>
          </w:p>
        </w:tc>
      </w:tr>
      <w:tr>
        <w:tc>
          <w:tcPr>
            <w:tcW w:type="dxa" w:w="5328"/>
            <w:shd w:fill="D9EAF7"/>
            <w:tcMar>
              <w:top w:w="55" w:type="dxa"/>
              <w:start w:w="60" w:type="dxa"/>
              <w:bottom w:w="55" w:type="dxa"/>
              <w:end w:w="60" w:type="dxa"/>
            </w:tcMar>
          </w:tcPr>
          <w:p>
            <w:r>
              <w:rPr>
                <w:sz w:val="19"/>
              </w:rPr>
              <w:t>Date</w:t>
            </w:r>
          </w:p>
        </w:tc>
        <w:tc>
          <w:tcPr>
            <w:tcW w:type="dxa" w:w="5328"/>
            <w:tcMar>
              <w:top w:w="55" w:type="dxa"/>
              <w:start w:w="60" w:type="dxa"/>
              <w:bottom w:w="55" w:type="dxa"/>
              <w:end w:w="60" w:type="dxa"/>
            </w:tcMar>
          </w:tcPr>
          <w:p>
            <w:r>
              <w:rPr>
                <w:sz w:val="19"/>
              </w:rPr>
              <w:t>15 April 2026</w:t>
            </w:r>
          </w:p>
        </w:tc>
      </w:tr>
      <w:tr>
        <w:tc>
          <w:tcPr>
            <w:tcW w:type="dxa" w:w="5328"/>
            <w:shd w:fill="D9EAF7"/>
            <w:tcMar>
              <w:top w:w="55" w:type="dxa"/>
              <w:start w:w="60" w:type="dxa"/>
              <w:bottom w:w="55" w:type="dxa"/>
              <w:end w:w="60" w:type="dxa"/>
            </w:tcMar>
          </w:tcPr>
          <w:p>
            <w:r>
              <w:rPr>
                <w:sz w:val="19"/>
              </w:rPr>
              <w:t>Project ID</w:t>
            </w:r>
          </w:p>
        </w:tc>
        <w:tc>
          <w:tcPr>
            <w:tcW w:type="dxa" w:w="5328"/>
            <w:tcMar>
              <w:top w:w="55" w:type="dxa"/>
              <w:start w:w="60" w:type="dxa"/>
              <w:bottom w:w="55" w:type="dxa"/>
              <w:end w:w="60" w:type="dxa"/>
            </w:tcMar>
          </w:tcPr>
          <w:p>
            <w:r>
              <w:rPr>
                <w:sz w:val="19"/>
              </w:rPr>
              <w:t>[To be assigned on upload]</w:t>
            </w:r>
          </w:p>
        </w:tc>
      </w:tr>
      <w:tr>
        <w:tc>
          <w:tcPr>
            <w:tcW w:type="dxa" w:w="5328"/>
            <w:shd w:fill="D9EAF7"/>
            <w:tcMar>
              <w:top w:w="55" w:type="dxa"/>
              <w:start w:w="60" w:type="dxa"/>
              <w:bottom w:w="55" w:type="dxa"/>
              <w:end w:w="60" w:type="dxa"/>
            </w:tcMar>
          </w:tcPr>
          <w:p>
            <w:r>
              <w:rPr>
                <w:sz w:val="19"/>
              </w:rPr>
              <w:t>Project name</w:t>
            </w:r>
          </w:p>
        </w:tc>
        <w:tc>
          <w:tcPr>
            <w:tcW w:type="dxa" w:w="5328"/>
            <w:tcMar>
              <w:top w:w="55" w:type="dxa"/>
              <w:start w:w="60" w:type="dxa"/>
              <w:bottom w:w="55" w:type="dxa"/>
              <w:end w:w="60" w:type="dxa"/>
            </w:tcMar>
          </w:tcPr>
          <w:p>
            <w:r>
              <w:rPr>
                <w:sz w:val="19"/>
              </w:rPr>
              <w:t>Wolseley Avenue E6 — HMO Reconfiguration / Feasibility Review</w:t>
            </w:r>
          </w:p>
        </w:tc>
      </w:tr>
      <w:tr>
        <w:tc>
          <w:tcPr>
            <w:tcW w:type="dxa" w:w="5328"/>
            <w:shd w:fill="D9EAF7"/>
            <w:tcMar>
              <w:top w:w="55" w:type="dxa"/>
              <w:start w:w="60" w:type="dxa"/>
              <w:bottom w:w="55" w:type="dxa"/>
              <w:end w:w="60" w:type="dxa"/>
            </w:tcMar>
          </w:tcPr>
          <w:p>
            <w:r>
              <w:rPr>
                <w:sz w:val="19"/>
              </w:rPr>
              <w:t>Site / address</w:t>
            </w:r>
          </w:p>
        </w:tc>
        <w:tc>
          <w:tcPr>
            <w:tcW w:type="dxa" w:w="5328"/>
            <w:tcMar>
              <w:top w:w="55" w:type="dxa"/>
              <w:start w:w="60" w:type="dxa"/>
              <w:bottom w:w="55" w:type="dxa"/>
              <w:end w:w="60" w:type="dxa"/>
            </w:tcMar>
          </w:tcPr>
          <w:p>
            <w:r>
              <w:rPr>
                <w:sz w:val="19"/>
              </w:rPr>
              <w:t>Wolseley Avenue, E6, London (exact number to confirm)</w:t>
            </w:r>
          </w:p>
        </w:tc>
      </w:tr>
      <w:tr>
        <w:tc>
          <w:tcPr>
            <w:tcW w:type="dxa" w:w="5328"/>
            <w:shd w:fill="D9EAF7"/>
            <w:tcMar>
              <w:top w:w="55" w:type="dxa"/>
              <w:start w:w="60" w:type="dxa"/>
              <w:bottom w:w="55" w:type="dxa"/>
              <w:end w:w="60" w:type="dxa"/>
            </w:tcMar>
          </w:tcPr>
          <w:p>
            <w:r>
              <w:rPr>
                <w:sz w:val="19"/>
              </w:rPr>
              <w:t>Owner / lead</w:t>
            </w:r>
          </w:p>
        </w:tc>
        <w:tc>
          <w:tcPr>
            <w:tcW w:type="dxa" w:w="5328"/>
            <w:tcMar>
              <w:top w:w="55" w:type="dxa"/>
              <w:start w:w="60" w:type="dxa"/>
              <w:bottom w:w="55" w:type="dxa"/>
              <w:end w:w="60" w:type="dxa"/>
            </w:tcMar>
          </w:tcPr>
          <w:p>
            <w:r>
              <w:rPr>
                <w:sz w:val="19"/>
              </w:rPr>
              <w:t>Zafer Khan</w:t>
            </w:r>
          </w:p>
        </w:tc>
      </w:tr>
      <w:tr>
        <w:tc>
          <w:tcPr>
            <w:tcW w:type="dxa" w:w="5328"/>
            <w:shd w:fill="D9EAF7"/>
            <w:tcMar>
              <w:top w:w="55" w:type="dxa"/>
              <w:start w:w="60" w:type="dxa"/>
              <w:bottom w:w="55" w:type="dxa"/>
              <w:end w:w="60" w:type="dxa"/>
            </w:tcMar>
          </w:tcPr>
          <w:p>
            <w:r>
              <w:rPr>
                <w:sz w:val="19"/>
              </w:rPr>
              <w:t>Prepared / reviewed by</w:t>
            </w:r>
          </w:p>
        </w:tc>
        <w:tc>
          <w:tcPr>
            <w:tcW w:type="dxa" w:w="5328"/>
            <w:tcMar>
              <w:top w:w="55" w:type="dxa"/>
              <w:start w:w="60" w:type="dxa"/>
              <w:bottom w:w="55" w:type="dxa"/>
              <w:end w:w="60" w:type="dxa"/>
            </w:tcMar>
          </w:tcPr>
          <w:p>
            <w:r>
              <w:rPr>
                <w:sz w:val="19"/>
              </w:rPr>
              <w:t>Zafer Khan / Mike / Zakir</w:t>
            </w:r>
          </w:p>
        </w:tc>
      </w:tr>
    </w:tbl>
    <w:p>
      <w:r>
        <w:rPr>
          <w:b/>
        </w:rPr>
        <w:t xml:space="preserve">Purpose: </w:t>
      </w:r>
      <w:r>
        <w:t>Live project pack for Wolseley Avenue. This issue is intended to act as a working blueprint for the written client proposal, drawing options, CAD instructions, and next-step coordination.</w:t>
      </w:r>
    </w:p>
    <w:p>
      <w:pPr>
        <w:pStyle w:val="Heading1"/>
        <w:spacing w:before="120" w:after="40"/>
      </w:pPr>
      <w:r>
        <w:t>Version Control</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B7DEE8"/>
          </w:tcPr>
          <w:p>
            <w:r>
              <w:rPr>
                <w:b/>
                <w:sz w:val="18"/>
              </w:rPr>
              <w:t>Version</w:t>
            </w:r>
          </w:p>
        </w:tc>
        <w:tc>
          <w:tcPr>
            <w:tcW w:type="dxa" w:w="2131"/>
            <w:shd w:fill="B7DEE8"/>
          </w:tcPr>
          <w:p>
            <w:r>
              <w:rPr>
                <w:b/>
                <w:sz w:val="18"/>
              </w:rPr>
              <w:t>Date</w:t>
            </w:r>
          </w:p>
        </w:tc>
        <w:tc>
          <w:tcPr>
            <w:tcW w:type="dxa" w:w="2131"/>
            <w:shd w:fill="B7DEE8"/>
          </w:tcPr>
          <w:p>
            <w:r>
              <w:rPr>
                <w:b/>
                <w:sz w:val="18"/>
              </w:rPr>
              <w:t>Status</w:t>
            </w:r>
          </w:p>
        </w:tc>
        <w:tc>
          <w:tcPr>
            <w:tcW w:type="dxa" w:w="2131"/>
            <w:shd w:fill="B7DEE8"/>
          </w:tcPr>
          <w:p>
            <w:r>
              <w:rPr>
                <w:b/>
                <w:sz w:val="18"/>
              </w:rPr>
              <w:t>Owner</w:t>
            </w:r>
          </w:p>
        </w:tc>
        <w:tc>
          <w:tcPr>
            <w:tcW w:type="dxa" w:w="2131"/>
            <w:shd w:fill="B7DEE8"/>
          </w:tcPr>
          <w:p>
            <w:r>
              <w:rPr>
                <w:b/>
                <w:sz w:val="18"/>
              </w:rPr>
              <w:t>Change summary</w:t>
            </w:r>
          </w:p>
        </w:tc>
      </w:tr>
      <w:tr>
        <w:tc>
          <w:tcPr>
            <w:tcW w:type="dxa" w:w="2131"/>
            <w:tcMar>
              <w:top w:w="45" w:type="dxa"/>
              <w:start w:w="45" w:type="dxa"/>
              <w:bottom w:w="45" w:type="dxa"/>
              <w:end w:w="45" w:type="dxa"/>
            </w:tcMar>
          </w:tcPr>
          <w:p>
            <w:r>
              <w:rPr>
                <w:sz w:val="19"/>
              </w:rPr>
              <w:t>v1</w:t>
            </w:r>
          </w:p>
        </w:tc>
        <w:tc>
          <w:tcPr>
            <w:tcW w:type="dxa" w:w="2131"/>
            <w:tcMar>
              <w:top w:w="45" w:type="dxa"/>
              <w:start w:w="45" w:type="dxa"/>
              <w:bottom w:w="45" w:type="dxa"/>
              <w:end w:w="45" w:type="dxa"/>
            </w:tcMar>
          </w:tcPr>
          <w:p>
            <w:r>
              <w:rPr>
                <w:sz w:val="19"/>
              </w:rPr>
              <w:t>15 April 2026</w:t>
            </w:r>
          </w:p>
        </w:tc>
        <w:tc>
          <w:tcPr>
            <w:tcW w:type="dxa" w:w="2131"/>
            <w:tcMar>
              <w:top w:w="45" w:type="dxa"/>
              <w:start w:w="45" w:type="dxa"/>
              <w:bottom w:w="45" w:type="dxa"/>
              <w:end w:w="45" w:type="dxa"/>
            </w:tcMar>
          </w:tcPr>
          <w:p>
            <w:r>
              <w:rPr>
                <w:sz w:val="19"/>
              </w:rPr>
              <w:t>Superseded</w:t>
            </w:r>
          </w:p>
        </w:tc>
        <w:tc>
          <w:tcPr>
            <w:tcW w:type="dxa" w:w="2131"/>
            <w:tcMar>
              <w:top w:w="45" w:type="dxa"/>
              <w:start w:w="45" w:type="dxa"/>
              <w:bottom w:w="45" w:type="dxa"/>
              <w:end w:w="45" w:type="dxa"/>
            </w:tcMar>
          </w:tcPr>
          <w:p>
            <w:r>
              <w:rPr>
                <w:sz w:val="19"/>
              </w:rPr>
              <w:t>Zafer Khan</w:t>
            </w:r>
          </w:p>
        </w:tc>
        <w:tc>
          <w:tcPr>
            <w:tcW w:type="dxa" w:w="2131"/>
            <w:tcMar>
              <w:top w:w="45" w:type="dxa"/>
              <w:start w:w="45" w:type="dxa"/>
              <w:bottom w:w="45" w:type="dxa"/>
              <w:end w:w="45" w:type="dxa"/>
            </w:tcMar>
          </w:tcPr>
          <w:p>
            <w:r>
              <w:rPr>
                <w:sz w:val="19"/>
              </w:rPr>
              <w:t>Initial Wolseley-specific project pack issued.</w:t>
            </w:r>
          </w:p>
        </w:tc>
      </w:tr>
      <w:tr>
        <w:tc>
          <w:tcPr>
            <w:tcW w:type="dxa" w:w="2131"/>
            <w:tcMar>
              <w:top w:w="45" w:type="dxa"/>
              <w:start w:w="45" w:type="dxa"/>
              <w:bottom w:w="45" w:type="dxa"/>
              <w:end w:w="45" w:type="dxa"/>
            </w:tcMar>
          </w:tcPr>
          <w:p>
            <w:r>
              <w:rPr>
                <w:sz w:val="19"/>
              </w:rPr>
              <w:t>v2</w:t>
            </w:r>
          </w:p>
        </w:tc>
        <w:tc>
          <w:tcPr>
            <w:tcW w:type="dxa" w:w="2131"/>
            <w:tcMar>
              <w:top w:w="45" w:type="dxa"/>
              <w:start w:w="45" w:type="dxa"/>
              <w:bottom w:w="45" w:type="dxa"/>
              <w:end w:w="45" w:type="dxa"/>
            </w:tcMar>
          </w:tcPr>
          <w:p>
            <w:r>
              <w:rPr>
                <w:sz w:val="19"/>
              </w:rPr>
              <w:t>15 April 2026</w:t>
            </w:r>
          </w:p>
        </w:tc>
        <w:tc>
          <w:tcPr>
            <w:tcW w:type="dxa" w:w="2131"/>
            <w:tcMar>
              <w:top w:w="45" w:type="dxa"/>
              <w:start w:w="45" w:type="dxa"/>
              <w:bottom w:w="45" w:type="dxa"/>
              <w:end w:w="45" w:type="dxa"/>
            </w:tcMar>
          </w:tcPr>
          <w:p>
            <w:r>
              <w:rPr>
                <w:sz w:val="19"/>
              </w:rPr>
              <w:t>Superseded</w:t>
            </w:r>
          </w:p>
        </w:tc>
        <w:tc>
          <w:tcPr>
            <w:tcW w:type="dxa" w:w="2131"/>
            <w:tcMar>
              <w:top w:w="45" w:type="dxa"/>
              <w:start w:w="45" w:type="dxa"/>
              <w:bottom w:w="45" w:type="dxa"/>
              <w:end w:w="45" w:type="dxa"/>
            </w:tcMar>
          </w:tcPr>
          <w:p>
            <w:r>
              <w:rPr>
                <w:sz w:val="19"/>
              </w:rPr>
              <w:t>Zafer Khan</w:t>
            </w:r>
          </w:p>
        </w:tc>
        <w:tc>
          <w:tcPr>
            <w:tcW w:type="dxa" w:w="2131"/>
            <w:tcMar>
              <w:top w:w="45" w:type="dxa"/>
              <w:start w:w="45" w:type="dxa"/>
              <w:bottom w:w="45" w:type="dxa"/>
              <w:end w:w="45" w:type="dxa"/>
            </w:tcMar>
          </w:tcPr>
          <w:p>
            <w:r>
              <w:rPr>
                <w:sz w:val="19"/>
              </w:rPr>
              <w:t>Version-control layer added but content remained too light and not sufficiently instructive for drafting use.</w:t>
            </w:r>
          </w:p>
        </w:tc>
      </w:tr>
      <w:tr>
        <w:tc>
          <w:tcPr>
            <w:tcW w:type="dxa" w:w="2131"/>
            <w:tcMar>
              <w:top w:w="45" w:type="dxa"/>
              <w:start w:w="45" w:type="dxa"/>
              <w:bottom w:w="45" w:type="dxa"/>
              <w:end w:w="45" w:type="dxa"/>
            </w:tcMar>
          </w:tcPr>
          <w:p>
            <w:r>
              <w:rPr>
                <w:sz w:val="19"/>
              </w:rPr>
              <w:t>v3</w:t>
            </w:r>
          </w:p>
        </w:tc>
        <w:tc>
          <w:tcPr>
            <w:tcW w:type="dxa" w:w="2131"/>
            <w:tcMar>
              <w:top w:w="45" w:type="dxa"/>
              <w:start w:w="45" w:type="dxa"/>
              <w:bottom w:w="45" w:type="dxa"/>
              <w:end w:w="45" w:type="dxa"/>
            </w:tcMar>
          </w:tcPr>
          <w:p>
            <w:r>
              <w:rPr>
                <w:sz w:val="19"/>
              </w:rPr>
              <w:t>15 April 2026</w:t>
            </w:r>
          </w:p>
        </w:tc>
        <w:tc>
          <w:tcPr>
            <w:tcW w:type="dxa" w:w="2131"/>
            <w:tcMar>
              <w:top w:w="45" w:type="dxa"/>
              <w:start w:w="45" w:type="dxa"/>
              <w:bottom w:w="45" w:type="dxa"/>
              <w:end w:w="45" w:type="dxa"/>
            </w:tcMar>
          </w:tcPr>
          <w:p>
            <w:r>
              <w:rPr>
                <w:sz w:val="19"/>
              </w:rPr>
              <w:t>Current issue</w:t>
            </w:r>
          </w:p>
        </w:tc>
        <w:tc>
          <w:tcPr>
            <w:tcW w:type="dxa" w:w="2131"/>
            <w:tcMar>
              <w:top w:w="45" w:type="dxa"/>
              <w:start w:w="45" w:type="dxa"/>
              <w:bottom w:w="45" w:type="dxa"/>
              <w:end w:w="45" w:type="dxa"/>
            </w:tcMar>
          </w:tcPr>
          <w:p>
            <w:r>
              <w:rPr>
                <w:sz w:val="19"/>
              </w:rPr>
              <w:t>Zafer Khan</w:t>
            </w:r>
          </w:p>
        </w:tc>
        <w:tc>
          <w:tcPr>
            <w:tcW w:type="dxa" w:w="2131"/>
            <w:tcMar>
              <w:top w:w="45" w:type="dxa"/>
              <w:start w:w="45" w:type="dxa"/>
              <w:bottom w:w="45" w:type="dxa"/>
              <w:end w:w="45" w:type="dxa"/>
            </w:tcMar>
          </w:tcPr>
          <w:p>
            <w:r>
              <w:rPr>
                <w:sz w:val="19"/>
              </w:rPr>
              <w:t>Expanded to a fuller project blueprint for written proposal preparation, option development, CAD instruction, and tactical delivery control.</w:t>
            </w:r>
          </w:p>
        </w:tc>
      </w:tr>
    </w:tbl>
    <w:p>
      <w:pPr>
        <w:pStyle w:val="Heading1"/>
        <w:spacing w:before="120" w:after="40"/>
      </w:pPr>
      <w:r>
        <w:t>1. Current Project Position</w:t>
      </w:r>
    </w:p>
    <w:p>
      <w:pPr>
        <w:pStyle w:val="ListBullet"/>
        <w:spacing w:after="20"/>
      </w:pPr>
      <w:r>
        <w:t>This project is now beyond the initial survey stage. The immediate objective is to produce a structured proposal pack that can be presented to the owner, supported by option drawings rather than a loose verbal discussion.</w:t>
      </w:r>
    </w:p>
    <w:p>
      <w:pPr>
        <w:pStyle w:val="ListBullet"/>
        <w:spacing w:after="20"/>
      </w:pPr>
      <w:r>
        <w:t>The project is being run in tactical mode. The end-state platform model remains useful as guidance, but the current delivery method is a traditional professional-services approach with selective experimental support from Agent Z where helpful.</w:t>
      </w:r>
    </w:p>
    <w:p>
      <w:pPr>
        <w:pStyle w:val="ListBullet"/>
        <w:spacing w:after="20"/>
      </w:pPr>
      <w:r>
        <w:t>No subscription-tier model is to be used at this stage. The live commercial method should remain a conventional proposal, drawing, review, and staged-next-step process.</w:t>
      </w:r>
    </w:p>
    <w:p>
      <w:r>
        <w:rPr>
          <w:b/>
        </w:rPr>
        <w:t xml:space="preserve">Working rule: </w:t>
      </w:r>
      <w:r>
        <w:t>This pack should help the team turn a site visit and follow-up discussion into a coherent client-facing proposal and a properly instructed drafting brief.</w:t>
      </w:r>
    </w:p>
    <w:p>
      <w:pPr>
        <w:pStyle w:val="Heading1"/>
        <w:spacing w:before="120" w:after="40"/>
      </w:pPr>
      <w:r>
        <w:t>2. Tactical Operating Model for This Project</w:t>
      </w:r>
    </w:p>
    <w:p>
      <w:pPr>
        <w:pStyle w:val="Heading2"/>
        <w:spacing w:before="120" w:after="40"/>
      </w:pPr>
      <w:r>
        <w:t>2A. Roles and Responsibilities</w:t>
      </w:r>
    </w:p>
    <w:tbl>
      <w:tblPr>
        <w:tblStyle w:val="TableGrid"/>
        <w:tblW w:type="auto" w:w="0"/>
        <w:tblLook w:firstColumn="1" w:firstRow="1" w:lastColumn="0" w:lastRow="0" w:noHBand="0" w:noVBand="1" w:val="04A0"/>
      </w:tblPr>
      <w:tblGrid>
        <w:gridCol w:w="3552"/>
        <w:gridCol w:w="3552"/>
        <w:gridCol w:w="3552"/>
      </w:tblGrid>
      <w:tr>
        <w:tc>
          <w:tcPr>
            <w:tcW w:type="dxa" w:w="3552"/>
            <w:shd w:fill="B7DEE8"/>
          </w:tcPr>
          <w:p>
            <w:r>
              <w:rPr>
                <w:b/>
                <w:sz w:val="18"/>
              </w:rPr>
              <w:t>Role / function</w:t>
            </w:r>
          </w:p>
        </w:tc>
        <w:tc>
          <w:tcPr>
            <w:tcW w:type="dxa" w:w="3552"/>
            <w:shd w:fill="B7DEE8"/>
          </w:tcPr>
          <w:p>
            <w:r>
              <w:rPr>
                <w:b/>
                <w:sz w:val="18"/>
              </w:rPr>
              <w:t>Current tactical resource</w:t>
            </w:r>
          </w:p>
        </w:tc>
        <w:tc>
          <w:tcPr>
            <w:tcW w:type="dxa" w:w="3552"/>
            <w:shd w:fill="B7DEE8"/>
          </w:tcPr>
          <w:p>
            <w:r>
              <w:rPr>
                <w:b/>
                <w:sz w:val="18"/>
              </w:rPr>
              <w:t>Primary responsibility for Wolseley</w:t>
            </w:r>
          </w:p>
        </w:tc>
      </w:tr>
      <w:tr>
        <w:tc>
          <w:tcPr>
            <w:tcW w:type="dxa" w:w="3552"/>
            <w:tcMar>
              <w:top w:w="45" w:type="dxa"/>
              <w:start w:w="45" w:type="dxa"/>
              <w:bottom w:w="45" w:type="dxa"/>
              <w:end w:w="45" w:type="dxa"/>
            </w:tcMar>
          </w:tcPr>
          <w:p>
            <w:r>
              <w:rPr>
                <w:sz w:val="19"/>
              </w:rPr>
              <w:t>Project lead / client control</w:t>
            </w:r>
          </w:p>
        </w:tc>
        <w:tc>
          <w:tcPr>
            <w:tcW w:type="dxa" w:w="3552"/>
            <w:tcMar>
              <w:top w:w="45" w:type="dxa"/>
              <w:start w:w="45" w:type="dxa"/>
              <w:bottom w:w="45" w:type="dxa"/>
              <w:end w:w="45" w:type="dxa"/>
            </w:tcMar>
          </w:tcPr>
          <w:p>
            <w:r>
              <w:rPr>
                <w:sz w:val="19"/>
              </w:rPr>
              <w:t>Zafer Khan</w:t>
            </w:r>
          </w:p>
        </w:tc>
        <w:tc>
          <w:tcPr>
            <w:tcW w:type="dxa" w:w="3552"/>
            <w:tcMar>
              <w:top w:w="45" w:type="dxa"/>
              <w:start w:w="45" w:type="dxa"/>
              <w:bottom w:w="45" w:type="dxa"/>
              <w:end w:w="45" w:type="dxa"/>
            </w:tcMar>
          </w:tcPr>
          <w:p>
            <w:r>
              <w:rPr>
                <w:sz w:val="19"/>
              </w:rPr>
              <w:t>Own the project narrative, proposal positioning, commercial framing, decision discipline, and what is / is not promised to the client.</w:t>
            </w:r>
          </w:p>
        </w:tc>
      </w:tr>
      <w:tr>
        <w:tc>
          <w:tcPr>
            <w:tcW w:type="dxa" w:w="3552"/>
            <w:tcMar>
              <w:top w:w="45" w:type="dxa"/>
              <w:start w:w="45" w:type="dxa"/>
              <w:bottom w:w="45" w:type="dxa"/>
              <w:end w:w="45" w:type="dxa"/>
            </w:tcMar>
          </w:tcPr>
          <w:p>
            <w:r>
              <w:rPr>
                <w:sz w:val="19"/>
              </w:rPr>
              <w:t>Design / layout lead</w:t>
            </w:r>
          </w:p>
        </w:tc>
        <w:tc>
          <w:tcPr>
            <w:tcW w:type="dxa" w:w="3552"/>
            <w:tcMar>
              <w:top w:w="45" w:type="dxa"/>
              <w:start w:w="45" w:type="dxa"/>
              <w:bottom w:w="45" w:type="dxa"/>
              <w:end w:w="45" w:type="dxa"/>
            </w:tcMar>
          </w:tcPr>
          <w:p>
            <w:r>
              <w:rPr>
                <w:sz w:val="19"/>
              </w:rPr>
              <w:t>Mike</w:t>
            </w:r>
          </w:p>
        </w:tc>
        <w:tc>
          <w:tcPr>
            <w:tcW w:type="dxa" w:w="3552"/>
            <w:tcMar>
              <w:top w:w="45" w:type="dxa"/>
              <w:start w:w="45" w:type="dxa"/>
              <w:bottom w:w="45" w:type="dxa"/>
              <w:end w:w="45" w:type="dxa"/>
            </w:tcMar>
          </w:tcPr>
          <w:p>
            <w:r>
              <w:rPr>
                <w:sz w:val="19"/>
              </w:rPr>
              <w:t>Develop practical layout logic, hand sketches, option thinking, and real-world buildability observations from the survey and follow-up call.</w:t>
            </w:r>
          </w:p>
        </w:tc>
      </w:tr>
      <w:tr>
        <w:tc>
          <w:tcPr>
            <w:tcW w:type="dxa" w:w="3552"/>
            <w:tcMar>
              <w:top w:w="45" w:type="dxa"/>
              <w:start w:w="45" w:type="dxa"/>
              <w:bottom w:w="45" w:type="dxa"/>
              <w:end w:w="45" w:type="dxa"/>
            </w:tcMar>
          </w:tcPr>
          <w:p>
            <w:r>
              <w:rPr>
                <w:sz w:val="19"/>
              </w:rPr>
              <w:t>Introducer / relationship channel</w:t>
            </w:r>
          </w:p>
        </w:tc>
        <w:tc>
          <w:tcPr>
            <w:tcW w:type="dxa" w:w="3552"/>
            <w:tcMar>
              <w:top w:w="45" w:type="dxa"/>
              <w:start w:w="45" w:type="dxa"/>
              <w:bottom w:w="45" w:type="dxa"/>
              <w:end w:w="45" w:type="dxa"/>
            </w:tcMar>
          </w:tcPr>
          <w:p>
            <w:r>
              <w:rPr>
                <w:sz w:val="19"/>
              </w:rPr>
              <w:t>Zakir</w:t>
            </w:r>
          </w:p>
        </w:tc>
        <w:tc>
          <w:tcPr>
            <w:tcW w:type="dxa" w:w="3552"/>
            <w:tcMar>
              <w:top w:w="45" w:type="dxa"/>
              <w:start w:w="45" w:type="dxa"/>
              <w:bottom w:w="45" w:type="dxa"/>
              <w:end w:w="45" w:type="dxa"/>
            </w:tcMar>
          </w:tcPr>
          <w:p>
            <w:r>
              <w:rPr>
                <w:sz w:val="19"/>
              </w:rPr>
              <w:t>Maintain the lead relationship, support access and continuity, and remain visible as the trusted introducer and future partner.</w:t>
            </w:r>
          </w:p>
        </w:tc>
      </w:tr>
      <w:tr>
        <w:tc>
          <w:tcPr>
            <w:tcW w:type="dxa" w:w="3552"/>
            <w:tcMar>
              <w:top w:w="45" w:type="dxa"/>
              <w:start w:w="45" w:type="dxa"/>
              <w:bottom w:w="45" w:type="dxa"/>
              <w:end w:w="45" w:type="dxa"/>
            </w:tcMar>
          </w:tcPr>
          <w:p>
            <w:r>
              <w:rPr>
                <w:sz w:val="19"/>
              </w:rPr>
              <w:t>Architect support</w:t>
            </w:r>
          </w:p>
        </w:tc>
        <w:tc>
          <w:tcPr>
            <w:tcW w:type="dxa" w:w="3552"/>
            <w:tcMar>
              <w:top w:w="45" w:type="dxa"/>
              <w:start w:w="45" w:type="dxa"/>
              <w:bottom w:w="45" w:type="dxa"/>
              <w:end w:w="45" w:type="dxa"/>
            </w:tcMar>
          </w:tcPr>
          <w:p>
            <w:r>
              <w:rPr>
                <w:sz w:val="19"/>
              </w:rPr>
              <w:t>Konstantinos (Switzerland)</w:t>
            </w:r>
          </w:p>
        </w:tc>
        <w:tc>
          <w:tcPr>
            <w:tcW w:type="dxa" w:w="3552"/>
            <w:tcMar>
              <w:top w:w="45" w:type="dxa"/>
              <w:start w:w="45" w:type="dxa"/>
              <w:bottom w:w="45" w:type="dxa"/>
              <w:end w:w="45" w:type="dxa"/>
            </w:tcMar>
          </w:tcPr>
          <w:p>
            <w:r>
              <w:rPr>
                <w:sz w:val="19"/>
              </w:rPr>
              <w:t>Architectural support input if needed once option direction and drawing development mature.</w:t>
            </w:r>
          </w:p>
        </w:tc>
      </w:tr>
      <w:tr>
        <w:tc>
          <w:tcPr>
            <w:tcW w:type="dxa" w:w="3552"/>
            <w:tcMar>
              <w:top w:w="45" w:type="dxa"/>
              <w:start w:w="45" w:type="dxa"/>
              <w:bottom w:w="45" w:type="dxa"/>
              <w:end w:w="45" w:type="dxa"/>
            </w:tcMar>
          </w:tcPr>
          <w:p>
            <w:r>
              <w:rPr>
                <w:sz w:val="19"/>
              </w:rPr>
              <w:t>Operations / customer engagement / drafting support</w:t>
            </w:r>
          </w:p>
        </w:tc>
        <w:tc>
          <w:tcPr>
            <w:tcW w:type="dxa" w:w="3552"/>
            <w:tcMar>
              <w:top w:w="45" w:type="dxa"/>
              <w:start w:w="45" w:type="dxa"/>
              <w:bottom w:w="45" w:type="dxa"/>
              <w:end w:w="45" w:type="dxa"/>
            </w:tcMar>
          </w:tcPr>
          <w:p>
            <w:r>
              <w:rPr>
                <w:sz w:val="19"/>
              </w:rPr>
              <w:t>Ritesh (Agent Y)</w:t>
            </w:r>
          </w:p>
        </w:tc>
        <w:tc>
          <w:tcPr>
            <w:tcW w:type="dxa" w:w="3552"/>
            <w:tcMar>
              <w:top w:w="45" w:type="dxa"/>
              <w:start w:w="45" w:type="dxa"/>
              <w:bottom w:w="45" w:type="dxa"/>
              <w:end w:w="45" w:type="dxa"/>
            </w:tcMar>
          </w:tcPr>
          <w:p>
            <w:r>
              <w:rPr>
                <w:sz w:val="19"/>
              </w:rPr>
              <w:t>Support customer engagement and operations handling, and assist with drafting coordination once briefed.</w:t>
            </w:r>
          </w:p>
        </w:tc>
      </w:tr>
      <w:tr>
        <w:tc>
          <w:tcPr>
            <w:tcW w:type="dxa" w:w="3552"/>
            <w:tcMar>
              <w:top w:w="45" w:type="dxa"/>
              <w:start w:w="45" w:type="dxa"/>
              <w:bottom w:w="45" w:type="dxa"/>
              <w:end w:w="45" w:type="dxa"/>
            </w:tcMar>
          </w:tcPr>
          <w:p>
            <w:r>
              <w:rPr>
                <w:sz w:val="19"/>
              </w:rPr>
              <w:t>Development lead</w:t>
            </w:r>
          </w:p>
        </w:tc>
        <w:tc>
          <w:tcPr>
            <w:tcW w:type="dxa" w:w="3552"/>
            <w:tcMar>
              <w:top w:w="45" w:type="dxa"/>
              <w:start w:w="45" w:type="dxa"/>
              <w:bottom w:w="45" w:type="dxa"/>
              <w:end w:w="45" w:type="dxa"/>
            </w:tcMar>
          </w:tcPr>
          <w:p>
            <w:r>
              <w:rPr>
                <w:sz w:val="19"/>
              </w:rPr>
              <w:t>Ritesh (India)</w:t>
            </w:r>
          </w:p>
        </w:tc>
        <w:tc>
          <w:tcPr>
            <w:tcW w:type="dxa" w:w="3552"/>
            <w:tcMar>
              <w:top w:w="45" w:type="dxa"/>
              <w:start w:w="45" w:type="dxa"/>
              <w:bottom w:w="45" w:type="dxa"/>
              <w:end w:w="45" w:type="dxa"/>
            </w:tcMar>
          </w:tcPr>
          <w:p>
            <w:r>
              <w:rPr>
                <w:sz w:val="19"/>
              </w:rPr>
              <w:t>Development-side support where technical workflow or platform-related structure is needed.</w:t>
            </w:r>
          </w:p>
        </w:tc>
      </w:tr>
      <w:tr>
        <w:tc>
          <w:tcPr>
            <w:tcW w:type="dxa" w:w="3552"/>
            <w:tcMar>
              <w:top w:w="45" w:type="dxa"/>
              <w:start w:w="45" w:type="dxa"/>
              <w:bottom w:w="45" w:type="dxa"/>
              <w:end w:w="45" w:type="dxa"/>
            </w:tcMar>
          </w:tcPr>
          <w:p>
            <w:r>
              <w:rPr>
                <w:sz w:val="19"/>
              </w:rPr>
              <w:t>Head of technology</w:t>
            </w:r>
          </w:p>
        </w:tc>
        <w:tc>
          <w:tcPr>
            <w:tcW w:type="dxa" w:w="3552"/>
            <w:tcMar>
              <w:top w:w="45" w:type="dxa"/>
              <w:start w:w="45" w:type="dxa"/>
              <w:bottom w:w="45" w:type="dxa"/>
              <w:end w:w="45" w:type="dxa"/>
            </w:tcMar>
          </w:tcPr>
          <w:p>
            <w:r>
              <w:rPr>
                <w:sz w:val="19"/>
              </w:rPr>
              <w:t>Ajay (India)</w:t>
            </w:r>
          </w:p>
        </w:tc>
        <w:tc>
          <w:tcPr>
            <w:tcW w:type="dxa" w:w="3552"/>
            <w:tcMar>
              <w:top w:w="45" w:type="dxa"/>
              <w:start w:w="45" w:type="dxa"/>
              <w:bottom w:w="45" w:type="dxa"/>
              <w:end w:w="45" w:type="dxa"/>
            </w:tcMar>
          </w:tcPr>
          <w:p>
            <w:r>
              <w:rPr>
                <w:sz w:val="19"/>
              </w:rPr>
              <w:t>Technology oversight where required, but not the lead delivery route for this immediate live client proposal.</w:t>
            </w:r>
          </w:p>
        </w:tc>
      </w:tr>
      <w:tr>
        <w:tc>
          <w:tcPr>
            <w:tcW w:type="dxa" w:w="3552"/>
            <w:tcMar>
              <w:top w:w="45" w:type="dxa"/>
              <w:start w:w="45" w:type="dxa"/>
              <w:bottom w:w="45" w:type="dxa"/>
              <w:end w:w="45" w:type="dxa"/>
            </w:tcMar>
          </w:tcPr>
          <w:p>
            <w:r>
              <w:rPr>
                <w:sz w:val="19"/>
              </w:rPr>
              <w:t>Experimental support layer</w:t>
            </w:r>
          </w:p>
        </w:tc>
        <w:tc>
          <w:tcPr>
            <w:tcW w:type="dxa" w:w="3552"/>
            <w:tcMar>
              <w:top w:w="45" w:type="dxa"/>
              <w:start w:w="45" w:type="dxa"/>
              <w:bottom w:w="45" w:type="dxa"/>
              <w:end w:w="45" w:type="dxa"/>
            </w:tcMar>
          </w:tcPr>
          <w:p>
            <w:r>
              <w:rPr>
                <w:sz w:val="19"/>
              </w:rPr>
              <w:t>Agent Z</w:t>
            </w:r>
          </w:p>
        </w:tc>
        <w:tc>
          <w:tcPr>
            <w:tcW w:type="dxa" w:w="3552"/>
            <w:tcMar>
              <w:top w:w="45" w:type="dxa"/>
              <w:start w:w="45" w:type="dxa"/>
              <w:bottom w:w="45" w:type="dxa"/>
              <w:end w:w="45" w:type="dxa"/>
            </w:tcMar>
          </w:tcPr>
          <w:p>
            <w:r>
              <w:rPr>
                <w:sz w:val="19"/>
              </w:rPr>
              <w:t>Use only as an experimental assistive layer for structure, checking, and disciplined thinking; not the front-end commercial model.</w:t>
            </w:r>
          </w:p>
        </w:tc>
      </w:tr>
    </w:tbl>
    <w:p>
      <w:r>
        <w:rPr>
          <w:b/>
        </w:rPr>
        <w:t xml:space="preserve">Separation rule: </w:t>
      </w:r>
      <w:r>
        <w:t>Client-facing communication remains with the UK / Switzerland-facing layer. Drafting and operational support must work to clear written instructions and must not invent missing facts.</w:t>
      </w:r>
    </w:p>
    <w:p>
      <w:pPr>
        <w:pStyle w:val="Heading1"/>
        <w:spacing w:before="120" w:after="40"/>
      </w:pPr>
      <w:r>
        <w:t>3. Immediate Deliverables Required</w:t>
      </w:r>
    </w:p>
    <w:p>
      <w:pPr>
        <w:pStyle w:val="ListNumber"/>
        <w:spacing w:after="20"/>
      </w:pPr>
      <w:r>
        <w:t>A written proposal for the owner that explains the project understanding, the option logic, the likely next professional steps, and the separation between planning / compliance work and refurbishment / build work.</w:t>
      </w:r>
    </w:p>
    <w:p>
      <w:pPr>
        <w:pStyle w:val="ListNumber"/>
        <w:spacing w:after="20"/>
      </w:pPr>
      <w:r>
        <w:t>Two drawing options: one recommended route and one client-led / more aggressive route, both clearly labelled and not blended together.</w:t>
      </w:r>
    </w:p>
    <w:p>
      <w:pPr>
        <w:pStyle w:val="ListNumber"/>
        <w:spacing w:after="20"/>
      </w:pPr>
      <w:r>
        <w:t>A draft budgetary positioning note only. No fixed price should be issued at this stage.</w:t>
      </w:r>
    </w:p>
    <w:p>
      <w:pPr>
        <w:pStyle w:val="ListNumber"/>
        <w:spacing w:after="20"/>
      </w:pPr>
      <w:r>
        <w:t>An internal risk and unknowns note so the team stays disciplined about what is still unconfirmed.</w:t>
      </w:r>
    </w:p>
    <w:p>
      <w:pPr>
        <w:pStyle w:val="Heading1"/>
        <w:spacing w:before="120" w:after="40"/>
      </w:pPr>
      <w:r>
        <w:t>4. Current Known Design Direction From the Survey and Follow-Up Discussion</w:t>
      </w:r>
    </w:p>
    <w:p>
      <w:pPr>
        <w:pStyle w:val="ListBullet"/>
        <w:spacing w:after="20"/>
      </w:pPr>
      <w:r>
        <w:t>The property is already close to the target bedroom count conceptually, and the follow-up discussion suggests the owner may not need to force an over-aggressive ground-floor reconfiguration to achieve a viable five-bedroom arrangement now.</w:t>
      </w:r>
    </w:p>
    <w:p>
      <w:pPr>
        <w:pStyle w:val="ListBullet"/>
        <w:spacing w:after="20"/>
      </w:pPr>
      <w:r>
        <w:t>The upstairs bathroom / WC solution appears to have become more achievable than first feared, which materially changes the logic for what must happen downstairs.</w:t>
      </w:r>
    </w:p>
    <w:p>
      <w:pPr>
        <w:pStyle w:val="ListBullet"/>
        <w:spacing w:after="20"/>
      </w:pPr>
      <w:r>
        <w:t>The current strongest recommended direction is to keep and refit the downstairs bathroom rather than sacrificing it too early for an extra small room that may weaken the scheme overall.</w:t>
      </w:r>
    </w:p>
    <w:p>
      <w:pPr>
        <w:pStyle w:val="ListBullet"/>
        <w:spacing w:after="20"/>
      </w:pPr>
      <w:r>
        <w:t>The old kitchen should likely become a bedroom, with the rear kitchen formed as an extension, but the exact extension depth should be tested rather than assumed.</w:t>
      </w:r>
    </w:p>
    <w:p>
      <w:pPr>
        <w:pStyle w:val="ListBullet"/>
        <w:spacing w:after="20"/>
      </w:pPr>
      <w:r>
        <w:t>The owner’s more aggressive instinct to maximise extension length and to remove fireplaces / chimneys may create cost, structural, sequencing, and unknown-condition risks that need to be called out properly rather than treated as neutral choices.</w:t>
      </w:r>
    </w:p>
    <w:p>
      <w:r>
        <w:rPr>
          <w:b/>
        </w:rPr>
        <w:t xml:space="preserve">Key framing point for the proposal: </w:t>
      </w:r>
      <w:r>
        <w:t>The team is not simply offering “a drawing.” The team is offering two routes with different implications: a recommended route based on practicality and cost logic, and a client-led route that may chase maximum space at higher complexity and risk.</w:t>
      </w:r>
    </w:p>
    <w:p>
      <w:pPr>
        <w:pStyle w:val="Heading1"/>
        <w:spacing w:before="120" w:after="40"/>
      </w:pPr>
      <w:r>
        <w:t>5. Option Strategy To Be Presented</w:t>
      </w:r>
    </w:p>
    <w:p>
      <w:pPr>
        <w:pStyle w:val="Heading2"/>
        <w:spacing w:before="120" w:after="40"/>
      </w:pPr>
      <w:r>
        <w:t>5A. Option 1 — Recommended Route</w:t>
      </w:r>
    </w:p>
    <w:p>
      <w:pPr>
        <w:pStyle w:val="ListBullet"/>
        <w:spacing w:after="20"/>
      </w:pPr>
      <w:r>
        <w:t>Retain and refit the downstairs bathroom rather than deleting it.</w:t>
      </w:r>
    </w:p>
    <w:p>
      <w:pPr>
        <w:pStyle w:val="ListBullet"/>
        <w:spacing w:after="20"/>
      </w:pPr>
      <w:r>
        <w:t>Convert the old kitchen into a bedroom.</w:t>
      </w:r>
    </w:p>
    <w:p>
      <w:pPr>
        <w:pStyle w:val="ListBullet"/>
        <w:spacing w:after="20"/>
      </w:pPr>
      <w:r>
        <w:t>Create the rear kitchen extension as a strong communal kitchen space, but align the extension more efficiently with the outside back line of the current bathroom structure rather than pushing unnecessarily to the full longest line if that extra depth adds cost without proportional functional gain.</w:t>
      </w:r>
    </w:p>
    <w:p>
      <w:pPr>
        <w:pStyle w:val="ListBullet"/>
        <w:spacing w:after="20"/>
      </w:pPr>
      <w:r>
        <w:t>Use the newly workable upstairs sanitary arrangement to reduce pressure on the downstairs reconfiguration.</w:t>
      </w:r>
    </w:p>
    <w:p>
      <w:pPr>
        <w:pStyle w:val="ListBullet"/>
        <w:spacing w:after="20"/>
      </w:pPr>
      <w:r>
        <w:t>Present this option as the route that aims to balance useability, compliance, buildability, and cost discipline.</w:t>
      </w:r>
    </w:p>
    <w:p>
      <w:pPr>
        <w:pStyle w:val="Heading2"/>
        <w:spacing w:before="120" w:after="40"/>
      </w:pPr>
      <w:r>
        <w:t>5B. Option 2 — Client-Led / Maximised Route</w:t>
      </w:r>
    </w:p>
    <w:p>
      <w:pPr>
        <w:pStyle w:val="ListBullet"/>
        <w:spacing w:after="20"/>
      </w:pPr>
      <w:r>
        <w:t>Show the longer rear extension concept around the circa six-metre line where relevant to the client’s stated ambition.</w:t>
      </w:r>
    </w:p>
    <w:p>
      <w:pPr>
        <w:pStyle w:val="ListBullet"/>
        <w:spacing w:after="20"/>
      </w:pPr>
      <w:r>
        <w:t>Show the more aggressive internal-space strategy the owner appears to have in mind, including any stronger push toward fireplace / chimney removal if that is part of the preferred route.</w:t>
      </w:r>
    </w:p>
    <w:p>
      <w:pPr>
        <w:pStyle w:val="ListBullet"/>
        <w:spacing w:after="20"/>
      </w:pPr>
      <w:r>
        <w:t>Label this clearly as the more intervention-heavy route, not as the neutral baseline.</w:t>
      </w:r>
    </w:p>
    <w:p>
      <w:pPr>
        <w:pStyle w:val="ListBullet"/>
        <w:spacing w:after="20"/>
      </w:pPr>
      <w:r>
        <w:t>Call out that this route carries more unknowns, more exposure to hidden-condition risk, and potentially materially higher cost and programme implications.</w:t>
      </w:r>
    </w:p>
    <w:p>
      <w:pPr>
        <w:pStyle w:val="Heading2"/>
        <w:spacing w:before="120" w:after="40"/>
      </w:pPr>
      <w:r>
        <w:t>5C. Presentation Principle</w:t>
      </w:r>
    </w:p>
    <w:p>
      <w:pPr>
        <w:pStyle w:val="ListBullet"/>
        <w:spacing w:after="20"/>
      </w:pPr>
      <w:r>
        <w:t>Do not present both options as equal without commentary.</w:t>
      </w:r>
    </w:p>
    <w:p>
      <w:pPr>
        <w:pStyle w:val="ListBullet"/>
        <w:spacing w:after="20"/>
      </w:pPr>
      <w:r>
        <w:t>Option 1 should read as the professionally recommended route.</w:t>
      </w:r>
    </w:p>
    <w:p>
      <w:pPr>
        <w:pStyle w:val="ListBullet"/>
        <w:spacing w:after="20"/>
      </w:pPr>
      <w:r>
        <w:t>Option 2 should read as the owner’s more expansive or more aggressive route, to be explored with eyes open rather than endorsed without qualification.</w:t>
      </w:r>
    </w:p>
    <w:p>
      <w:pPr>
        <w:pStyle w:val="Heading1"/>
        <w:spacing w:before="120" w:after="40"/>
      </w:pPr>
      <w:r>
        <w:t>6. CAD and Drafting Blueprint — What Ritesh / the CAD drawers need to produce</w:t>
      </w:r>
    </w:p>
    <w:p>
      <w:pPr>
        <w:pStyle w:val="Heading2"/>
        <w:spacing w:before="120" w:after="40"/>
      </w:pPr>
      <w:r>
        <w:t>6A. Minimum Drawing Set Required for Internal Review</w:t>
      </w:r>
    </w:p>
    <w:tbl>
      <w:tblPr>
        <w:tblStyle w:val="TableGrid"/>
        <w:tblW w:type="auto" w:w="0"/>
        <w:tblLook w:firstColumn="1" w:firstRow="1" w:lastColumn="0" w:lastRow="0" w:noHBand="0" w:noVBand="1" w:val="04A0"/>
      </w:tblPr>
      <w:tblGrid>
        <w:gridCol w:w="3552"/>
        <w:gridCol w:w="3552"/>
        <w:gridCol w:w="3552"/>
      </w:tblGrid>
      <w:tr>
        <w:tc>
          <w:tcPr>
            <w:tcW w:type="dxa" w:w="3552"/>
            <w:shd w:fill="B7DEE8"/>
          </w:tcPr>
          <w:p>
            <w:r>
              <w:rPr>
                <w:b/>
                <w:sz w:val="18"/>
              </w:rPr>
              <w:t>Drawing code</w:t>
            </w:r>
          </w:p>
        </w:tc>
        <w:tc>
          <w:tcPr>
            <w:tcW w:type="dxa" w:w="3552"/>
            <w:shd w:fill="B7DEE8"/>
          </w:tcPr>
          <w:p>
            <w:r>
              <w:rPr>
                <w:b/>
                <w:sz w:val="18"/>
              </w:rPr>
              <w:t>Required output</w:t>
            </w:r>
          </w:p>
        </w:tc>
        <w:tc>
          <w:tcPr>
            <w:tcW w:type="dxa" w:w="3552"/>
            <w:shd w:fill="B7DEE8"/>
          </w:tcPr>
          <w:p>
            <w:r>
              <w:rPr>
                <w:b/>
                <w:sz w:val="18"/>
              </w:rPr>
              <w:t>Purpose / instruction</w:t>
            </w:r>
          </w:p>
        </w:tc>
      </w:tr>
      <w:tr>
        <w:tc>
          <w:tcPr>
            <w:tcW w:type="dxa" w:w="3552"/>
            <w:tcMar>
              <w:top w:w="45" w:type="dxa"/>
              <w:start w:w="45" w:type="dxa"/>
              <w:bottom w:w="45" w:type="dxa"/>
              <w:end w:w="45" w:type="dxa"/>
            </w:tcMar>
          </w:tcPr>
          <w:p>
            <w:r>
              <w:rPr>
                <w:sz w:val="19"/>
              </w:rPr>
              <w:t>EX-01</w:t>
            </w:r>
          </w:p>
        </w:tc>
        <w:tc>
          <w:tcPr>
            <w:tcW w:type="dxa" w:w="3552"/>
            <w:tcMar>
              <w:top w:w="45" w:type="dxa"/>
              <w:start w:w="45" w:type="dxa"/>
              <w:bottom w:w="45" w:type="dxa"/>
              <w:end w:w="45" w:type="dxa"/>
            </w:tcMar>
          </w:tcPr>
          <w:p>
            <w:r>
              <w:rPr>
                <w:sz w:val="19"/>
              </w:rPr>
              <w:t>Existing Ground Floor Plan</w:t>
            </w:r>
          </w:p>
        </w:tc>
        <w:tc>
          <w:tcPr>
            <w:tcW w:type="dxa" w:w="3552"/>
            <w:tcMar>
              <w:top w:w="45" w:type="dxa"/>
              <w:start w:w="45" w:type="dxa"/>
              <w:bottom w:w="45" w:type="dxa"/>
              <w:end w:w="45" w:type="dxa"/>
            </w:tcMar>
          </w:tcPr>
          <w:p>
            <w:r>
              <w:rPr>
                <w:sz w:val="19"/>
              </w:rPr>
              <w:t>Produce a clean existing ground-floor plan from the measured hand sketch. Show room names, door positions, windows, stairs, bathroom, kitchen, and any chimney breasts or obvious structural features.</w:t>
            </w:r>
          </w:p>
        </w:tc>
      </w:tr>
      <w:tr>
        <w:tc>
          <w:tcPr>
            <w:tcW w:type="dxa" w:w="3552"/>
            <w:tcMar>
              <w:top w:w="45" w:type="dxa"/>
              <w:start w:w="45" w:type="dxa"/>
              <w:bottom w:w="45" w:type="dxa"/>
              <w:end w:w="45" w:type="dxa"/>
            </w:tcMar>
          </w:tcPr>
          <w:p>
            <w:r>
              <w:rPr>
                <w:sz w:val="19"/>
              </w:rPr>
              <w:t>EX-02</w:t>
            </w:r>
          </w:p>
        </w:tc>
        <w:tc>
          <w:tcPr>
            <w:tcW w:type="dxa" w:w="3552"/>
            <w:tcMar>
              <w:top w:w="45" w:type="dxa"/>
              <w:start w:w="45" w:type="dxa"/>
              <w:bottom w:w="45" w:type="dxa"/>
              <w:end w:w="45" w:type="dxa"/>
            </w:tcMar>
          </w:tcPr>
          <w:p>
            <w:r>
              <w:rPr>
                <w:sz w:val="19"/>
              </w:rPr>
              <w:t>Existing First Floor Plan</w:t>
            </w:r>
          </w:p>
        </w:tc>
        <w:tc>
          <w:tcPr>
            <w:tcW w:type="dxa" w:w="3552"/>
            <w:tcMar>
              <w:top w:w="45" w:type="dxa"/>
              <w:start w:w="45" w:type="dxa"/>
              <w:bottom w:w="45" w:type="dxa"/>
              <w:end w:w="45" w:type="dxa"/>
            </w:tcMar>
          </w:tcPr>
          <w:p>
            <w:r>
              <w:rPr>
                <w:sz w:val="19"/>
              </w:rPr>
              <w:t>Produce a clean existing first-floor plan showing all current rooms, stairs, windows, chimney breasts, and sanitary positions.</w:t>
            </w:r>
          </w:p>
        </w:tc>
      </w:tr>
      <w:tr>
        <w:tc>
          <w:tcPr>
            <w:tcW w:type="dxa" w:w="3552"/>
            <w:tcMar>
              <w:top w:w="45" w:type="dxa"/>
              <w:start w:w="45" w:type="dxa"/>
              <w:bottom w:w="45" w:type="dxa"/>
              <w:end w:w="45" w:type="dxa"/>
            </w:tcMar>
          </w:tcPr>
          <w:p>
            <w:r>
              <w:rPr>
                <w:sz w:val="19"/>
              </w:rPr>
              <w:t>OP1-01</w:t>
            </w:r>
          </w:p>
        </w:tc>
        <w:tc>
          <w:tcPr>
            <w:tcW w:type="dxa" w:w="3552"/>
            <w:tcMar>
              <w:top w:w="45" w:type="dxa"/>
              <w:start w:w="45" w:type="dxa"/>
              <w:bottom w:w="45" w:type="dxa"/>
              <w:end w:w="45" w:type="dxa"/>
            </w:tcMar>
          </w:tcPr>
          <w:p>
            <w:r>
              <w:rPr>
                <w:sz w:val="19"/>
              </w:rPr>
              <w:t>Proposed Ground Floor Plan — Option 1</w:t>
            </w:r>
          </w:p>
        </w:tc>
        <w:tc>
          <w:tcPr>
            <w:tcW w:type="dxa" w:w="3552"/>
            <w:tcMar>
              <w:top w:w="45" w:type="dxa"/>
              <w:start w:w="45" w:type="dxa"/>
              <w:bottom w:w="45" w:type="dxa"/>
              <w:end w:w="45" w:type="dxa"/>
            </w:tcMar>
          </w:tcPr>
          <w:p>
            <w:r>
              <w:rPr>
                <w:sz w:val="19"/>
              </w:rPr>
              <w:t>Show the recommended route clearly: old kitchen converted to bedroom, downstairs bathroom retained / refitted, rear kitchen extension drawn to the preferred more efficient line.</w:t>
            </w:r>
          </w:p>
        </w:tc>
      </w:tr>
      <w:tr>
        <w:tc>
          <w:tcPr>
            <w:tcW w:type="dxa" w:w="3552"/>
            <w:tcMar>
              <w:top w:w="45" w:type="dxa"/>
              <w:start w:w="45" w:type="dxa"/>
              <w:bottom w:w="45" w:type="dxa"/>
              <w:end w:w="45" w:type="dxa"/>
            </w:tcMar>
          </w:tcPr>
          <w:p>
            <w:r>
              <w:rPr>
                <w:sz w:val="19"/>
              </w:rPr>
              <w:t>OP1-02</w:t>
            </w:r>
          </w:p>
        </w:tc>
        <w:tc>
          <w:tcPr>
            <w:tcW w:type="dxa" w:w="3552"/>
            <w:tcMar>
              <w:top w:w="45" w:type="dxa"/>
              <w:start w:w="45" w:type="dxa"/>
              <w:bottom w:w="45" w:type="dxa"/>
              <w:end w:w="45" w:type="dxa"/>
            </w:tcMar>
          </w:tcPr>
          <w:p>
            <w:r>
              <w:rPr>
                <w:sz w:val="19"/>
              </w:rPr>
              <w:t>Proposed First Floor Plan — Option 1</w:t>
            </w:r>
          </w:p>
        </w:tc>
        <w:tc>
          <w:tcPr>
            <w:tcW w:type="dxa" w:w="3552"/>
            <w:tcMar>
              <w:top w:w="45" w:type="dxa"/>
              <w:start w:w="45" w:type="dxa"/>
              <w:bottom w:w="45" w:type="dxa"/>
              <w:end w:w="45" w:type="dxa"/>
            </w:tcMar>
          </w:tcPr>
          <w:p>
            <w:r>
              <w:rPr>
                <w:sz w:val="19"/>
              </w:rPr>
              <w:t>Show the upstairs sanitary solution and retained bedrooms in a way that protects circulation and future flexibility.</w:t>
            </w:r>
          </w:p>
        </w:tc>
      </w:tr>
      <w:tr>
        <w:tc>
          <w:tcPr>
            <w:tcW w:type="dxa" w:w="3552"/>
            <w:tcMar>
              <w:top w:w="45" w:type="dxa"/>
              <w:start w:w="45" w:type="dxa"/>
              <w:bottom w:w="45" w:type="dxa"/>
              <w:end w:w="45" w:type="dxa"/>
            </w:tcMar>
          </w:tcPr>
          <w:p>
            <w:r>
              <w:rPr>
                <w:sz w:val="19"/>
              </w:rPr>
              <w:t>OP2-01</w:t>
            </w:r>
          </w:p>
        </w:tc>
        <w:tc>
          <w:tcPr>
            <w:tcW w:type="dxa" w:w="3552"/>
            <w:tcMar>
              <w:top w:w="45" w:type="dxa"/>
              <w:start w:w="45" w:type="dxa"/>
              <w:bottom w:w="45" w:type="dxa"/>
              <w:end w:w="45" w:type="dxa"/>
            </w:tcMar>
          </w:tcPr>
          <w:p>
            <w:r>
              <w:rPr>
                <w:sz w:val="19"/>
              </w:rPr>
              <w:t>Proposed Ground Floor Plan — Option 2</w:t>
            </w:r>
          </w:p>
        </w:tc>
        <w:tc>
          <w:tcPr>
            <w:tcW w:type="dxa" w:w="3552"/>
            <w:tcMar>
              <w:top w:w="45" w:type="dxa"/>
              <w:start w:w="45" w:type="dxa"/>
              <w:bottom w:w="45" w:type="dxa"/>
              <w:end w:w="45" w:type="dxa"/>
            </w:tcMar>
          </w:tcPr>
          <w:p>
            <w:r>
              <w:rPr>
                <w:sz w:val="19"/>
              </w:rPr>
              <w:t>Show the longer / more aggressive client-led route, including the fuller extension logic and any stronger intervention route.</w:t>
            </w:r>
          </w:p>
        </w:tc>
      </w:tr>
      <w:tr>
        <w:tc>
          <w:tcPr>
            <w:tcW w:type="dxa" w:w="3552"/>
            <w:tcMar>
              <w:top w:w="45" w:type="dxa"/>
              <w:start w:w="45" w:type="dxa"/>
              <w:bottom w:w="45" w:type="dxa"/>
              <w:end w:w="45" w:type="dxa"/>
            </w:tcMar>
          </w:tcPr>
          <w:p>
            <w:r>
              <w:rPr>
                <w:sz w:val="19"/>
              </w:rPr>
              <w:t>OP2-02</w:t>
            </w:r>
          </w:p>
        </w:tc>
        <w:tc>
          <w:tcPr>
            <w:tcW w:type="dxa" w:w="3552"/>
            <w:tcMar>
              <w:top w:w="45" w:type="dxa"/>
              <w:start w:w="45" w:type="dxa"/>
              <w:bottom w:w="45" w:type="dxa"/>
              <w:end w:w="45" w:type="dxa"/>
            </w:tcMar>
          </w:tcPr>
          <w:p>
            <w:r>
              <w:rPr>
                <w:sz w:val="19"/>
              </w:rPr>
              <w:t>Proposed First Floor Plan — Option 2</w:t>
            </w:r>
          </w:p>
        </w:tc>
        <w:tc>
          <w:tcPr>
            <w:tcW w:type="dxa" w:w="3552"/>
            <w:tcMar>
              <w:top w:w="45" w:type="dxa"/>
              <w:start w:w="45" w:type="dxa"/>
              <w:bottom w:w="45" w:type="dxa"/>
              <w:end w:w="45" w:type="dxa"/>
            </w:tcMar>
          </w:tcPr>
          <w:p>
            <w:r>
              <w:rPr>
                <w:sz w:val="19"/>
              </w:rPr>
              <w:t>Show any upstairs implication of the more aggressive route while keeping the option distinct from the recommended layout.</w:t>
            </w:r>
          </w:p>
        </w:tc>
      </w:tr>
      <w:tr>
        <w:tc>
          <w:tcPr>
            <w:tcW w:type="dxa" w:w="3552"/>
            <w:tcMar>
              <w:top w:w="45" w:type="dxa"/>
              <w:start w:w="45" w:type="dxa"/>
              <w:bottom w:w="45" w:type="dxa"/>
              <w:end w:w="45" w:type="dxa"/>
            </w:tcMar>
          </w:tcPr>
          <w:p>
            <w:r>
              <w:rPr>
                <w:sz w:val="19"/>
              </w:rPr>
              <w:t>AN-01</w:t>
            </w:r>
          </w:p>
        </w:tc>
        <w:tc>
          <w:tcPr>
            <w:tcW w:type="dxa" w:w="3552"/>
            <w:tcMar>
              <w:top w:w="45" w:type="dxa"/>
              <w:start w:w="45" w:type="dxa"/>
              <w:bottom w:w="45" w:type="dxa"/>
              <w:end w:w="45" w:type="dxa"/>
            </w:tcMar>
          </w:tcPr>
          <w:p>
            <w:r>
              <w:rPr>
                <w:sz w:val="19"/>
              </w:rPr>
              <w:t>Annotated Comparison Sheet</w:t>
            </w:r>
          </w:p>
        </w:tc>
        <w:tc>
          <w:tcPr>
            <w:tcW w:type="dxa" w:w="3552"/>
            <w:tcMar>
              <w:top w:w="45" w:type="dxa"/>
              <w:start w:w="45" w:type="dxa"/>
              <w:bottom w:w="45" w:type="dxa"/>
              <w:end w:w="45" w:type="dxa"/>
            </w:tcMar>
          </w:tcPr>
          <w:p>
            <w:r>
              <w:rPr>
                <w:sz w:val="19"/>
              </w:rPr>
              <w:t>A simple comparison page showing Option 1 versus Option 2 with brief notes, so the client can understand the difference visually.</w:t>
            </w:r>
          </w:p>
        </w:tc>
      </w:tr>
    </w:tbl>
    <w:p>
      <w:pPr>
        <w:pStyle w:val="Heading2"/>
        <w:spacing w:before="120" w:after="40"/>
      </w:pPr>
      <w:r>
        <w:t>6B. Drawing Rules</w:t>
      </w:r>
    </w:p>
    <w:p>
      <w:pPr>
        <w:pStyle w:val="ListNumber"/>
        <w:spacing w:after="20"/>
      </w:pPr>
      <w:r>
        <w:t>Mark every room clearly and consistently. Do not leave ambiguous unnamed spaces if they are central to the option logic.</w:t>
      </w:r>
    </w:p>
    <w:p>
      <w:pPr>
        <w:pStyle w:val="ListNumber"/>
        <w:spacing w:after="20"/>
      </w:pPr>
      <w:r>
        <w:t>Show dimensions that matter to decision-making, especially tight rooms, bathroom zones, circulation widths, and the extension depth.</w:t>
      </w:r>
    </w:p>
    <w:p>
      <w:pPr>
        <w:pStyle w:val="ListNumber"/>
        <w:spacing w:after="20"/>
      </w:pPr>
      <w:r>
        <w:t>Show windows, doors, stairs, chimney breasts, and current / proposed sanitary positions clearly.</w:t>
      </w:r>
    </w:p>
    <w:p>
      <w:pPr>
        <w:pStyle w:val="ListNumber"/>
        <w:spacing w:after="20"/>
      </w:pPr>
      <w:r>
        <w:t>If a fireplace or chimney is being removed in an option, annotate that as a proposal only, not as an assumed easy action.</w:t>
      </w:r>
    </w:p>
    <w:p>
      <w:pPr>
        <w:pStyle w:val="ListNumber"/>
        <w:spacing w:after="20"/>
      </w:pPr>
      <w:r>
        <w:t>If future loft access is only being safeguarded rather than built now, show that as a future allowance or future consideration, not as current scope unless instructed otherwise.</w:t>
      </w:r>
    </w:p>
    <w:p>
      <w:pPr>
        <w:pStyle w:val="ListNumber"/>
        <w:spacing w:after="20"/>
      </w:pPr>
      <w:r>
        <w:t>Do not make up missing dimensions. Flag anything uncertain as to-be-confirmed.</w:t>
      </w:r>
    </w:p>
    <w:p>
      <w:pPr>
        <w:pStyle w:val="ListNumber"/>
        <w:spacing w:after="20"/>
      </w:pPr>
      <w:r>
        <w:t>Do not clean up the drawing in a way that hides awkward geometry, narrow widths, or problem areas. The drawing should support decision-making, not beautify uncertainty.</w:t>
      </w:r>
    </w:p>
    <w:p>
      <w:pPr>
        <w:pStyle w:val="Heading2"/>
        <w:spacing w:before="120" w:after="40"/>
      </w:pPr>
      <w:r>
        <w:t>6C. Specific Items the CAD drawers must not miss</w:t>
      </w:r>
    </w:p>
    <w:p>
      <w:pPr>
        <w:pStyle w:val="ListBullet"/>
        <w:spacing w:after="20"/>
      </w:pPr>
      <w:r>
        <w:t>Downstairs bathroom retained in Option 1.</w:t>
      </w:r>
    </w:p>
    <w:p>
      <w:pPr>
        <w:pStyle w:val="ListBullet"/>
        <w:spacing w:after="20"/>
      </w:pPr>
      <w:r>
        <w:t>Old kitchen becoming a bedroom in Option 1.</w:t>
      </w:r>
    </w:p>
    <w:p>
      <w:pPr>
        <w:pStyle w:val="ListBullet"/>
        <w:spacing w:after="20"/>
      </w:pPr>
      <w:r>
        <w:t>Rear kitchen as extension rather than trying to force too much communal use into the wrong internal footprint.</w:t>
      </w:r>
    </w:p>
    <w:p>
      <w:pPr>
        <w:pStyle w:val="ListBullet"/>
        <w:spacing w:after="20"/>
      </w:pPr>
      <w:r>
        <w:t>Exact relative position of the bathroom back wall, because this affects the Option 1 extension line.</w:t>
      </w:r>
    </w:p>
    <w:p>
      <w:pPr>
        <w:pStyle w:val="ListBullet"/>
        <w:spacing w:after="20"/>
      </w:pPr>
      <w:r>
        <w:t>All visible chimneys / chimney breasts because they materially affect both room shape and cost logic.</w:t>
      </w:r>
    </w:p>
    <w:p>
      <w:pPr>
        <w:pStyle w:val="ListBullet"/>
        <w:spacing w:after="20"/>
      </w:pPr>
      <w:r>
        <w:t>The likely tighter / narrower rooms that may become compliance pinch points.</w:t>
      </w:r>
    </w:p>
    <w:p>
      <w:pPr>
        <w:pStyle w:val="ListBullet"/>
        <w:spacing w:after="20"/>
      </w:pPr>
      <w:r>
        <w:t>Stair alignment, landing logic, and whether future loft access has been protected sensibly without compromising current room function.</w:t>
      </w:r>
    </w:p>
    <w:p>
      <w:pPr>
        <w:pStyle w:val="Heading1"/>
        <w:spacing w:before="120" w:after="40"/>
      </w:pPr>
      <w:r>
        <w:t>7. Written Client Proposal Blueprint — What the proposal document should say</w:t>
      </w:r>
    </w:p>
    <w:p>
      <w:pPr>
        <w:pStyle w:val="Heading2"/>
        <w:spacing w:before="120" w:after="40"/>
      </w:pPr>
      <w:r>
        <w:t>7A. Recommended structure</w:t>
      </w:r>
    </w:p>
    <w:p>
      <w:pPr>
        <w:pStyle w:val="ListNumber"/>
        <w:spacing w:after="20"/>
      </w:pPr>
      <w:r>
        <w:t>Project understanding — what the owner appears to want and what the survey / follow-up discussion has clarified.</w:t>
      </w:r>
    </w:p>
    <w:p>
      <w:pPr>
        <w:pStyle w:val="ListNumber"/>
        <w:spacing w:after="20"/>
      </w:pPr>
      <w:r>
        <w:t>Current property observations — concise summary of what the survey suggests about layout potential and constraints.</w:t>
      </w:r>
    </w:p>
    <w:p>
      <w:pPr>
        <w:pStyle w:val="ListNumber"/>
        <w:spacing w:after="20"/>
      </w:pPr>
      <w:r>
        <w:t>Option 1 — recommended route, with short explanation of why it is stronger.</w:t>
      </w:r>
    </w:p>
    <w:p>
      <w:pPr>
        <w:pStyle w:val="ListNumber"/>
        <w:spacing w:after="20"/>
      </w:pPr>
      <w:r>
        <w:t>Option 2 — owner-led / more aggressive route, with clear note on complexity, unknowns, and likely cost exposure.</w:t>
      </w:r>
    </w:p>
    <w:p>
      <w:pPr>
        <w:pStyle w:val="ListNumber"/>
        <w:spacing w:after="20"/>
      </w:pPr>
      <w:r>
        <w:t>Planning / HMO / compliance next steps — what needs proper checking before any firm commitment.</w:t>
      </w:r>
    </w:p>
    <w:p>
      <w:pPr>
        <w:pStyle w:val="ListNumber"/>
        <w:spacing w:after="20"/>
      </w:pPr>
      <w:r>
        <w:t>Refurbishment / construction next steps — only at a budgetary and staged-advice level for now.</w:t>
      </w:r>
    </w:p>
    <w:p>
      <w:pPr>
        <w:pStyle w:val="ListNumber"/>
        <w:spacing w:after="20"/>
      </w:pPr>
      <w:r>
        <w:t>Commercial next step — proceed to measured option development / further design / compliance review before any fixed price or full build commitment.</w:t>
      </w:r>
    </w:p>
    <w:p>
      <w:pPr>
        <w:pStyle w:val="Heading2"/>
        <w:spacing w:before="120" w:after="40"/>
      </w:pPr>
      <w:r>
        <w:t>7B. Tone of the written proposal</w:t>
      </w:r>
    </w:p>
    <w:p>
      <w:pPr>
        <w:pStyle w:val="ListBullet"/>
        <w:spacing w:after="20"/>
      </w:pPr>
      <w:r>
        <w:t>Businesslike and clear.</w:t>
      </w:r>
    </w:p>
    <w:p>
      <w:pPr>
        <w:pStyle w:val="ListBullet"/>
        <w:spacing w:after="20"/>
      </w:pPr>
      <w:r>
        <w:t>No exaggerated certainty.</w:t>
      </w:r>
    </w:p>
    <w:p>
      <w:pPr>
        <w:pStyle w:val="ListBullet"/>
        <w:spacing w:after="20"/>
      </w:pPr>
      <w:r>
        <w:t>No mention of internal tools or experimental support methods.</w:t>
      </w:r>
    </w:p>
    <w:p>
      <w:pPr>
        <w:pStyle w:val="ListBullet"/>
        <w:spacing w:after="20"/>
      </w:pPr>
      <w:r>
        <w:t>No internal commentary about who liked or did not like previous advisers.</w:t>
      </w:r>
    </w:p>
    <w:p>
      <w:pPr>
        <w:pStyle w:val="ListBullet"/>
        <w:spacing w:after="20"/>
      </w:pPr>
      <w:r>
        <w:t>No assumptions dressed up as facts.</w:t>
      </w:r>
    </w:p>
    <w:p>
      <w:pPr>
        <w:pStyle w:val="Heading2"/>
        <w:spacing w:before="120" w:after="40"/>
      </w:pPr>
      <w:r>
        <w:t>7C. Commercial rule for the written proposal</w:t>
      </w:r>
    </w:p>
    <w:p>
      <w:pPr>
        <w:pStyle w:val="ListBullet"/>
        <w:spacing w:after="20"/>
      </w:pPr>
      <w:r>
        <w:t>Do not issue fixed prices at this stage.</w:t>
      </w:r>
    </w:p>
    <w:p>
      <w:pPr>
        <w:pStyle w:val="ListBullet"/>
        <w:spacing w:after="20"/>
      </w:pPr>
      <w:r>
        <w:t>Only issue budgetary guidance or a broad estimate range if needed, and only with clear caveats.</w:t>
      </w:r>
    </w:p>
    <w:p>
      <w:pPr>
        <w:pStyle w:val="ListBullet"/>
        <w:spacing w:after="20"/>
      </w:pPr>
      <w:r>
        <w:t>Split professional service scope from refurbishment scope.</w:t>
      </w:r>
    </w:p>
    <w:p>
      <w:pPr>
        <w:pStyle w:val="ListBullet"/>
        <w:spacing w:after="20"/>
      </w:pPr>
      <w:r>
        <w:t>Planning / compliance / drawing work should be one path; construction delivery should be another path.</w:t>
      </w:r>
    </w:p>
    <w:p>
      <w:pPr>
        <w:pStyle w:val="Heading1"/>
        <w:spacing w:before="120" w:after="40"/>
      </w:pPr>
      <w:r>
        <w:t>8. Planning / HMO / Compliance Blueprint</w:t>
      </w:r>
    </w:p>
    <w:p>
      <w:pPr>
        <w:pStyle w:val="ListBullet"/>
        <w:spacing w:after="20"/>
      </w:pPr>
      <w:r>
        <w:t>The property must be reviewed against the intended occupancy and use pattern, not just against room labels on a drawing.</w:t>
      </w:r>
    </w:p>
    <w:p>
      <w:pPr>
        <w:pStyle w:val="ListBullet"/>
        <w:spacing w:after="20"/>
      </w:pPr>
      <w:r>
        <w:t>Room sizes, sanitary provision, escape logic, fire precautions, and the practical functioning of the shared arrangement must all be tested together.</w:t>
      </w:r>
    </w:p>
    <w:p>
      <w:pPr>
        <w:pStyle w:val="ListBullet"/>
        <w:spacing w:after="20"/>
      </w:pPr>
      <w:r>
        <w:t>The planning route and the HMO / licensing route must not be treated as the same thing. They are related, but they are separate decisions.</w:t>
      </w:r>
    </w:p>
    <w:p>
      <w:pPr>
        <w:pStyle w:val="ListBullet"/>
        <w:spacing w:after="20"/>
      </w:pPr>
      <w:r>
        <w:t>Article 4 / planning restrictions, room size compliance, bathroom count, kitchen adequacy, fire strategy implications, and any extension planning route should all be left as review items until properly tested.</w:t>
      </w:r>
    </w:p>
    <w:p>
      <w:r>
        <w:rPr>
          <w:b/>
        </w:rPr>
        <w:t xml:space="preserve">Practical instruction: </w:t>
      </w:r>
      <w:r>
        <w:t>In the proposal, frame compliance as “to be tested properly against the chosen option,” not as already achieved.</w:t>
      </w:r>
    </w:p>
    <w:p>
      <w:pPr>
        <w:pStyle w:val="Heading1"/>
        <w:spacing w:before="120" w:after="40"/>
      </w:pPr>
      <w:r>
        <w:t>9. Site Notes to Be Carried Forward Into the Drawing and Proposal Stage</w:t>
      </w:r>
    </w:p>
    <w:p>
      <w:pPr>
        <w:pStyle w:val="ListBullet"/>
        <w:spacing w:after="20"/>
      </w:pPr>
      <w:r>
        <w:t>The measured site walk and the original crib-sheet logic should remain the factual base. Do not drift away from the actual measured evidence and the original project understanding.</w:t>
      </w:r>
    </w:p>
    <w:p>
      <w:pPr>
        <w:pStyle w:val="ListBullet"/>
        <w:spacing w:after="20"/>
      </w:pPr>
      <w:r>
        <w:t>The measurements table at the beginning of the original crib sheet remains an important reference structure and should continue to inform any room schedule or CAD checking.</w:t>
      </w:r>
    </w:p>
    <w:p>
      <w:pPr>
        <w:pStyle w:val="ListBullet"/>
        <w:spacing w:after="20"/>
      </w:pPr>
      <w:r>
        <w:t>Any known discussion points from the site walk about drainage, boiler position, manhole location, chimney count, party wall implications, and potential bathroom positioning should be reflected in the internal note and drafting instructions rather than lost between documents.</w:t>
      </w:r>
    </w:p>
    <w:p>
      <w:pPr>
        <w:pStyle w:val="ListBullet"/>
        <w:spacing w:after="20"/>
      </w:pPr>
      <w:r>
        <w:t>The follow-up call added strategic direction, but it did not remove the need to keep unknowns visible.</w:t>
      </w:r>
    </w:p>
    <w:p>
      <w:pPr>
        <w:pStyle w:val="Heading1"/>
        <w:spacing w:before="120" w:after="40"/>
      </w:pPr>
      <w:r>
        <w:t>10. Unknowns, Risks, and What Must Not Be Guessed</w:t>
      </w:r>
    </w:p>
    <w:p>
      <w:pPr>
        <w:pStyle w:val="ListNumber"/>
        <w:spacing w:after="20"/>
      </w:pPr>
      <w:r>
        <w:t>Exact final bedroom compliance for the tighter rooms.</w:t>
      </w:r>
    </w:p>
    <w:p>
      <w:pPr>
        <w:pStyle w:val="ListNumber"/>
        <w:spacing w:after="20"/>
      </w:pPr>
      <w:r>
        <w:t>Whether any proposed sanitary arrangement works cleanly from a drainage and buildability point of view.</w:t>
      </w:r>
    </w:p>
    <w:p>
      <w:pPr>
        <w:pStyle w:val="ListNumber"/>
        <w:spacing w:after="20"/>
      </w:pPr>
      <w:r>
        <w:t>Whether any proposed fireplace or chimney removal is truly justified, safe, and economical once opened up.</w:t>
      </w:r>
    </w:p>
    <w:p>
      <w:pPr>
        <w:pStyle w:val="ListNumber"/>
        <w:spacing w:after="20"/>
      </w:pPr>
      <w:r>
        <w:t>Whether the longer extension route genuinely adds value proportionate to its cost and complexity.</w:t>
      </w:r>
    </w:p>
    <w:p>
      <w:pPr>
        <w:pStyle w:val="ListNumber"/>
        <w:spacing w:after="20"/>
      </w:pPr>
      <w:r>
        <w:t>Whether the owner’s preferred route remains the same once the options are shown properly.</w:t>
      </w:r>
    </w:p>
    <w:p>
      <w:pPr>
        <w:pStyle w:val="ListNumber"/>
        <w:spacing w:after="20"/>
      </w:pPr>
      <w:r>
        <w:t>Exact construction pricing before drawings, scope freeze, and further checks.</w:t>
      </w:r>
    </w:p>
    <w:p>
      <w:pPr>
        <w:pStyle w:val="ListNumber"/>
        <w:spacing w:after="20"/>
      </w:pPr>
      <w:r>
        <w:t>Any structural assumptions not yet verified by proper review.</w:t>
      </w:r>
    </w:p>
    <w:p>
      <w:r>
        <w:rPr>
          <w:b/>
        </w:rPr>
        <w:t xml:space="preserve">Control rule: </w:t>
      </w:r>
      <w:r>
        <w:t>If something is not measured, checked, or evidenced, mark it as unconfirmed rather than smoothing over it.</w:t>
      </w:r>
    </w:p>
    <w:p>
      <w:pPr>
        <w:pStyle w:val="Heading1"/>
        <w:spacing w:before="120" w:after="40"/>
      </w:pPr>
      <w:r>
        <w:t>11. Immediate Action List</w:t>
      </w:r>
    </w:p>
    <w:p>
      <w:pPr>
        <w:pStyle w:val="ListNumber"/>
        <w:spacing w:after="20"/>
      </w:pPr>
      <w:r>
        <w:t>Mike to complete or finalise the hand-drawn layout logic for the two options.</w:t>
      </w:r>
    </w:p>
    <w:p>
      <w:pPr>
        <w:pStyle w:val="ListNumber"/>
        <w:spacing w:after="20"/>
      </w:pPr>
      <w:r>
        <w:t>CAD / drafting support to convert the hand sketches into the minimum internal review drawing set listed in Section 6.</w:t>
      </w:r>
    </w:p>
    <w:p>
      <w:pPr>
        <w:pStyle w:val="ListNumber"/>
        <w:spacing w:after="20"/>
      </w:pPr>
      <w:r>
        <w:t>Zafer to prepare the written proposal using the structure in Section 7.</w:t>
      </w:r>
    </w:p>
    <w:p>
      <w:pPr>
        <w:pStyle w:val="ListNumber"/>
        <w:spacing w:after="20"/>
      </w:pPr>
      <w:r>
        <w:t>Internal review to compare Option 1 and Option 2 before anything is sent to the owner.</w:t>
      </w:r>
    </w:p>
    <w:p>
      <w:pPr>
        <w:pStyle w:val="ListNumber"/>
        <w:spacing w:after="20"/>
      </w:pPr>
      <w:r>
        <w:t>Any budgetary number, if included, must be framed as indicative only and must not read as a fixed-price commitment.</w:t>
      </w:r>
    </w:p>
    <w:p>
      <w:pPr>
        <w:pStyle w:val="ListNumber"/>
        <w:spacing w:after="20"/>
      </w:pPr>
      <w:r>
        <w:t>Once drawings are ready, carry out one more coordination pass so the written proposal and drawing pack tell the same story.</w:t>
      </w:r>
    </w:p>
    <w:p>
      <w:pPr>
        <w:pStyle w:val="Heading1"/>
        <w:spacing w:before="120" w:after="40"/>
      </w:pPr>
      <w:r>
        <w:t>12. Internal Issue Discipline</w:t>
      </w:r>
    </w:p>
    <w:p>
      <w:pPr>
        <w:pStyle w:val="ListBullet"/>
        <w:spacing w:after="20"/>
      </w:pPr>
      <w:r>
        <w:t>This file is intended to be a stronger working blueprint than the earlier lighter issue.</w:t>
      </w:r>
    </w:p>
    <w:p>
      <w:pPr>
        <w:pStyle w:val="ListBullet"/>
        <w:spacing w:after="20"/>
      </w:pPr>
      <w:r>
        <w:t>The file name and version table are aligned.</w:t>
      </w:r>
    </w:p>
    <w:p>
      <w:pPr>
        <w:pStyle w:val="ListBullet"/>
        <w:spacing w:after="20"/>
      </w:pPr>
      <w:r>
        <w:t>No internal tool names or drafting-assistance platform names are to be referred to inside client or project issue documents.</w:t>
      </w:r>
    </w:p>
    <w:p>
      <w:pPr>
        <w:pStyle w:val="ListBullet"/>
        <w:spacing w:after="20"/>
      </w:pPr>
      <w:r>
        <w:t>Future reissues must preserve content discipline and must not shorten agreed project material unless explicitly instructed.</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8F45D059EA5A849972C69527B764867" ma:contentTypeVersion="12" ma:contentTypeDescription="Create a new document." ma:contentTypeScope="" ma:versionID="f77a7e63d17c3784adb8992633a229d6">
  <xsd:schema xmlns:xsd="http://www.w3.org/2001/XMLSchema" xmlns:xs="http://www.w3.org/2001/XMLSchema" xmlns:p="http://schemas.microsoft.com/office/2006/metadata/properties" xmlns:ns2="37d766b5-c9a9-4009-a441-b7e6fbfbdf48" xmlns:ns3="83e2f71c-017c-4242-ba43-92c0e531a0eb" targetNamespace="http://schemas.microsoft.com/office/2006/metadata/properties" ma:root="true" ma:fieldsID="63fda5cbc727e9874a309e97d8089275" ns2:_="" ns3:_="">
    <xsd:import namespace="37d766b5-c9a9-4009-a441-b7e6fbfbdf48"/>
    <xsd:import namespace="83e2f71c-017c-4242-ba43-92c0e531a0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766b5-c9a9-4009-a441-b7e6fbfbdf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6abf59-09bb-4e80-b9c3-19aeca234b1a"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e2f71c-017c-4242-ba43-92c0e531a0e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101a2a-4a5d-46ec-8a48-162825963ecf}" ma:internalName="TaxCatchAll" ma:showField="CatchAllData" ma:web="83e2f71c-017c-4242-ba43-92c0e531a0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d766b5-c9a9-4009-a441-b7e6fbfbdf48">
      <Terms xmlns="http://schemas.microsoft.com/office/infopath/2007/PartnerControls"/>
    </lcf76f155ced4ddcb4097134ff3c332f>
    <TaxCatchAll xmlns="83e2f71c-017c-4242-ba43-92c0e531a0e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940A392-4C64-4658-B0EB-7FC833BC2BEF}"/>
</file>

<file path=customXml/itemProps3.xml><?xml version="1.0" encoding="utf-8"?>
<ds:datastoreItem xmlns:ds="http://schemas.openxmlformats.org/officeDocument/2006/customXml" ds:itemID="{894459A5-3CBD-4627-BD22-D73A30DEAC09}"/>
</file>

<file path=customXml/itemProps4.xml><?xml version="1.0" encoding="utf-8"?>
<ds:datastoreItem xmlns:ds="http://schemas.openxmlformats.org/officeDocument/2006/customXml" ds:itemID="{FA7239FE-7146-44D7-BCCD-C91F4F39566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0x010100F8F45D059EA5A849972C69527B764867</vt:lpwstr>
  </property>
  <property fmtid="{D5CDD505-2E9C-101B-9397-08002B2CF9AE}" pid="4" name="docLang">
    <vt:lpwstr>en</vt:lpwstr>
  </property>
  <property fmtid="{D5CDD505-2E9C-101B-9397-08002B2CF9AE}" pid="5" name="MediaServiceImageTags">
    <vt:lpwstr/>
  </property>
</Properties>
</file>