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B2994" w14:textId="77777777" w:rsidR="00FD4852" w:rsidRDefault="00000000">
      <w:pPr>
        <w:spacing w:after="80"/>
      </w:pPr>
      <w:r>
        <w:rPr>
          <w:b/>
          <w:bCs/>
          <w:color w:val="1F4E79"/>
          <w:sz w:val="36"/>
          <w:szCs w:val="36"/>
        </w:rPr>
        <w:t>ZLAR Glossary</w:t>
      </w:r>
    </w:p>
    <w:p w14:paraId="0236E38B" w14:textId="77777777" w:rsidR="00FD4852" w:rsidRDefault="00000000">
      <w:pPr>
        <w:spacing w:after="40"/>
      </w:pPr>
      <w:r>
        <w:rPr>
          <w:color w:val="595959"/>
          <w:sz w:val="24"/>
          <w:szCs w:val="24"/>
        </w:rPr>
        <w:t xml:space="preserve">Curated Terms for the </w:t>
      </w:r>
      <w:proofErr w:type="spellStart"/>
      <w:r>
        <w:rPr>
          <w:color w:val="595959"/>
          <w:sz w:val="24"/>
          <w:szCs w:val="24"/>
        </w:rPr>
        <w:t>NCCoE</w:t>
      </w:r>
      <w:proofErr w:type="spellEnd"/>
      <w:r>
        <w:rPr>
          <w:color w:val="595959"/>
          <w:sz w:val="24"/>
          <w:szCs w:val="24"/>
        </w:rPr>
        <w:t xml:space="preserve"> Concept Paper Response</w:t>
      </w:r>
    </w:p>
    <w:p w14:paraId="0EC3F7A2" w14:textId="77777777" w:rsidR="00FD4852" w:rsidRDefault="00000000">
      <w:pPr>
        <w:pBdr>
          <w:bottom w:val="single" w:sz="6" w:space="1" w:color="1F4E79"/>
        </w:pBdr>
        <w:spacing w:after="200"/>
      </w:pPr>
      <w:r>
        <w:rPr>
          <w:i/>
          <w:iCs/>
          <w:color w:val="595959"/>
          <w:sz w:val="18"/>
          <w:szCs w:val="18"/>
        </w:rPr>
        <w:t>Supporting reference for public comment on software and AI agent identity and authorization</w:t>
      </w:r>
    </w:p>
    <w:p w14:paraId="0EFFB4CF" w14:textId="77777777" w:rsidR="00FD4852" w:rsidRDefault="00000000">
      <w:pPr>
        <w:spacing w:after="200"/>
      </w:pPr>
      <w:r>
        <w:t xml:space="preserve">This glossary contains terms directly relevant to the </w:t>
      </w:r>
      <w:proofErr w:type="spellStart"/>
      <w:r>
        <w:t>NCCoE</w:t>
      </w:r>
      <w:proofErr w:type="spellEnd"/>
      <w:r>
        <w:t xml:space="preserve"> concept paper’s six focus areas. Where a NIST or standards-body term exists for a ZLAR concept, the NIST term leads and the ZLAR term follows in brackets. Terms are organized by category: architecture, enforcement, evidence, identity, standards, and regulatory.</w:t>
      </w:r>
    </w:p>
    <w:p w14:paraId="02C8211A" w14:textId="77777777" w:rsidR="00FD4852" w:rsidRDefault="00000000">
      <w:pPr>
        <w:pStyle w:val="Heading1"/>
      </w:pPr>
      <w:r>
        <w:t>1. Architecture</w:t>
      </w:r>
    </w:p>
    <w:p w14:paraId="52AA82E3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Data Plane Enforcement Point [Execution Boundary]</w:t>
      </w:r>
    </w:p>
    <w:p w14:paraId="726C3141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800-207) / ZLAR</w:t>
      </w:r>
    </w:p>
    <w:p w14:paraId="3BAA85F2" w14:textId="77777777" w:rsidR="00FD4852" w:rsidRDefault="00000000">
      <w:pPr>
        <w:spacing w:after="60"/>
      </w:pPr>
      <w:r>
        <w:t>The exact point where an AI agent’s reasoning becomes a real-world action. The location where the Policy Enforcement Point operates. SP 800-207 distinguishes the control plane (PDP/PE) from the data plane (where the PEP mediates access between subjects and resources).</w:t>
      </w:r>
    </w:p>
    <w:p w14:paraId="17E16E02" w14:textId="77777777" w:rsidR="00FD4852" w:rsidRDefault="00000000">
      <w:pPr>
        <w:spacing w:after="60"/>
      </w:pPr>
      <w:r>
        <w:t xml:space="preserve">ZLAR applies the PEP concept to the specific location where an agent’s action selection (non-deterministic) meets policy enforcement (deterministic). SP 800-207 was written for network/data </w:t>
      </w:r>
      <w:proofErr w:type="gramStart"/>
      <w:r>
        <w:t>access;</w:t>
      </w:r>
      <w:proofErr w:type="gramEnd"/>
      <w:r>
        <w:t xml:space="preserve"> execution boundary names this stratum for AI agents.</w:t>
      </w:r>
    </w:p>
    <w:p w14:paraId="3E45F514" w14:textId="77777777" w:rsidR="00FD4852" w:rsidRDefault="00FD4852">
      <w:pPr>
        <w:pBdr>
          <w:bottom w:val="single" w:sz="1" w:space="1" w:color="D9D9D9"/>
        </w:pBdr>
        <w:spacing w:before="80"/>
      </w:pPr>
    </w:p>
    <w:p w14:paraId="1CD7DC81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The Governance Primitive</w:t>
      </w:r>
    </w:p>
    <w:p w14:paraId="20330B58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ZLAR</w:t>
      </w:r>
    </w:p>
    <w:p w14:paraId="6146F793" w14:textId="77777777" w:rsidR="00FD4852" w:rsidRDefault="00000000">
      <w:pPr>
        <w:spacing w:after="60"/>
      </w:pPr>
      <w:r>
        <w:t>Authorization before irreversible action, with tamper-proof evidence — expressed as a three-property design pattern. Unifies SP 800-207’s PEP/PDP model, SP 800-53 AU-10’s non-repudiation requirement, and EU AI Act Article 14’s human oversight mandate into a single architectural property.</w:t>
      </w:r>
    </w:p>
    <w:p w14:paraId="7A949C9D" w14:textId="77777777" w:rsidR="00FD4852" w:rsidRDefault="00000000">
      <w:pPr>
        <w:spacing w:after="60"/>
      </w:pPr>
      <w:r>
        <w:t>Three properties: (1) Cryptographic evidence — you can prove what happened. (2) Structural enforcement — policy rules cannot be overridden by the agent. (3) Formal verification path via Cedar — you can prove the enforcement rules are correct before deployment (PoC validated).</w:t>
      </w:r>
    </w:p>
    <w:p w14:paraId="3249278D" w14:textId="77777777" w:rsidR="00FD4852" w:rsidRDefault="00FD4852">
      <w:pPr>
        <w:pBdr>
          <w:bottom w:val="single" w:sz="1" w:space="1" w:color="D9D9D9"/>
        </w:pBdr>
        <w:spacing w:before="80"/>
      </w:pPr>
    </w:p>
    <w:p w14:paraId="3B7F1115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Access Enforcement [Enforcement Layer]</w:t>
      </w:r>
    </w:p>
    <w:p w14:paraId="14BF29B3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800-53 AC-3) / ZLAR</w:t>
      </w:r>
    </w:p>
    <w:p w14:paraId="04AF6E0E" w14:textId="77777777" w:rsidR="00FD4852" w:rsidRDefault="00000000">
      <w:pPr>
        <w:spacing w:after="60"/>
      </w:pPr>
      <w:r>
        <w:t>The layer of the architecture that intercepts agent actions before execution and decides whether they proceed. Maps to SP 800-53 AC-3 (Access Enforcement).</w:t>
      </w:r>
    </w:p>
    <w:p w14:paraId="591DC123" w14:textId="77777777" w:rsidR="00FD4852" w:rsidRDefault="00000000">
      <w:pPr>
        <w:spacing w:after="60"/>
      </w:pPr>
      <w:r>
        <w:t>ZLAR’s enforcement layer contains no machine learning, no natural language processing, and no probabilistic reasoning — it evaluates signed policy deterministically. Two surfaces: bash gate (hook-based) and MCP gate (JSON-RPC proxy), both sharing the same signed policy and audit trail format.</w:t>
      </w:r>
    </w:p>
    <w:p w14:paraId="65874271" w14:textId="77777777" w:rsidR="00FD4852" w:rsidRDefault="00FD4852">
      <w:pPr>
        <w:pBdr>
          <w:bottom w:val="single" w:sz="1" w:space="1" w:color="D9D9D9"/>
        </w:pBdr>
        <w:spacing w:before="80"/>
      </w:pPr>
    </w:p>
    <w:p w14:paraId="110CC404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Continuous Monitoring [Observation Layer]</w:t>
      </w:r>
    </w:p>
    <w:p w14:paraId="31C89490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800-137 / SP 800-53 SI-4) / ZLAR</w:t>
      </w:r>
    </w:p>
    <w:p w14:paraId="76F81A3F" w14:textId="77777777" w:rsidR="00FD4852" w:rsidRDefault="00000000">
      <w:pPr>
        <w:spacing w:after="60"/>
      </w:pPr>
      <w:r>
        <w:t>The layer that reads the evidence trail after the fact, finds patterns, and surfaces them to the human. Maps to SP 800-137 (Information Security Continuous Monitoring) and SI-4 (System Monitoring).</w:t>
      </w:r>
    </w:p>
    <w:p w14:paraId="2713DD19" w14:textId="77777777" w:rsidR="00FD4852" w:rsidRDefault="00000000">
      <w:pPr>
        <w:spacing w:after="60"/>
      </w:pPr>
      <w:r>
        <w:t>The observation layer is structurally forbidden from enforcement. It produces facts for the human to interpret, not alerts for the system to act on.</w:t>
      </w:r>
    </w:p>
    <w:p w14:paraId="4015C573" w14:textId="77777777" w:rsidR="00FD4852" w:rsidRDefault="00FD4852">
      <w:pPr>
        <w:pBdr>
          <w:bottom w:val="single" w:sz="1" w:space="1" w:color="D9D9D9"/>
        </w:pBdr>
        <w:spacing w:before="80"/>
      </w:pPr>
    </w:p>
    <w:p w14:paraId="1E449D8D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lastRenderedPageBreak/>
        <w:t>Identity-to-Execution Gap</w:t>
      </w:r>
    </w:p>
    <w:p w14:paraId="495CFCB8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 xml:space="preserve">EXT (industry / </w:t>
      </w:r>
      <w:proofErr w:type="spellStart"/>
      <w:r>
        <w:rPr>
          <w:i/>
          <w:iCs/>
          <w:color w:val="595959"/>
          <w:sz w:val="18"/>
          <w:szCs w:val="18"/>
        </w:rPr>
        <w:t>NCCoE</w:t>
      </w:r>
      <w:proofErr w:type="spellEnd"/>
      <w:r>
        <w:rPr>
          <w:i/>
          <w:iCs/>
          <w:color w:val="595959"/>
          <w:sz w:val="18"/>
          <w:szCs w:val="18"/>
        </w:rPr>
        <w:t>)</w:t>
      </w:r>
    </w:p>
    <w:p w14:paraId="0F57F829" w14:textId="77777777" w:rsidR="00FD4852" w:rsidRDefault="00000000">
      <w:pPr>
        <w:spacing w:after="60"/>
      </w:pPr>
      <w:r>
        <w:t>The structural gap between agent authentication (knowing who the agent is) and execution governance (controlling what the agent does and proving what happened). Only 28% of organizations can trace agent actions to a human sponsor (CSA/Strata Identity, 2026).</w:t>
      </w:r>
    </w:p>
    <w:p w14:paraId="3CD80427" w14:textId="77777777" w:rsidR="00FD4852" w:rsidRDefault="00000000">
      <w:pPr>
        <w:spacing w:after="60"/>
      </w:pPr>
      <w:r>
        <w:t xml:space="preserve">The six </w:t>
      </w:r>
      <w:proofErr w:type="spellStart"/>
      <w:r>
        <w:t>NCCoE</w:t>
      </w:r>
      <w:proofErr w:type="spellEnd"/>
      <w:r>
        <w:t xml:space="preserve"> standards collectively address identity but none provides deterministic per-action enforcement at the execution boundary. ZLAR fills this gap as the PEP/PDP (SP 800-207) applied to agent actions.</w:t>
      </w:r>
    </w:p>
    <w:p w14:paraId="46241C0B" w14:textId="77777777" w:rsidR="00FD4852" w:rsidRDefault="00FD4852">
      <w:pPr>
        <w:pBdr>
          <w:bottom w:val="single" w:sz="1" w:space="1" w:color="D9D9D9"/>
        </w:pBdr>
        <w:spacing w:before="80"/>
      </w:pPr>
    </w:p>
    <w:p w14:paraId="72549D99" w14:textId="77777777" w:rsidR="00FD4852" w:rsidRDefault="00000000">
      <w:pPr>
        <w:pStyle w:val="Heading1"/>
      </w:pPr>
      <w:r>
        <w:t>2. Enforcement</w:t>
      </w:r>
    </w:p>
    <w:p w14:paraId="332EDAFD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Policy Enforcement Point [Gate]</w:t>
      </w:r>
    </w:p>
    <w:p w14:paraId="2793DEAC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800-207) / ZLAR</w:t>
      </w:r>
    </w:p>
    <w:p w14:paraId="6ED24040" w14:textId="77777777" w:rsidR="00FD4852" w:rsidRDefault="00000000">
      <w:pPr>
        <w:spacing w:after="60"/>
      </w:pPr>
      <w:r>
        <w:t>The non-</w:t>
      </w:r>
      <w:proofErr w:type="spellStart"/>
      <w:r>
        <w:t>bypassable</w:t>
      </w:r>
      <w:proofErr w:type="spellEnd"/>
      <w:r>
        <w:t xml:space="preserve"> component that intercepts every tool call an AI agent makes, evaluates it against a signed policy, and returns allow/deny/ask. SP 800-207 Section 3.1 defines the PEP as “responsible for enabling, monitoring, and eventually terminating connections between a subject and an enterprise resource.”</w:t>
      </w:r>
    </w:p>
    <w:p w14:paraId="12F7DA4D" w14:textId="77777777" w:rsidR="00FD4852" w:rsidRDefault="00000000">
      <w:pPr>
        <w:spacing w:after="60"/>
      </w:pPr>
      <w:r>
        <w:t>ZLAR’s PEP contains no machine learning, no natural language processing, and no probabilistic reasoning. It evaluates signed policy deterministically and is not susceptible to prompt-based manipulation.</w:t>
      </w:r>
    </w:p>
    <w:p w14:paraId="497E89F9" w14:textId="77777777" w:rsidR="00FD4852" w:rsidRDefault="00FD4852">
      <w:pPr>
        <w:pBdr>
          <w:bottom w:val="single" w:sz="1" w:space="1" w:color="D9D9D9"/>
        </w:pBdr>
        <w:spacing w:before="80"/>
      </w:pPr>
    </w:p>
    <w:p w14:paraId="167FF2AC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Policy Decision Point (PDP) / Policy Engine (PE)</w:t>
      </w:r>
    </w:p>
    <w:p w14:paraId="458D6276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800-207 Section 3.1)</w:t>
      </w:r>
    </w:p>
    <w:p w14:paraId="5C0728A0" w14:textId="77777777" w:rsidR="00FD4852" w:rsidRDefault="00000000">
      <w:pPr>
        <w:spacing w:after="60"/>
      </w:pPr>
      <w:r>
        <w:t>The component responsible for the ultimate decision to grant access. In ZLAR’s current production deployment, the JSON policy evaluator is the PDP — it evaluates signed rules top-to-bottom with deterministic, default-deny semantics.</w:t>
      </w:r>
    </w:p>
    <w:p w14:paraId="19AE6136" w14:textId="77777777" w:rsidR="00FD4852" w:rsidRDefault="00000000">
      <w:pPr>
        <w:spacing w:after="60"/>
      </w:pPr>
      <w:r>
        <w:t>Cedar is the proven migration path (PoC with 14/14 tests, formal verification via SMT solver), adding formal policy analysis capabilities the current JSON evaluator does not have. Both share the same property: deterministic evaluation that cannot be persuaded.</w:t>
      </w:r>
    </w:p>
    <w:p w14:paraId="51D41B59" w14:textId="77777777" w:rsidR="00FD4852" w:rsidRDefault="00FD4852">
      <w:pPr>
        <w:pBdr>
          <w:bottom w:val="single" w:sz="1" w:space="1" w:color="D9D9D9"/>
        </w:pBdr>
        <w:spacing w:before="80"/>
      </w:pPr>
    </w:p>
    <w:p w14:paraId="512A1127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Signed Authorization Policy [Policy]</w:t>
      </w:r>
    </w:p>
    <w:p w14:paraId="55E0ED9E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800-207, SP 800-53 SI-7(6)) / ZLAR</w:t>
      </w:r>
    </w:p>
    <w:p w14:paraId="3108A82E" w14:textId="77777777" w:rsidR="00FD4852" w:rsidRDefault="00000000">
      <w:pPr>
        <w:spacing w:after="60"/>
      </w:pPr>
      <w:r>
        <w:t>The signed, versioned JSON document that defines what the PEP allows, denies, and asks about. Satisfies SI-7(6) (cryptographic protection of information integrity). Ed25519-signed (FIPS 186-5) — agents cannot modify the rules that govern them.</w:t>
      </w:r>
    </w:p>
    <w:p w14:paraId="3428C820" w14:textId="77777777" w:rsidR="00FD4852" w:rsidRDefault="00000000">
      <w:pPr>
        <w:spacing w:after="60"/>
      </w:pPr>
      <w:r>
        <w:t>If the signature is invalid, the gate refuses to load the policy and denies everything (fail-closed per SP 800-207 default-deny posture).</w:t>
      </w:r>
    </w:p>
    <w:p w14:paraId="1B923E2E" w14:textId="77777777" w:rsidR="00FD4852" w:rsidRDefault="00FD4852">
      <w:pPr>
        <w:pBdr>
          <w:bottom w:val="single" w:sz="1" w:space="1" w:color="D9D9D9"/>
        </w:pBdr>
        <w:spacing w:before="80"/>
      </w:pPr>
    </w:p>
    <w:p w14:paraId="54683A49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Default-Deny Posture / Fail-Secure [Fail-Closed]</w:t>
      </w:r>
    </w:p>
    <w:p w14:paraId="3D90D89D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800-207 Section 3, SP 800-53 SC-24) / ZLAR</w:t>
      </w:r>
    </w:p>
    <w:p w14:paraId="78D2CD8F" w14:textId="77777777" w:rsidR="00FD4852" w:rsidRDefault="00000000">
      <w:pPr>
        <w:spacing w:after="60"/>
      </w:pPr>
      <w:r>
        <w:t>Any failure in the gate results in denial, never in allowing an action to proceed. Implements the default-deny architectural assumption of SP 800-207’s ZTA model and SC-24 (Fail in Known State).</w:t>
      </w:r>
    </w:p>
    <w:p w14:paraId="4A24CE93" w14:textId="77777777" w:rsidR="00FD4852" w:rsidRDefault="00000000">
      <w:pPr>
        <w:spacing w:after="60"/>
      </w:pPr>
      <w:r>
        <w:t xml:space="preserve">Five governance-specific failure modes (missing policy, invalid signature, gate crash, human unreachable, unwritable audit trail) — each </w:t>
      </w:r>
      <w:proofErr w:type="gramStart"/>
      <w:r>
        <w:t>defaults</w:t>
      </w:r>
      <w:proofErr w:type="gramEnd"/>
      <w:r>
        <w:t xml:space="preserve"> to deny.</w:t>
      </w:r>
    </w:p>
    <w:p w14:paraId="0115BF56" w14:textId="77777777" w:rsidR="00FD4852" w:rsidRDefault="00FD4852">
      <w:pPr>
        <w:pBdr>
          <w:bottom w:val="single" w:sz="1" w:space="1" w:color="D9D9D9"/>
        </w:pBdr>
        <w:spacing w:before="80"/>
      </w:pPr>
    </w:p>
    <w:p w14:paraId="3A5A093B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lastRenderedPageBreak/>
        <w:t>Implicit Deny [Default Action]</w:t>
      </w:r>
    </w:p>
    <w:p w14:paraId="2B20DEBF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800-207 Section 3, SP 800-53 AC-3) / ZLAR</w:t>
      </w:r>
    </w:p>
    <w:p w14:paraId="270E212D" w14:textId="77777777" w:rsidR="00FD4852" w:rsidRDefault="00000000">
      <w:pPr>
        <w:spacing w:after="60"/>
      </w:pPr>
      <w:r>
        <w:t>The policy-level fallback when no rule matches a tool call. Anything not explicitly addressed by a rule is blocked.</w:t>
      </w:r>
    </w:p>
    <w:p w14:paraId="641B8261" w14:textId="77777777" w:rsidR="00FD4852" w:rsidRDefault="00FD4852">
      <w:pPr>
        <w:pBdr>
          <w:bottom w:val="single" w:sz="1" w:space="1" w:color="D9D9D9"/>
        </w:pBdr>
        <w:spacing w:before="80"/>
      </w:pPr>
    </w:p>
    <w:p w14:paraId="0E65A493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Risk Assessment [Risk Profile]</w:t>
      </w:r>
    </w:p>
    <w:p w14:paraId="6C674D01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800-53 RA-3, SP 800-30) / ZLAR</w:t>
      </w:r>
    </w:p>
    <w:p w14:paraId="520202A4" w14:textId="77777777" w:rsidR="00FD4852" w:rsidRDefault="00000000">
      <w:pPr>
        <w:spacing w:after="60"/>
      </w:pPr>
      <w:r>
        <w:t xml:space="preserve">A three-dimensional numeric assessment per policy rule: irreversibility, consequence, and </w:t>
      </w:r>
      <w:proofErr w:type="spellStart"/>
      <w:r>
        <w:t>blast_radius</w:t>
      </w:r>
      <w:proofErr w:type="spellEnd"/>
      <w:r>
        <w:t xml:space="preserve"> (each 0–100). Maps to RA-3 applied at the per-action level.</w:t>
      </w:r>
    </w:p>
    <w:p w14:paraId="322C4158" w14:textId="77777777" w:rsidR="00FD4852" w:rsidRDefault="00000000">
      <w:pPr>
        <w:spacing w:after="60"/>
      </w:pPr>
      <w:r>
        <w:t>NIST distinction: SP 800-30 covers organizational risk across the C/I/A triad. ZLAR adds irreversibility as a first-class dimension — the same action can be low-consequence but high-irreversibility.</w:t>
      </w:r>
    </w:p>
    <w:p w14:paraId="66D398CB" w14:textId="77777777" w:rsidR="00FD4852" w:rsidRDefault="00FD4852">
      <w:pPr>
        <w:pBdr>
          <w:bottom w:val="single" w:sz="1" w:space="1" w:color="D9D9D9"/>
        </w:pBdr>
        <w:spacing w:before="80"/>
      </w:pPr>
    </w:p>
    <w:p w14:paraId="5E999D0E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Least Privilege / Delegation of Authority [Permission Attenuation]</w:t>
      </w:r>
    </w:p>
    <w:p w14:paraId="462AFED9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800-53 AC-6) / ZLAR</w:t>
      </w:r>
    </w:p>
    <w:p w14:paraId="7A7F9FB9" w14:textId="77777777" w:rsidR="00FD4852" w:rsidRDefault="00000000">
      <w:pPr>
        <w:spacing w:after="60"/>
      </w:pPr>
      <w:r>
        <w:t>The monotonic reduction of capabilities at each step in a delegation chain. Implements AC-6 (Least Privilege) across multi-agent delegation hops.</w:t>
      </w:r>
    </w:p>
    <w:p w14:paraId="0D1F74B2" w14:textId="77777777" w:rsidR="00FD4852" w:rsidRDefault="00000000">
      <w:pPr>
        <w:spacing w:after="60"/>
      </w:pPr>
      <w:r>
        <w:t>As of March 2026, zero of eight major multi-agent frameworks implement permission attenuation in delegation chains.</w:t>
      </w:r>
    </w:p>
    <w:p w14:paraId="0ACC8724" w14:textId="77777777" w:rsidR="00FD4852" w:rsidRDefault="00FD4852">
      <w:pPr>
        <w:pBdr>
          <w:bottom w:val="single" w:sz="1" w:space="1" w:color="D9D9D9"/>
        </w:pBdr>
        <w:spacing w:before="80"/>
      </w:pPr>
    </w:p>
    <w:p w14:paraId="63692593" w14:textId="77777777" w:rsidR="00FD4852" w:rsidRDefault="00000000">
      <w:pPr>
        <w:pStyle w:val="Heading1"/>
      </w:pPr>
      <w:r>
        <w:t>3. Evidence &amp; Audit</w:t>
      </w:r>
    </w:p>
    <w:p w14:paraId="53D36CC4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Cryptographic Audit Trail [Evidence Layer]</w:t>
      </w:r>
    </w:p>
    <w:p w14:paraId="71007869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800-53 AU-9(3), AU-10) / ZLAR</w:t>
      </w:r>
    </w:p>
    <w:p w14:paraId="3A1852D9" w14:textId="77777777" w:rsidR="00FD4852" w:rsidRDefault="00000000">
      <w:pPr>
        <w:spacing w:after="60"/>
      </w:pPr>
      <w:r>
        <w:t>Proves what happened — cryptographically, tamper-evidently, with non-repudiable human attribution. Satisfies AU-9(3) (“cryptographic mechanisms to protect the integrity of audit information”) and AU-10 (non-repudiation via digital signatures).</w:t>
      </w:r>
    </w:p>
    <w:p w14:paraId="522F2EAA" w14:textId="77777777" w:rsidR="00FD4852" w:rsidRDefault="00000000">
      <w:pPr>
        <w:spacing w:after="60"/>
      </w:pPr>
      <w:r>
        <w:t xml:space="preserve">Per-entry FIPS 186-5 </w:t>
      </w:r>
      <w:proofErr w:type="spellStart"/>
      <w:r>
        <w:t>EdDSA</w:t>
      </w:r>
      <w:proofErr w:type="spellEnd"/>
      <w:r>
        <w:t xml:space="preserve"> signatures satisfy AU-10. FIPS 180-4 SHA-256 hash chaining satisfies AU-9(3). As of March 2026, no ratified standard specifies a format for cryptographically verifiable agent action audit trails.</w:t>
      </w:r>
    </w:p>
    <w:p w14:paraId="771E15CF" w14:textId="77777777" w:rsidR="00FD4852" w:rsidRDefault="00FD4852">
      <w:pPr>
        <w:pBdr>
          <w:bottom w:val="single" w:sz="1" w:space="1" w:color="D9D9D9"/>
        </w:pBdr>
        <w:spacing w:before="80"/>
      </w:pPr>
    </w:p>
    <w:p w14:paraId="58378F2C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Audit Records with Cryptographic Protection [Audit Trail]</w:t>
      </w:r>
    </w:p>
    <w:p w14:paraId="667C7741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800-53 AU-2, AU-3, AU-9(3), AU-12) / ZLAR</w:t>
      </w:r>
    </w:p>
    <w:p w14:paraId="4FF7E482" w14:textId="77777777" w:rsidR="00FD4852" w:rsidRDefault="00000000">
      <w:pPr>
        <w:spacing w:after="60"/>
      </w:pPr>
      <w:r>
        <w:t>Satisfies AU-2 (Event Logging), AU-3 (Content of Audit Records — all six required fields present), AU-9(3) (cryptographic integrity protection), and AU-12 (automatic generation at execution boundary).</w:t>
      </w:r>
    </w:p>
    <w:p w14:paraId="74063EA4" w14:textId="77777777" w:rsidR="00FD4852" w:rsidRDefault="00FD4852">
      <w:pPr>
        <w:pBdr>
          <w:bottom w:val="single" w:sz="1" w:space="1" w:color="D9D9D9"/>
        </w:pBdr>
        <w:spacing w:before="80"/>
      </w:pPr>
    </w:p>
    <w:p w14:paraId="2E9E1D9A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Tamper-Evident Hash Chain [Hash Chain]</w:t>
      </w:r>
    </w:p>
    <w:p w14:paraId="02E278BD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800-53 AU-9(3), FIPS 180-4) / ZLAR</w:t>
      </w:r>
    </w:p>
    <w:p w14:paraId="453E8B54" w14:textId="77777777" w:rsidR="00FD4852" w:rsidRDefault="00000000">
      <w:pPr>
        <w:spacing w:after="60"/>
      </w:pPr>
      <w:r>
        <w:t xml:space="preserve">Each audit entry’s </w:t>
      </w:r>
      <w:proofErr w:type="spellStart"/>
      <w:r>
        <w:t>prev_hash</w:t>
      </w:r>
      <w:proofErr w:type="spellEnd"/>
      <w:r>
        <w:t xml:space="preserve"> field contains the FIPS 180-4 SHA-256 hash of the previous entry. Any modification, insertion, deletion, or reordering invalidates all subsequent entries.</w:t>
      </w:r>
    </w:p>
    <w:p w14:paraId="0B73F6DA" w14:textId="77777777" w:rsidR="00FD4852" w:rsidRDefault="00000000">
      <w:pPr>
        <w:spacing w:after="60"/>
      </w:pPr>
      <w:r>
        <w:t>SP 800-92 identifies the need for log integrity but specifies no mechanism. ZLAR provides a specific, deployed implementation.</w:t>
      </w:r>
    </w:p>
    <w:p w14:paraId="7AD1D1CC" w14:textId="77777777" w:rsidR="00FD4852" w:rsidRDefault="00FD4852">
      <w:pPr>
        <w:pBdr>
          <w:bottom w:val="single" w:sz="1" w:space="1" w:color="D9D9D9"/>
        </w:pBdr>
        <w:spacing w:before="80"/>
      </w:pPr>
    </w:p>
    <w:p w14:paraId="5E6A7FAF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lastRenderedPageBreak/>
        <w:t>Non-Repudiation / Decision Attribution [Authorizer]</w:t>
      </w:r>
    </w:p>
    <w:p w14:paraId="36B15117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800-53 AU-10) / ZLAR</w:t>
      </w:r>
    </w:p>
    <w:p w14:paraId="4B80A424" w14:textId="77777777" w:rsidR="00FD4852" w:rsidRDefault="00000000">
      <w:pPr>
        <w:spacing w:after="60"/>
      </w:pPr>
      <w:r>
        <w:t>Every audit entry records who or what made the decision. Satisfies AU-10 (</w:t>
      </w:r>
      <w:proofErr w:type="gramStart"/>
      <w:r>
        <w:t>Non-repudiation</w:t>
      </w:r>
      <w:proofErr w:type="gramEnd"/>
      <w:r>
        <w:t>) via per-entry Ed25519 digital signatures. Required at SP 800-53B High baseline.</w:t>
      </w:r>
    </w:p>
    <w:p w14:paraId="2125C92E" w14:textId="77777777" w:rsidR="00FD4852" w:rsidRDefault="00000000">
      <w:pPr>
        <w:spacing w:after="60"/>
      </w:pPr>
      <w:r>
        <w:t>Distinguishes policy-auto, human-approved (by specific user ID), timeout, rate-limit, and error authorizers in each entry.</w:t>
      </w:r>
    </w:p>
    <w:p w14:paraId="41A3A3DB" w14:textId="77777777" w:rsidR="00FD4852" w:rsidRDefault="00FD4852">
      <w:pPr>
        <w:pBdr>
          <w:bottom w:val="single" w:sz="1" w:space="1" w:color="D9D9D9"/>
        </w:pBdr>
        <w:spacing w:before="80"/>
      </w:pPr>
    </w:p>
    <w:p w14:paraId="3DD1E09A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Security Attestation [Proof Layer]</w:t>
      </w:r>
    </w:p>
    <w:p w14:paraId="37A237D5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800-53A) / ZLAR</w:t>
      </w:r>
    </w:p>
    <w:p w14:paraId="6544AF95" w14:textId="77777777" w:rsidR="00FD4852" w:rsidRDefault="00000000">
      <w:pPr>
        <w:spacing w:after="60"/>
      </w:pPr>
      <w:r>
        <w:t>A self-contained, cryptographically sealed attestation bundle for consumption by regulators, insurers, courts, and auditors. An external party can independently verify without access to ZLAR’s running infrastructure.</w:t>
      </w:r>
    </w:p>
    <w:p w14:paraId="1710D2BB" w14:textId="77777777" w:rsidR="00FD4852" w:rsidRDefault="00FD4852">
      <w:pPr>
        <w:pBdr>
          <w:bottom w:val="single" w:sz="1" w:space="1" w:color="D9D9D9"/>
        </w:pBdr>
        <w:spacing w:before="80"/>
      </w:pPr>
    </w:p>
    <w:p w14:paraId="7B70FD1D" w14:textId="77777777" w:rsidR="00FD4852" w:rsidRDefault="00000000">
      <w:pPr>
        <w:pStyle w:val="Heading1"/>
      </w:pPr>
      <w:r>
        <w:t>4. Cryptography</w:t>
      </w:r>
    </w:p>
    <w:p w14:paraId="38AB2FAE" w14:textId="77777777" w:rsidR="00FD4852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EdDSA</w:t>
      </w:r>
      <w:proofErr w:type="spellEnd"/>
      <w:r>
        <w:rPr>
          <w:b/>
          <w:bCs/>
          <w:sz w:val="22"/>
          <w:szCs w:val="22"/>
        </w:rPr>
        <w:t xml:space="preserve"> per FIPS 186-5 [Ed25519]</w:t>
      </w:r>
    </w:p>
    <w:p w14:paraId="1A510081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(FIPS 186-5 Section 7, SP 800-186)</w:t>
      </w:r>
    </w:p>
    <w:p w14:paraId="308D039F" w14:textId="77777777" w:rsidR="00FD4852" w:rsidRDefault="00000000">
      <w:pPr>
        <w:spacing w:after="60"/>
      </w:pPr>
      <w:r>
        <w:t>NIST-approved digital signature algorithm using the Edwards25519 curve. Used by ZLAR for policy signing and per-entry audit trail integrity. CMVP-validated modules exist (Bouncy Castle BC-FJA 2.1.0, Certificate #4943, FIPS 140-3).</w:t>
      </w:r>
    </w:p>
    <w:p w14:paraId="2CD0AB6D" w14:textId="77777777" w:rsidR="00FD4852" w:rsidRDefault="00000000">
      <w:pPr>
        <w:spacing w:after="60"/>
      </w:pPr>
      <w:r>
        <w:t xml:space="preserve">Cite as: “FIPS 186-5-approved </w:t>
      </w:r>
      <w:proofErr w:type="spellStart"/>
      <w:r>
        <w:t>EdDSA</w:t>
      </w:r>
      <w:proofErr w:type="spellEnd"/>
      <w:r>
        <w:t xml:space="preserve"> per Section 7, using the Edwards25519 curve recommended in SP 800-186.”</w:t>
      </w:r>
    </w:p>
    <w:p w14:paraId="5C4D4512" w14:textId="77777777" w:rsidR="00FD4852" w:rsidRDefault="00FD4852">
      <w:pPr>
        <w:pBdr>
          <w:bottom w:val="single" w:sz="1" w:space="1" w:color="D9D9D9"/>
        </w:pBdr>
        <w:spacing w:before="80"/>
      </w:pPr>
    </w:p>
    <w:p w14:paraId="1B5FA087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SHA-256 per FIPS 180-4</w:t>
      </w:r>
    </w:p>
    <w:p w14:paraId="3E9E1E7B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(FIPS 180-4)</w:t>
      </w:r>
    </w:p>
    <w:p w14:paraId="53041A71" w14:textId="77777777" w:rsidR="00FD4852" w:rsidRDefault="00000000">
      <w:pPr>
        <w:spacing w:after="60"/>
      </w:pPr>
      <w:r>
        <w:t>Cryptographic hash function used for the audit trail’s hash chain. SHA-256 is quantum-safe — unlike Ed25519 signatures, the hash chain is not vulnerable to quantum attacks.</w:t>
      </w:r>
    </w:p>
    <w:p w14:paraId="5F773F02" w14:textId="77777777" w:rsidR="00FD4852" w:rsidRDefault="00FD4852">
      <w:pPr>
        <w:pBdr>
          <w:bottom w:val="single" w:sz="1" w:space="1" w:color="D9D9D9"/>
        </w:pBdr>
        <w:spacing w:before="80"/>
      </w:pPr>
    </w:p>
    <w:p w14:paraId="7CB92762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ML-DSA per FIPS 204 [CRYSTALS-</w:t>
      </w:r>
      <w:proofErr w:type="spellStart"/>
      <w:r>
        <w:rPr>
          <w:b/>
          <w:bCs/>
          <w:sz w:val="22"/>
          <w:szCs w:val="22"/>
        </w:rPr>
        <w:t>Dilithium</w:t>
      </w:r>
      <w:proofErr w:type="spellEnd"/>
      <w:r>
        <w:rPr>
          <w:b/>
          <w:bCs/>
          <w:sz w:val="22"/>
          <w:szCs w:val="22"/>
        </w:rPr>
        <w:t>]</w:t>
      </w:r>
    </w:p>
    <w:p w14:paraId="6628DDE0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(FIPS 204)</w:t>
      </w:r>
    </w:p>
    <w:p w14:paraId="48D4BD35" w14:textId="77777777" w:rsidR="00FD4852" w:rsidRDefault="00000000">
      <w:pPr>
        <w:spacing w:after="60"/>
      </w:pPr>
      <w:r>
        <w:t>Post-quantum digital signature algorithm. ZLAR implements ML-DSA-44 (NIST Level 2) alongside Ed25519 with hybrid composite signing mode. Three modes: ed25519 (default), ml-dsa-44, and hybrid (both must verify).</w:t>
      </w:r>
    </w:p>
    <w:p w14:paraId="246B6423" w14:textId="77777777" w:rsidR="00FD4852" w:rsidRDefault="00000000">
      <w:pPr>
        <w:spacing w:after="60"/>
      </w:pPr>
      <w:r>
        <w:t>Algorithm choice is configuration, not code — satisfying cryptographic agility per IR 8547.</w:t>
      </w:r>
    </w:p>
    <w:p w14:paraId="46ED49F0" w14:textId="77777777" w:rsidR="00FD4852" w:rsidRDefault="00FD4852">
      <w:pPr>
        <w:pBdr>
          <w:bottom w:val="single" w:sz="1" w:space="1" w:color="D9D9D9"/>
        </w:pBdr>
        <w:spacing w:before="80"/>
      </w:pPr>
    </w:p>
    <w:p w14:paraId="183A5102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Cryptographic Agility [PQC Phase 1 → Phase 2]</w:t>
      </w:r>
    </w:p>
    <w:p w14:paraId="104284E2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(IR 8547, SP 800-131A Rev. 2) / ZLAR</w:t>
      </w:r>
    </w:p>
    <w:p w14:paraId="62F08CB2" w14:textId="77777777" w:rsidR="00FD4852" w:rsidRDefault="00000000">
      <w:pPr>
        <w:spacing w:after="60"/>
      </w:pPr>
      <w:r>
        <w:t>The ability to interchange cryptographic algorithms via configuration without code changes. NIST IR 8547 schedules Ed25519 for deprecation after 2030 and prohibition after 2035.</w:t>
      </w:r>
    </w:p>
    <w:p w14:paraId="41526427" w14:textId="77777777" w:rsidR="00FD4852" w:rsidRDefault="00000000">
      <w:pPr>
        <w:spacing w:after="60"/>
      </w:pPr>
      <w:r>
        <w:t>ZLAR’s lib/crypto.sh provides algorithm-agnostic signing, verification, and key management across Ed25519, ML-DSA-44, and hybrid modes.</w:t>
      </w:r>
    </w:p>
    <w:p w14:paraId="10D8FDB1" w14:textId="77777777" w:rsidR="00FD4852" w:rsidRDefault="00FD4852">
      <w:pPr>
        <w:pBdr>
          <w:bottom w:val="single" w:sz="1" w:space="1" w:color="D9D9D9"/>
        </w:pBdr>
        <w:spacing w:before="80"/>
      </w:pPr>
    </w:p>
    <w:p w14:paraId="6F893AC0" w14:textId="77777777" w:rsidR="00FD4852" w:rsidRDefault="00000000">
      <w:pPr>
        <w:pStyle w:val="Heading1"/>
      </w:pPr>
      <w:r>
        <w:lastRenderedPageBreak/>
        <w:t>5. Identity &amp; Authorization Standards</w:t>
      </w:r>
    </w:p>
    <w:p w14:paraId="7E9FD494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Zero Trust Architecture [Zero Trust for AI Agents]</w:t>
      </w:r>
    </w:p>
    <w:p w14:paraId="54AB2322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 (SP 800-207) / ZLAR</w:t>
      </w:r>
    </w:p>
    <w:p w14:paraId="446FA272" w14:textId="77777777" w:rsidR="00FD4852" w:rsidRDefault="00000000">
      <w:pPr>
        <w:spacing w:after="60"/>
      </w:pPr>
      <w:r>
        <w:t>Extension of SP 800-207 zero trust principles to agent governance: never trust the agent, always verify against signed policy before every action.</w:t>
      </w:r>
    </w:p>
    <w:p w14:paraId="09B7DA1E" w14:textId="77777777" w:rsidR="00FD4852" w:rsidRDefault="00000000">
      <w:pPr>
        <w:spacing w:after="60"/>
      </w:pPr>
      <w:r>
        <w:t>ZLAR implements SP 800-207 at the AI agent execution boundary: the JSON policy evaluator functions as the PDP, the gate as the non-</w:t>
      </w:r>
      <w:proofErr w:type="spellStart"/>
      <w:r>
        <w:t>bypassable</w:t>
      </w:r>
      <w:proofErr w:type="spellEnd"/>
      <w:r>
        <w:t xml:space="preserve"> PEP, and the Ed25519-signed audit trail satisfies Tenet 7 (comprehensive telemetry) and SP 800-137 monitoring requirements.</w:t>
      </w:r>
    </w:p>
    <w:p w14:paraId="6D37572F" w14:textId="77777777" w:rsidR="00FD4852" w:rsidRDefault="00FD4852">
      <w:pPr>
        <w:pBdr>
          <w:bottom w:val="single" w:sz="1" w:space="1" w:color="D9D9D9"/>
        </w:pBdr>
        <w:spacing w:before="80"/>
      </w:pPr>
    </w:p>
    <w:p w14:paraId="7F189F4E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OAuth 2.0</w:t>
      </w:r>
    </w:p>
    <w:p w14:paraId="6EA46F7D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 xml:space="preserve">EXT (IETF) — one of six </w:t>
      </w:r>
      <w:proofErr w:type="spellStart"/>
      <w:r>
        <w:rPr>
          <w:i/>
          <w:iCs/>
          <w:color w:val="595959"/>
          <w:sz w:val="18"/>
          <w:szCs w:val="18"/>
        </w:rPr>
        <w:t>NCCoE</w:t>
      </w:r>
      <w:proofErr w:type="spellEnd"/>
      <w:r>
        <w:rPr>
          <w:i/>
          <w:iCs/>
          <w:color w:val="595959"/>
          <w:sz w:val="18"/>
          <w:szCs w:val="18"/>
        </w:rPr>
        <w:t xml:space="preserve"> standards</w:t>
      </w:r>
    </w:p>
    <w:p w14:paraId="35560DDD" w14:textId="77777777" w:rsidR="00FD4852" w:rsidRDefault="00000000">
      <w:pPr>
        <w:spacing w:after="60"/>
      </w:pPr>
      <w:r>
        <w:t>ZLAR operates downstream of OAuth: it assumes OAuth-issued tokens exist and consumes them as identity context, then enforces at the per-action level within the token’s authorized scope. OAuth issues tokens at session boundaries; ZLAR enforces at every action within that session. The two are complementary.</w:t>
      </w:r>
    </w:p>
    <w:p w14:paraId="415EB013" w14:textId="77777777" w:rsidR="00FD4852" w:rsidRDefault="00FD4852">
      <w:pPr>
        <w:pBdr>
          <w:bottom w:val="single" w:sz="1" w:space="1" w:color="D9D9D9"/>
        </w:pBdr>
        <w:spacing w:before="80"/>
      </w:pPr>
    </w:p>
    <w:p w14:paraId="6895AC1B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SCIM (System for Cross-domain Identity Management)</w:t>
      </w:r>
    </w:p>
    <w:p w14:paraId="50F87487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 xml:space="preserve">EXT (IETF) — one of six </w:t>
      </w:r>
      <w:proofErr w:type="spellStart"/>
      <w:r>
        <w:rPr>
          <w:i/>
          <w:iCs/>
          <w:color w:val="595959"/>
          <w:sz w:val="18"/>
          <w:szCs w:val="18"/>
        </w:rPr>
        <w:t>NCCoE</w:t>
      </w:r>
      <w:proofErr w:type="spellEnd"/>
      <w:r>
        <w:rPr>
          <w:i/>
          <w:iCs/>
          <w:color w:val="595959"/>
          <w:sz w:val="18"/>
          <w:szCs w:val="18"/>
        </w:rPr>
        <w:t xml:space="preserve"> standards</w:t>
      </w:r>
    </w:p>
    <w:p w14:paraId="669B4E62" w14:textId="77777777" w:rsidR="00FD4852" w:rsidRDefault="00000000">
      <w:pPr>
        <w:spacing w:after="60"/>
      </w:pPr>
      <w:r>
        <w:t>SCIM provisions identities; ZLAR governs actions taken by those identities. ZLAR’s registry derives agent inventory from governance contact rather than explicit SCIM provisioning.</w:t>
      </w:r>
    </w:p>
    <w:p w14:paraId="6F1B02A8" w14:textId="77777777" w:rsidR="00FD4852" w:rsidRDefault="00FD4852">
      <w:pPr>
        <w:pBdr>
          <w:bottom w:val="single" w:sz="1" w:space="1" w:color="D9D9D9"/>
        </w:pBdr>
        <w:spacing w:before="80"/>
      </w:pPr>
    </w:p>
    <w:p w14:paraId="7A41C6F0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NGAC (Next Generation Access Control)</w:t>
      </w:r>
    </w:p>
    <w:p w14:paraId="4879D235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 xml:space="preserve">NIST (SP 800-178, NIST IR 7987) — one of six </w:t>
      </w:r>
      <w:proofErr w:type="spellStart"/>
      <w:r>
        <w:rPr>
          <w:i/>
          <w:iCs/>
          <w:color w:val="595959"/>
          <w:sz w:val="18"/>
          <w:szCs w:val="18"/>
        </w:rPr>
        <w:t>NCCoE</w:t>
      </w:r>
      <w:proofErr w:type="spellEnd"/>
      <w:r>
        <w:rPr>
          <w:i/>
          <w:iCs/>
          <w:color w:val="595959"/>
          <w:sz w:val="18"/>
          <w:szCs w:val="18"/>
        </w:rPr>
        <w:t xml:space="preserve"> standards</w:t>
      </w:r>
    </w:p>
    <w:p w14:paraId="04822030" w14:textId="77777777" w:rsidR="00FD4852" w:rsidRDefault="00000000">
      <w:pPr>
        <w:spacing w:after="60"/>
      </w:pPr>
      <w:r>
        <w:t xml:space="preserve">A NIST-developed access control standard referenced in the </w:t>
      </w:r>
      <w:proofErr w:type="spellStart"/>
      <w:r>
        <w:t>NCCoE</w:t>
      </w:r>
      <w:proofErr w:type="spellEnd"/>
      <w:r>
        <w:t xml:space="preserve"> concept paper. Cedar implements NGAC’s functional objectives with formal verification via Lean theorem prover and faster evaluation than OPA/Rego (Cedar team, OOPSLA 2024).</w:t>
      </w:r>
    </w:p>
    <w:p w14:paraId="0F197841" w14:textId="77777777" w:rsidR="00FD4852" w:rsidRDefault="00FD4852">
      <w:pPr>
        <w:pBdr>
          <w:bottom w:val="single" w:sz="1" w:space="1" w:color="D9D9D9"/>
        </w:pBdr>
        <w:spacing w:before="80"/>
      </w:pPr>
    </w:p>
    <w:p w14:paraId="5F270C89" w14:textId="77777777" w:rsidR="00FD4852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AuthZEN</w:t>
      </w:r>
      <w:proofErr w:type="spellEnd"/>
    </w:p>
    <w:p w14:paraId="7818C313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EXT (OpenID Foundation)</w:t>
      </w:r>
    </w:p>
    <w:p w14:paraId="6900B1E7" w14:textId="77777777" w:rsidR="00FD4852" w:rsidRDefault="00000000">
      <w:pPr>
        <w:spacing w:after="60"/>
      </w:pPr>
      <w:r>
        <w:t>The Authorization API 1.0 standard defining a Subject/Action/Resource/Context evaluation interface for PEP-to-PDP communication. Implementer’s Draft approved by the OpenID Foundation.</w:t>
      </w:r>
    </w:p>
    <w:p w14:paraId="5AB5CA73" w14:textId="77777777" w:rsidR="00FD4852" w:rsidRDefault="00000000">
      <w:pPr>
        <w:spacing w:after="60"/>
      </w:pPr>
      <w:r>
        <w:t xml:space="preserve">ZLAR’s gate evaluation maps to </w:t>
      </w:r>
      <w:proofErr w:type="spellStart"/>
      <w:r>
        <w:t>AuthZEN’s</w:t>
      </w:r>
      <w:proofErr w:type="spellEnd"/>
      <w:r>
        <w:t xml:space="preserve"> Access Evaluation API. ZLAR could expose an </w:t>
      </w:r>
      <w:proofErr w:type="spellStart"/>
      <w:r>
        <w:t>AuthZEN</w:t>
      </w:r>
      <w:proofErr w:type="spellEnd"/>
      <w:r>
        <w:t xml:space="preserve">-compatible endpoint, enabling interoperability with any </w:t>
      </w:r>
      <w:proofErr w:type="spellStart"/>
      <w:r>
        <w:t>AuthZEN</w:t>
      </w:r>
      <w:proofErr w:type="spellEnd"/>
      <w:r>
        <w:t>-compliant PEP.</w:t>
      </w:r>
    </w:p>
    <w:p w14:paraId="0B248E53" w14:textId="77777777" w:rsidR="00FD4852" w:rsidRDefault="00FD4852">
      <w:pPr>
        <w:pBdr>
          <w:bottom w:val="single" w:sz="1" w:space="1" w:color="D9D9D9"/>
        </w:pBdr>
        <w:spacing w:before="80"/>
      </w:pPr>
    </w:p>
    <w:p w14:paraId="1474B2E3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AIMS (Agent Identity Management System)</w:t>
      </w:r>
    </w:p>
    <w:p w14:paraId="5BFF72CC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EXT (IETF)</w:t>
      </w:r>
    </w:p>
    <w:p w14:paraId="71E3EF1F" w14:textId="77777777" w:rsidR="00FD4852" w:rsidRDefault="00000000">
      <w:pPr>
        <w:spacing w:after="60"/>
      </w:pPr>
      <w:r>
        <w:t>The conceptual model in draft-klrc-aiagent-auth-00 (March 2026), composing WIMSE, SPIFFE, and OAuth 2.0 into a coherent agent identity framework. AIMS explicitly declares policy format and execution-level enforcement out of scope (Section 12). ZLAR provides the execution-boundary PEP and cryptographic audit trail that AIMS leaves to implementers.</w:t>
      </w:r>
    </w:p>
    <w:p w14:paraId="5059717F" w14:textId="77777777" w:rsidR="00FD4852" w:rsidRDefault="00FD4852">
      <w:pPr>
        <w:pBdr>
          <w:bottom w:val="single" w:sz="1" w:space="1" w:color="D9D9D9"/>
        </w:pBdr>
        <w:spacing w:before="80"/>
      </w:pPr>
    </w:p>
    <w:p w14:paraId="1263EAEF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WIMSE (Workload Identity in Multi-System Environments)</w:t>
      </w:r>
    </w:p>
    <w:p w14:paraId="1E38857A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lastRenderedPageBreak/>
        <w:t>EXT (IETF)</w:t>
      </w:r>
    </w:p>
    <w:p w14:paraId="79656B10" w14:textId="77777777" w:rsidR="00FD4852" w:rsidRDefault="00000000">
      <w:pPr>
        <w:spacing w:after="60"/>
      </w:pPr>
      <w:r>
        <w:t>Standards for workload identity using URI-based identifiers compatible with SPIFFE IDs. WIMSE answers “what workload is this?” ZLAR answers “what is this workload permitted to do right now?” Together they implement a complete zero trust architecture for AI agents.</w:t>
      </w:r>
    </w:p>
    <w:p w14:paraId="42C94B89" w14:textId="77777777" w:rsidR="00FD4852" w:rsidRDefault="00FD4852">
      <w:pPr>
        <w:pBdr>
          <w:bottom w:val="single" w:sz="1" w:space="1" w:color="D9D9D9"/>
        </w:pBdr>
        <w:spacing w:before="80"/>
      </w:pPr>
    </w:p>
    <w:p w14:paraId="3F6390E0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Non-Human Identity (NHI)</w:t>
      </w:r>
    </w:p>
    <w:p w14:paraId="69B9AD80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 xml:space="preserve">EXT (industry / </w:t>
      </w:r>
      <w:proofErr w:type="spellStart"/>
      <w:r>
        <w:rPr>
          <w:i/>
          <w:iCs/>
          <w:color w:val="595959"/>
          <w:sz w:val="18"/>
          <w:szCs w:val="18"/>
        </w:rPr>
        <w:t>NCCoE</w:t>
      </w:r>
      <w:proofErr w:type="spellEnd"/>
      <w:r>
        <w:rPr>
          <w:i/>
          <w:iCs/>
          <w:color w:val="595959"/>
          <w:sz w:val="18"/>
          <w:szCs w:val="18"/>
        </w:rPr>
        <w:t>)</w:t>
      </w:r>
    </w:p>
    <w:p w14:paraId="1341F652" w14:textId="77777777" w:rsidR="00FD4852" w:rsidRDefault="00000000">
      <w:pPr>
        <w:spacing w:after="60"/>
      </w:pPr>
      <w:r>
        <w:t>An identity assigned to a non-human entity. 82-to-1 ratio of NHIs to human identities in enterprises (Rubrik Zero Labs). SP 800-63-4 explicitly excludes NHIs from scope. ZLAR addresses NHI governance at the execution boundary.</w:t>
      </w:r>
    </w:p>
    <w:p w14:paraId="64937410" w14:textId="77777777" w:rsidR="00FD4852" w:rsidRDefault="00FD4852">
      <w:pPr>
        <w:pBdr>
          <w:bottom w:val="single" w:sz="1" w:space="1" w:color="D9D9D9"/>
        </w:pBdr>
        <w:spacing w:before="80"/>
      </w:pPr>
    </w:p>
    <w:p w14:paraId="07D88692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Cedar</w:t>
      </w:r>
    </w:p>
    <w:p w14:paraId="18AF5314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EXT (AWS / CNCF)</w:t>
      </w:r>
    </w:p>
    <w:p w14:paraId="1912D70C" w14:textId="77777777" w:rsidR="00FD4852" w:rsidRDefault="00000000">
      <w:pPr>
        <w:spacing w:after="60"/>
      </w:pPr>
      <w:r>
        <w:t xml:space="preserve">A policy language with default-deny semantics and formal verification via SMT solver. CNCF Sandbox project. Used by AWS Bedrock </w:t>
      </w:r>
      <w:proofErr w:type="spellStart"/>
      <w:r>
        <w:t>AgentCore</w:t>
      </w:r>
      <w:proofErr w:type="spellEnd"/>
      <w:r>
        <w:t>.</w:t>
      </w:r>
    </w:p>
    <w:p w14:paraId="02D0A45B" w14:textId="77777777" w:rsidR="00FD4852" w:rsidRDefault="00000000">
      <w:pPr>
        <w:spacing w:after="60"/>
      </w:pPr>
      <w:r>
        <w:t>ZLAR’s current production PDP uses JSON rules; Cedar is the proven migration path (PoC with 14/14 tests) adding formal policy analysis. Cedar’s own benchmarks report 42–80x faster evaluation than OPA/Rego (Cedar team, OOPSLA 2024).</w:t>
      </w:r>
    </w:p>
    <w:p w14:paraId="193DE4FE" w14:textId="77777777" w:rsidR="00FD4852" w:rsidRDefault="00FD4852">
      <w:pPr>
        <w:pBdr>
          <w:bottom w:val="single" w:sz="1" w:space="1" w:color="D9D9D9"/>
        </w:pBdr>
        <w:spacing w:before="80"/>
      </w:pPr>
    </w:p>
    <w:p w14:paraId="7686A503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MCP (Model Context Protocol)</w:t>
      </w:r>
    </w:p>
    <w:p w14:paraId="26755289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 xml:space="preserve">EXT (Anthropic / AAIF) — one of six </w:t>
      </w:r>
      <w:proofErr w:type="spellStart"/>
      <w:r>
        <w:rPr>
          <w:i/>
          <w:iCs/>
          <w:color w:val="595959"/>
          <w:sz w:val="18"/>
          <w:szCs w:val="18"/>
        </w:rPr>
        <w:t>NCCoE</w:t>
      </w:r>
      <w:proofErr w:type="spellEnd"/>
      <w:r>
        <w:rPr>
          <w:i/>
          <w:iCs/>
          <w:color w:val="595959"/>
          <w:sz w:val="18"/>
          <w:szCs w:val="18"/>
        </w:rPr>
        <w:t xml:space="preserve"> standards</w:t>
      </w:r>
    </w:p>
    <w:p w14:paraId="7DEC2191" w14:textId="77777777" w:rsidR="00FD4852" w:rsidRDefault="00000000">
      <w:pPr>
        <w:spacing w:after="60"/>
      </w:pPr>
      <w:r>
        <w:t>An open protocol for connecting AI models to external tools. ZLAR’s MCP gate is a vendor-agnostic TCP proxy that intercepts tools/call JSON-RPC requests. MCP defers authorization entirely to OAuth and provides no per-tool enforcement. ZLAR fills this gap externally.</w:t>
      </w:r>
    </w:p>
    <w:p w14:paraId="66D0A2AC" w14:textId="77777777" w:rsidR="00FD4852" w:rsidRDefault="00FD4852">
      <w:pPr>
        <w:pBdr>
          <w:bottom w:val="single" w:sz="1" w:space="1" w:color="D9D9D9"/>
        </w:pBdr>
        <w:spacing w:before="80"/>
      </w:pPr>
    </w:p>
    <w:p w14:paraId="6CFD8902" w14:textId="77777777" w:rsidR="00FD4852" w:rsidRDefault="00000000">
      <w:pPr>
        <w:pStyle w:val="Heading1"/>
      </w:pPr>
      <w:r>
        <w:t>6. Regulatory &amp; Compliance</w:t>
      </w:r>
    </w:p>
    <w:p w14:paraId="557DFA7A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SP 800-53 Rev 5 AU Controls</w:t>
      </w:r>
    </w:p>
    <w:p w14:paraId="5CFEF19C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</w:t>
      </w:r>
    </w:p>
    <w:p w14:paraId="3B87DEF7" w14:textId="77777777" w:rsidR="00FD4852" w:rsidRDefault="00000000">
      <w:pPr>
        <w:spacing w:after="60"/>
      </w:pPr>
      <w:r>
        <w:t xml:space="preserve">ZLAR’s audit trail satisfies: AU-2 (Event Logging), AU-3 (Content of Audit Records — all six required fields), AU-9(3) (Cryptographic Protection via </w:t>
      </w:r>
      <w:proofErr w:type="spellStart"/>
      <w:r>
        <w:t>EdDSA</w:t>
      </w:r>
      <w:proofErr w:type="spellEnd"/>
      <w:r>
        <w:t xml:space="preserve"> signatures), AU-10 (</w:t>
      </w:r>
      <w:proofErr w:type="gramStart"/>
      <w:r>
        <w:t>Non-repudiation</w:t>
      </w:r>
      <w:proofErr w:type="gramEnd"/>
      <w:r>
        <w:t xml:space="preserve"> — required at High baseline), AU-11 (Audit Record Retention), AU-12 (Automatic generation at execution boundary).</w:t>
      </w:r>
    </w:p>
    <w:p w14:paraId="668175C8" w14:textId="77777777" w:rsidR="00FD4852" w:rsidRDefault="00FD4852">
      <w:pPr>
        <w:pBdr>
          <w:bottom w:val="single" w:sz="1" w:space="1" w:color="D9D9D9"/>
        </w:pBdr>
        <w:spacing w:before="80"/>
      </w:pPr>
    </w:p>
    <w:p w14:paraId="0F906183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SR 11-7 / OCC 2011-12 (Model Risk Management)</w:t>
      </w:r>
    </w:p>
    <w:p w14:paraId="30F988A0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EXT (Federal Reserve / OCC)</w:t>
      </w:r>
    </w:p>
    <w:p w14:paraId="6FFB3824" w14:textId="77777777" w:rsidR="00FD4852" w:rsidRDefault="00000000">
      <w:pPr>
        <w:spacing w:after="60"/>
      </w:pPr>
      <w:r>
        <w:t>Interagency guidance on model risk management. ZLAR maps to SR 11-7’s three pillars: (1) Model development → policy authoring and signing ceremony; (2) Model validation → evidence trail and witness layer; (3) Governance, policies, and controls → signed policy, fail-closed defaults, human authority chain.</w:t>
      </w:r>
    </w:p>
    <w:p w14:paraId="13A5AB00" w14:textId="77777777" w:rsidR="00FD4852" w:rsidRDefault="00000000">
      <w:pPr>
        <w:spacing w:after="60"/>
      </w:pPr>
      <w:r>
        <w:t>SR 11-7 requires “effective challenge” — ZLAR’s deny path implements effective challenge at the execution boundary with cryptographic recording.</w:t>
      </w:r>
    </w:p>
    <w:p w14:paraId="559DE475" w14:textId="77777777" w:rsidR="00FD4852" w:rsidRDefault="00FD4852">
      <w:pPr>
        <w:pBdr>
          <w:bottom w:val="single" w:sz="1" w:space="1" w:color="D9D9D9"/>
        </w:pBdr>
        <w:spacing w:before="80"/>
      </w:pPr>
    </w:p>
    <w:p w14:paraId="255244F5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SEC Rule 17a-4 (Audit-Trail Alternative)</w:t>
      </w:r>
    </w:p>
    <w:p w14:paraId="602C266C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EXT (SEC)</w:t>
      </w:r>
    </w:p>
    <w:p w14:paraId="18CAD8A6" w14:textId="77777777" w:rsidR="00FD4852" w:rsidRDefault="00000000">
      <w:pPr>
        <w:spacing w:after="60"/>
      </w:pPr>
      <w:r>
        <w:lastRenderedPageBreak/>
        <w:t>The October 2022 amendments explicitly recognize cryptographic methods (hash chains, digital signatures, Merkle trees) as valid compliance mechanisms for broker-dealer recordkeeping. ZLAR’s hash-chained, Ed25519-signed JSONL architecture directly satisfies 17a-4(f)(2)(ii)(A) requirements.</w:t>
      </w:r>
    </w:p>
    <w:p w14:paraId="38E622DC" w14:textId="77777777" w:rsidR="00FD4852" w:rsidRDefault="00FD4852">
      <w:pPr>
        <w:pBdr>
          <w:bottom w:val="single" w:sz="1" w:space="1" w:color="D9D9D9"/>
        </w:pBdr>
        <w:spacing w:before="80"/>
      </w:pPr>
    </w:p>
    <w:p w14:paraId="6FD4217E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FINRA</w:t>
      </w:r>
    </w:p>
    <w:p w14:paraId="3815DB3B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EXT (US financial regulator)</w:t>
      </w:r>
    </w:p>
    <w:p w14:paraId="39883509" w14:textId="77777777" w:rsidR="00FD4852" w:rsidRDefault="00000000">
      <w:pPr>
        <w:spacing w:after="60"/>
      </w:pPr>
      <w:r>
        <w:t>FINRA’s 2026 Annual Regulatory Oversight Report (December 2025) and Regulatory Notice 24-09 (June 2024) establish supervisory expectations for AI agent deployments. FINRA Rule 3110 (Supervision) requires a supervisory system “reasonably designed to achieve compliance” — ZLAR’s gate is structurally a supervisory control.</w:t>
      </w:r>
    </w:p>
    <w:p w14:paraId="39676280" w14:textId="77777777" w:rsidR="00FD4852" w:rsidRDefault="00000000">
      <w:pPr>
        <w:spacing w:after="60"/>
      </w:pPr>
      <w:r>
        <w:t>Note: these are supervisory expectations, not rules with the force of law.</w:t>
      </w:r>
    </w:p>
    <w:p w14:paraId="4E3AA63C" w14:textId="77777777" w:rsidR="00FD4852" w:rsidRDefault="00FD4852">
      <w:pPr>
        <w:pBdr>
          <w:bottom w:val="single" w:sz="1" w:space="1" w:color="D9D9D9"/>
        </w:pBdr>
        <w:spacing w:before="80"/>
      </w:pPr>
    </w:p>
    <w:p w14:paraId="3B082E8E" w14:textId="77777777" w:rsidR="00FD4852" w:rsidRDefault="00000000">
      <w:pPr>
        <w:spacing w:before="240" w:after="80"/>
      </w:pPr>
      <w:proofErr w:type="spellStart"/>
      <w:r>
        <w:rPr>
          <w:b/>
          <w:bCs/>
          <w:sz w:val="22"/>
          <w:szCs w:val="22"/>
        </w:rPr>
        <w:t>NCCoE</w:t>
      </w:r>
      <w:proofErr w:type="spellEnd"/>
      <w:r>
        <w:rPr>
          <w:b/>
          <w:bCs/>
          <w:sz w:val="22"/>
          <w:szCs w:val="22"/>
        </w:rPr>
        <w:t xml:space="preserve"> (National Cybersecurity Center of Excellence)</w:t>
      </w:r>
    </w:p>
    <w:p w14:paraId="43EEC07F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NIST</w:t>
      </w:r>
    </w:p>
    <w:p w14:paraId="395BA9D8" w14:textId="77777777" w:rsidR="00FD4852" w:rsidRDefault="00000000">
      <w:pPr>
        <w:spacing w:after="60"/>
      </w:pPr>
      <w:r>
        <w:t>NIST’s industry collaboration program. The concept paper “Accelerating the Adoption of Software and AI Agent Identity and Authorization” (February 2026) identifies six focus areas: Identification (I1–I4), Authorization (A1–A5), Access Delegation (D1–D4), Logging and Transparency (N1–N4), Tracking Data Flows (T1–T3), Prompt Injection Prevention (P1–P2).</w:t>
      </w:r>
    </w:p>
    <w:p w14:paraId="0C8F97EB" w14:textId="77777777" w:rsidR="00FD4852" w:rsidRDefault="00000000">
      <w:pPr>
        <w:spacing w:after="60"/>
      </w:pPr>
      <w:r>
        <w:t>References six standards: MCP, OAuth 2.0, OIDC, SPIFFE/SPIRE, SCIM, NGAC. Comment deadline: April 2, 2026.</w:t>
      </w:r>
    </w:p>
    <w:p w14:paraId="7BC3BAAE" w14:textId="77777777" w:rsidR="00FD4852" w:rsidRDefault="00FD4852">
      <w:pPr>
        <w:pBdr>
          <w:bottom w:val="single" w:sz="1" w:space="1" w:color="D9D9D9"/>
        </w:pBdr>
        <w:spacing w:before="80"/>
      </w:pPr>
    </w:p>
    <w:p w14:paraId="1EDD9AC7" w14:textId="77777777" w:rsidR="00FD4852" w:rsidRDefault="00000000">
      <w:pPr>
        <w:spacing w:before="240" w:after="80"/>
      </w:pPr>
      <w:r>
        <w:rPr>
          <w:b/>
          <w:bCs/>
          <w:sz w:val="22"/>
          <w:szCs w:val="22"/>
        </w:rPr>
        <w:t>OWASP Top 10 for Agentic Applications</w:t>
      </w:r>
    </w:p>
    <w:p w14:paraId="3687779F" w14:textId="77777777" w:rsidR="00FD4852" w:rsidRDefault="00000000">
      <w:pPr>
        <w:spacing w:after="40"/>
      </w:pPr>
      <w:r>
        <w:rPr>
          <w:i/>
          <w:iCs/>
          <w:color w:val="595959"/>
          <w:sz w:val="18"/>
          <w:szCs w:val="18"/>
        </w:rPr>
        <w:t>EXT (OWASP)</w:t>
      </w:r>
    </w:p>
    <w:p w14:paraId="0604D280" w14:textId="77777777" w:rsidR="00FD4852" w:rsidRDefault="00000000">
      <w:pPr>
        <w:spacing w:after="60"/>
      </w:pPr>
      <w:r>
        <w:t>Published December 2025. OWASP recommends “comprehensive signed audit logs of agent actions” as a “non-negotiable security control” — directly validating ZLAR’s per-entry Ed25519-signed audit trail.</w:t>
      </w:r>
    </w:p>
    <w:p w14:paraId="020C33C6" w14:textId="77777777" w:rsidR="00FD4852" w:rsidRDefault="00FD4852">
      <w:pPr>
        <w:pBdr>
          <w:bottom w:val="single" w:sz="1" w:space="1" w:color="D9D9D9"/>
        </w:pBdr>
        <w:spacing w:before="80"/>
      </w:pPr>
    </w:p>
    <w:p w14:paraId="292ADA0B" w14:textId="77777777" w:rsidR="00FD4852" w:rsidRDefault="00000000">
      <w:pPr>
        <w:pBdr>
          <w:top w:val="single" w:sz="1" w:space="8" w:color="D9D9D9"/>
        </w:pBdr>
        <w:spacing w:before="400"/>
      </w:pPr>
      <w:r>
        <w:rPr>
          <w:color w:val="808080"/>
          <w:sz w:val="18"/>
          <w:szCs w:val="18"/>
        </w:rPr>
        <w:t xml:space="preserve">Prepared for </w:t>
      </w:r>
      <w:proofErr w:type="spellStart"/>
      <w:r>
        <w:rPr>
          <w:color w:val="808080"/>
          <w:sz w:val="18"/>
          <w:szCs w:val="18"/>
        </w:rPr>
        <w:t>NCCoE</w:t>
      </w:r>
      <w:proofErr w:type="spellEnd"/>
      <w:r>
        <w:rPr>
          <w:color w:val="808080"/>
          <w:sz w:val="18"/>
          <w:szCs w:val="18"/>
        </w:rPr>
        <w:t xml:space="preserve"> concept paper response (comment deadline April 2, 2026). Full glossary and implementation available at </w:t>
      </w:r>
      <w:r>
        <w:rPr>
          <w:color w:val="1F4E79"/>
          <w:sz w:val="18"/>
          <w:szCs w:val="18"/>
        </w:rPr>
        <w:t>https://github.com/ZLAR-AI/ZLAR</w:t>
      </w:r>
    </w:p>
    <w:sectPr w:rsidR="00FD485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E3D85" w14:textId="77777777" w:rsidR="002136C7" w:rsidRDefault="002136C7">
      <w:r>
        <w:separator/>
      </w:r>
    </w:p>
  </w:endnote>
  <w:endnote w:type="continuationSeparator" w:id="0">
    <w:p w14:paraId="36E15838" w14:textId="77777777" w:rsidR="002136C7" w:rsidRDefault="00213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136D2" w14:textId="77777777" w:rsidR="00FD4852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C19B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950B6" w14:textId="77777777" w:rsidR="002136C7" w:rsidRDefault="002136C7">
      <w:r>
        <w:separator/>
      </w:r>
    </w:p>
  </w:footnote>
  <w:footnote w:type="continuationSeparator" w:id="0">
    <w:p w14:paraId="07CE5537" w14:textId="77777777" w:rsidR="002136C7" w:rsidRDefault="00213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F6656" w14:textId="77777777" w:rsidR="00FD4852" w:rsidRDefault="00000000">
    <w:pPr>
      <w:jc w:val="right"/>
    </w:pPr>
    <w:r>
      <w:rPr>
        <w:color w:val="808080"/>
        <w:sz w:val="16"/>
        <w:szCs w:val="16"/>
      </w:rPr>
      <w:t xml:space="preserve">ZLAR Glossary — </w:t>
    </w:r>
    <w:proofErr w:type="spellStart"/>
    <w:r>
      <w:rPr>
        <w:color w:val="808080"/>
        <w:sz w:val="16"/>
        <w:szCs w:val="16"/>
      </w:rPr>
      <w:t>NCCoE</w:t>
    </w:r>
    <w:proofErr w:type="spellEnd"/>
    <w:r>
      <w:rPr>
        <w:color w:val="808080"/>
        <w:sz w:val="16"/>
        <w:szCs w:val="16"/>
      </w:rPr>
      <w:t xml:space="preserve"> Comment Supporting Material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9511B"/>
    <w:multiLevelType w:val="hybridMultilevel"/>
    <w:tmpl w:val="9912B0F4"/>
    <w:lvl w:ilvl="0" w:tplc="F948FDB4">
      <w:start w:val="1"/>
      <w:numFmt w:val="bullet"/>
      <w:lvlText w:val="●"/>
      <w:lvlJc w:val="left"/>
      <w:pPr>
        <w:ind w:left="720" w:hanging="360"/>
      </w:pPr>
    </w:lvl>
    <w:lvl w:ilvl="1" w:tplc="A7A88B82">
      <w:start w:val="1"/>
      <w:numFmt w:val="bullet"/>
      <w:lvlText w:val="○"/>
      <w:lvlJc w:val="left"/>
      <w:pPr>
        <w:ind w:left="1440" w:hanging="360"/>
      </w:pPr>
    </w:lvl>
    <w:lvl w:ilvl="2" w:tplc="8ABEFBC8">
      <w:start w:val="1"/>
      <w:numFmt w:val="bullet"/>
      <w:lvlText w:val="■"/>
      <w:lvlJc w:val="left"/>
      <w:pPr>
        <w:ind w:left="2160" w:hanging="360"/>
      </w:pPr>
    </w:lvl>
    <w:lvl w:ilvl="3" w:tplc="B0F2CE48">
      <w:start w:val="1"/>
      <w:numFmt w:val="bullet"/>
      <w:lvlText w:val="●"/>
      <w:lvlJc w:val="left"/>
      <w:pPr>
        <w:ind w:left="2880" w:hanging="360"/>
      </w:pPr>
    </w:lvl>
    <w:lvl w:ilvl="4" w:tplc="296EC2A0">
      <w:start w:val="1"/>
      <w:numFmt w:val="bullet"/>
      <w:lvlText w:val="○"/>
      <w:lvlJc w:val="left"/>
      <w:pPr>
        <w:ind w:left="3600" w:hanging="360"/>
      </w:pPr>
    </w:lvl>
    <w:lvl w:ilvl="5" w:tplc="2208FDE8">
      <w:start w:val="1"/>
      <w:numFmt w:val="bullet"/>
      <w:lvlText w:val="■"/>
      <w:lvlJc w:val="left"/>
      <w:pPr>
        <w:ind w:left="4320" w:hanging="360"/>
      </w:pPr>
    </w:lvl>
    <w:lvl w:ilvl="6" w:tplc="6B867826">
      <w:start w:val="1"/>
      <w:numFmt w:val="bullet"/>
      <w:lvlText w:val="●"/>
      <w:lvlJc w:val="left"/>
      <w:pPr>
        <w:ind w:left="5040" w:hanging="360"/>
      </w:pPr>
    </w:lvl>
    <w:lvl w:ilvl="7" w:tplc="CEF62CA0">
      <w:start w:val="1"/>
      <w:numFmt w:val="bullet"/>
      <w:lvlText w:val="●"/>
      <w:lvlJc w:val="left"/>
      <w:pPr>
        <w:ind w:left="5760" w:hanging="360"/>
      </w:pPr>
    </w:lvl>
    <w:lvl w:ilvl="8" w:tplc="6FC669C6">
      <w:start w:val="1"/>
      <w:numFmt w:val="bullet"/>
      <w:lvlText w:val="●"/>
      <w:lvlJc w:val="left"/>
      <w:pPr>
        <w:ind w:left="6480" w:hanging="360"/>
      </w:pPr>
    </w:lvl>
  </w:abstractNum>
  <w:num w:numId="1" w16cid:durableId="1276710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852"/>
    <w:rsid w:val="002136C7"/>
    <w:rsid w:val="007A204D"/>
    <w:rsid w:val="00B7646F"/>
    <w:rsid w:val="00BC19BB"/>
    <w:rsid w:val="00C54E23"/>
    <w:rsid w:val="00FD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957D3"/>
  <w15:docId w15:val="{505CCC72-7F44-3146-8A08-D599E0A7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2194</Words>
  <Characters>13550</Characters>
  <Application>Microsoft Office Word</Application>
  <DocSecurity>0</DocSecurity>
  <Lines>279</Lines>
  <Paragraphs>145</Paragraphs>
  <ScaleCrop>false</ScaleCrop>
  <Company/>
  <LinksUpToDate>false</LinksUpToDate>
  <CharactersWithSpaces>15613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2026-03-27T02:07:00Z</dcterms:created>
  <dcterms:modified xsi:type="dcterms:W3CDTF">2026-03-27T02:22:00Z</dcterms:modified>
</cp:coreProperties>
</file>