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Martín Andrés Lazcano Carreño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ind w:left="0" w:right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3F">
            <w:pPr>
              <w:spacing w:before="240" w:line="276" w:lineRule="auto"/>
              <w:ind w:left="0" w:right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40">
            <w:pPr>
              <w:spacing w:before="240" w:line="276" w:lineRule="auto"/>
              <w:ind w:left="0" w:right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ind w:left="0" w:right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48">
            <w:pPr>
              <w:spacing w:before="240" w:line="276" w:lineRule="auto"/>
              <w:ind w:left="0" w:right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49">
            <w:pPr>
              <w:spacing w:before="240" w:line="276" w:lineRule="auto"/>
              <w:ind w:left="0" w:right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ORGANIZACIÓN Y ESTÁNDARES INDUSTRIA.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51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52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BUENAS PRÁCTICAS DE CODIFICACIÓN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A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62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63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6B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6C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DE LOS OBJETIVOS.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74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75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76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7E">
            <w:pPr>
              <w:spacing w:before="240" w:line="276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9qi/s19TLk2B0O+gOkRYeDvwrw==">CgMxLjAyCGguZ2pkZ3hzMgloLjMwajB6bGw4AHIhMVdneVlVNFZlb1JyeWZXeDFCaFhpdWdSaXVLTDdoN1ho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