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Hasta ahora se ha avanzado el proyecto de forma correcta, ya se tiene un avance consistente con respecto a la programación del mismo, por parte de la documentación de este también se ha avanzado, más paulatinamente que la programación pero el avance es notable, esto debido a que hubo un cambio en los objetivos del proyecto mismo que hizo que se tuviera que cambiar un poco el foco del uso del proyecto, pero su funcionalidad seguirá siendo la misma.</w:t>
            </w:r>
          </w:p>
        </w:tc>
      </w:tr>
      <w:tr>
        <w:trPr>
          <w:cantSplit w:val="0"/>
          <w:trHeight w:val="1247"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sz w:val="20"/>
                <w:szCs w:val="20"/>
              </w:rPr>
            </w:pPr>
            <w:r w:rsidDel="00000000" w:rsidR="00000000" w:rsidRPr="00000000">
              <w:rPr>
                <w:sz w:val="20"/>
                <w:szCs w:val="20"/>
                <w:rtl w:val="0"/>
              </w:rPr>
              <w:t xml:space="preserve">El objetivo y en el caso para el cual se utilizará ahora el entregable final será para un puenteo (matcheo, bridging o contraste) de doctores, que dista del primer dato objetivo que iban a ser medicamentos.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No hay cambios en este apartado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En esta fase del proyecto de Capstone las evidencias entregadas serán:</w:t>
            </w:r>
          </w:p>
          <w:p w:rsidR="00000000" w:rsidDel="00000000" w:rsidP="00000000" w:rsidRDefault="00000000" w:rsidRPr="00000000" w14:paraId="00000015">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Parte de la programación del front end y back end.</w:t>
            </w:r>
          </w:p>
          <w:p w:rsidR="00000000" w:rsidDel="00000000" w:rsidP="00000000" w:rsidRDefault="00000000" w:rsidRPr="00000000" w14:paraId="00000016">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Documentación enfocada al entregable tales como; Historias de usuario, Documento de arquitectura de software, plan de pruebas y backlog correspondiente a la fase.</w:t>
            </w:r>
          </w:p>
          <w:p w:rsidR="00000000" w:rsidDel="00000000" w:rsidP="00000000" w:rsidRDefault="00000000" w:rsidRPr="00000000" w14:paraId="00000017">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Script de creación de tablas de la base de datos.</w:t>
            </w:r>
          </w:p>
          <w:p w:rsidR="00000000" w:rsidDel="00000000" w:rsidP="00000000" w:rsidRDefault="00000000" w:rsidRPr="00000000" w14:paraId="00000018">
            <w:pPr>
              <w:numPr>
                <w:ilvl w:val="0"/>
                <w:numId w:val="1"/>
              </w:numPr>
              <w:ind w:left="720" w:hanging="360"/>
              <w:jc w:val="both"/>
              <w:rPr>
                <w:sz w:val="20"/>
                <w:szCs w:val="20"/>
                <w:u w:val="none"/>
              </w:rPr>
            </w:pPr>
            <w:r w:rsidDel="00000000" w:rsidR="00000000" w:rsidRPr="00000000">
              <w:rPr>
                <w:sz w:val="20"/>
                <w:szCs w:val="20"/>
                <w:rtl w:val="0"/>
              </w:rPr>
              <w:t xml:space="preserve">Diagramas As is y To be.</w:t>
            </w:r>
          </w:p>
        </w:tc>
      </w:tr>
      <w:tr>
        <w:trPr>
          <w:cantSplit w:val="0"/>
          <w:trHeight w:val="440" w:hRule="atLeast"/>
          <w:tblHeader w:val="0"/>
        </w:trPr>
        <w:tc>
          <w:tcPr>
            <w:shd w:fill="d9e2f3" w:val="clear"/>
            <w:vAlign w:val="center"/>
          </w:tcPr>
          <w:p w:rsidR="00000000" w:rsidDel="00000000" w:rsidP="00000000" w:rsidRDefault="00000000" w:rsidRPr="00000000" w14:paraId="00000019">
            <w:pPr>
              <w:jc w:val="both"/>
              <w:rPr>
                <w:rFonts w:ascii="Calibri" w:cs="Calibri" w:eastAsia="Calibri" w:hAnsi="Calibri"/>
                <w:color w:val="1f3864"/>
              </w:rPr>
            </w:pPr>
            <w:r w:rsidDel="00000000" w:rsidR="00000000" w:rsidRPr="00000000">
              <w:rPr>
                <w:rtl w:val="0"/>
              </w:rPr>
            </w:r>
          </w:p>
        </w:tc>
      </w:tr>
      <w:tr>
        <w:trPr>
          <w:cantSplit w:val="0"/>
          <w:trHeight w:val="789.4088541666662"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Monitoreo del Plan de Trabajo </w:t>
            </w:r>
          </w:p>
        </w:tc>
        <w:tc>
          <w:tcPr>
            <w:shd w:fill="d9e2f3" w:val="clear"/>
            <w:vAlign w:val="center"/>
          </w:tcPr>
          <w:p w:rsidR="00000000" w:rsidDel="00000000" w:rsidP="00000000" w:rsidRDefault="00000000" w:rsidRPr="00000000" w14:paraId="0000001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color w:val="1f3864"/>
                <w:rtl w:val="0"/>
              </w:rPr>
              <w:t xml:space="preserve">enfócate </w:t>
            </w:r>
            <w:r w:rsidDel="00000000" w:rsidR="00000000" w:rsidRPr="00000000">
              <w:rPr>
                <w:rFonts w:ascii="Calibri" w:cs="Calibri" w:eastAsia="Calibri" w:hAnsi="Calibri"/>
                <w:color w:val="1f3864"/>
                <w:rtl w:val="0"/>
              </w:rPr>
              <w:t xml:space="preserve">especialmente en la columna de estado de avance y ajustes.</w:t>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320"/>
        <w:gridCol w:w="1125"/>
        <w:gridCol w:w="1185"/>
        <w:gridCol w:w="1275"/>
        <w:gridCol w:w="1275"/>
        <w:gridCol w:w="1290"/>
        <w:gridCol w:w="990"/>
        <w:tblGridChange w:id="0">
          <w:tblGrid>
            <w:gridCol w:w="1335"/>
            <w:gridCol w:w="1320"/>
            <w:gridCol w:w="1125"/>
            <w:gridCol w:w="1185"/>
            <w:gridCol w:w="1275"/>
            <w:gridCol w:w="1275"/>
            <w:gridCol w:w="1290"/>
            <w:gridCol w:w="990"/>
          </w:tblGrid>
        </w:tblGridChange>
      </w:tblGrid>
      <w:tr>
        <w:trPr>
          <w:cantSplit w:val="0"/>
          <w:trHeight w:val="415" w:hRule="atLeast"/>
          <w:tblHeader w:val="0"/>
        </w:trPr>
        <w:tc>
          <w:tcPr>
            <w:gridSpan w:val="8"/>
            <w:vAlign w:val="center"/>
          </w:tcPr>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D">
            <w:pPr>
              <w:jc w:val="both"/>
              <w:rPr>
                <w:rFonts w:ascii="Calibri" w:cs="Calibri" w:eastAsia="Calibri" w:hAnsi="Calibri"/>
                <w:i w:val="1"/>
                <w:color w:val="548dd4"/>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2E">
            <w:pPr>
              <w:jc w:val="both"/>
              <w:rPr>
                <w:rFonts w:ascii="Calibri" w:cs="Calibri" w:eastAsia="Calibri" w:hAnsi="Calibri"/>
                <w:i w:val="1"/>
                <w:color w:val="548dd4"/>
                <w:sz w:val="18"/>
                <w:szCs w:val="18"/>
              </w:rPr>
            </w:pPr>
            <w:r w:rsidDel="00000000" w:rsidR="00000000" w:rsidRPr="00000000">
              <w:rPr>
                <w:i w:val="1"/>
                <w:sz w:val="18"/>
                <w:szCs w:val="18"/>
                <w:rtl w:val="0"/>
              </w:rPr>
              <w:t xml:space="preserve">Programación de la solución</w:t>
            </w:r>
            <w:r w:rsidDel="00000000" w:rsidR="00000000" w:rsidRPr="00000000">
              <w:rPr>
                <w:rtl w:val="0"/>
              </w:rPr>
            </w:r>
          </w:p>
        </w:tc>
        <w:tc>
          <w:tcPr/>
          <w:p w:rsidR="00000000" w:rsidDel="00000000" w:rsidP="00000000" w:rsidRDefault="00000000" w:rsidRPr="00000000" w14:paraId="0000002F">
            <w:pPr>
              <w:jc w:val="both"/>
              <w:rPr>
                <w:rFonts w:ascii="Calibri" w:cs="Calibri" w:eastAsia="Calibri" w:hAnsi="Calibri"/>
                <w:i w:val="1"/>
                <w:color w:val="548dd4"/>
                <w:sz w:val="18"/>
                <w:szCs w:val="18"/>
              </w:rPr>
            </w:pPr>
            <w:r w:rsidDel="00000000" w:rsidR="00000000" w:rsidRPr="00000000">
              <w:rPr>
                <w:i w:val="1"/>
                <w:sz w:val="18"/>
                <w:szCs w:val="18"/>
                <w:rtl w:val="0"/>
              </w:rPr>
              <w:t xml:space="preserve">Entorno de programación, computador, conexión a internet para revisar la documentación de las librerías.</w:t>
            </w:r>
            <w:r w:rsidDel="00000000" w:rsidR="00000000" w:rsidRPr="00000000">
              <w:rPr>
                <w:rtl w:val="0"/>
              </w:rPr>
            </w:r>
          </w:p>
        </w:tc>
        <w:tc>
          <w:tcPr/>
          <w:p w:rsidR="00000000" w:rsidDel="00000000" w:rsidP="00000000" w:rsidRDefault="00000000" w:rsidRPr="00000000" w14:paraId="00000030">
            <w:pPr>
              <w:jc w:val="both"/>
              <w:rPr>
                <w:rFonts w:ascii="Calibri" w:cs="Calibri" w:eastAsia="Calibri" w:hAnsi="Calibri"/>
                <w:i w:val="1"/>
                <w:color w:val="548dd4"/>
                <w:sz w:val="18"/>
                <w:szCs w:val="18"/>
              </w:rPr>
            </w:pPr>
            <w:r w:rsidDel="00000000" w:rsidR="00000000" w:rsidRPr="00000000">
              <w:rPr>
                <w:i w:val="1"/>
                <w:sz w:val="18"/>
                <w:szCs w:val="18"/>
                <w:rtl w:val="0"/>
              </w:rPr>
              <w:t xml:space="preserve">Seis semanas</w:t>
            </w:r>
            <w:r w:rsidDel="00000000" w:rsidR="00000000" w:rsidRPr="00000000">
              <w:rPr>
                <w:rtl w:val="0"/>
              </w:rPr>
            </w:r>
          </w:p>
        </w:tc>
        <w:tc>
          <w:tcPr/>
          <w:p w:rsidR="00000000" w:rsidDel="00000000" w:rsidP="00000000" w:rsidRDefault="00000000" w:rsidRPr="00000000" w14:paraId="00000031">
            <w:pPr>
              <w:jc w:val="both"/>
              <w:rPr>
                <w:rFonts w:ascii="Calibri" w:cs="Calibri" w:eastAsia="Calibri" w:hAnsi="Calibri"/>
                <w:i w:val="1"/>
                <w:color w:val="548dd4"/>
                <w:sz w:val="18"/>
                <w:szCs w:val="18"/>
              </w:rPr>
            </w:pPr>
            <w:r w:rsidDel="00000000" w:rsidR="00000000" w:rsidRPr="00000000">
              <w:rPr>
                <w:i w:val="1"/>
                <w:sz w:val="18"/>
                <w:szCs w:val="18"/>
                <w:rtl w:val="0"/>
              </w:rPr>
              <w:t xml:space="preserve">Martín Lazcano y Brayan Bravo</w:t>
            </w:r>
            <w:r w:rsidDel="00000000" w:rsidR="00000000" w:rsidRPr="00000000">
              <w:rPr>
                <w:rtl w:val="0"/>
              </w:rPr>
            </w:r>
          </w:p>
        </w:tc>
        <w:tc>
          <w:tcPr/>
          <w:p w:rsidR="00000000" w:rsidDel="00000000" w:rsidP="00000000" w:rsidRDefault="00000000" w:rsidRPr="00000000" w14:paraId="00000032">
            <w:pPr>
              <w:jc w:val="both"/>
              <w:rPr>
                <w:rFonts w:ascii="Calibri" w:cs="Calibri" w:eastAsia="Calibri" w:hAnsi="Calibri"/>
                <w:i w:val="1"/>
                <w:color w:val="548dd4"/>
                <w:sz w:val="18"/>
                <w:szCs w:val="18"/>
              </w:rPr>
            </w:pPr>
            <w:r w:rsidDel="00000000" w:rsidR="00000000" w:rsidRPr="00000000">
              <w:rPr>
                <w:i w:val="1"/>
                <w:sz w:val="18"/>
                <w:szCs w:val="18"/>
                <w:rtl w:val="0"/>
              </w:rPr>
              <w:t xml:space="preserve">Ninguna</w:t>
            </w:r>
            <w:r w:rsidDel="00000000" w:rsidR="00000000" w:rsidRPr="00000000">
              <w:rPr>
                <w:rtl w:val="0"/>
              </w:rPr>
            </w:r>
          </w:p>
        </w:tc>
        <w:tc>
          <w:tcPr/>
          <w:p w:rsidR="00000000" w:rsidDel="00000000" w:rsidP="00000000" w:rsidRDefault="00000000" w:rsidRPr="00000000" w14:paraId="00000033">
            <w:pPr>
              <w:jc w:val="both"/>
              <w:rPr>
                <w:rFonts w:ascii="Calibri" w:cs="Calibri" w:eastAsia="Calibri" w:hAnsi="Calibri"/>
                <w:i w:val="1"/>
                <w:color w:val="548dd4"/>
                <w:sz w:val="18"/>
                <w:szCs w:val="18"/>
              </w:rPr>
            </w:pPr>
            <w:r w:rsidDel="00000000" w:rsidR="00000000" w:rsidRPr="00000000">
              <w:rPr>
                <w:i w:val="1"/>
                <w:sz w:val="18"/>
                <w:szCs w:val="18"/>
                <w:rtl w:val="0"/>
              </w:rPr>
              <w:t xml:space="preserve">En curso</w:t>
            </w:r>
            <w:r w:rsidDel="00000000" w:rsidR="00000000" w:rsidRPr="00000000">
              <w:rPr>
                <w:rtl w:val="0"/>
              </w:rPr>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i w:val="1"/>
                <w:sz w:val="18"/>
                <w:szCs w:val="18"/>
                <w:rtl w:val="0"/>
              </w:rPr>
              <w:t xml:space="preserve">Ninguno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5">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36">
            <w:pPr>
              <w:jc w:val="both"/>
              <w:rPr>
                <w:i w:val="1"/>
                <w:sz w:val="18"/>
                <w:szCs w:val="18"/>
              </w:rPr>
            </w:pPr>
            <w:r w:rsidDel="00000000" w:rsidR="00000000" w:rsidRPr="00000000">
              <w:rPr>
                <w:sz w:val="18"/>
                <w:szCs w:val="18"/>
                <w:rtl w:val="0"/>
              </w:rPr>
              <w:t xml:space="preserve">Realización de documentos necesarios</w:t>
            </w:r>
            <w:r w:rsidDel="00000000" w:rsidR="00000000" w:rsidRPr="00000000">
              <w:rPr>
                <w:rtl w:val="0"/>
              </w:rPr>
            </w:r>
          </w:p>
        </w:tc>
        <w:tc>
          <w:tcPr/>
          <w:p w:rsidR="00000000" w:rsidDel="00000000" w:rsidP="00000000" w:rsidRDefault="00000000" w:rsidRPr="00000000" w14:paraId="00000037">
            <w:pPr>
              <w:jc w:val="both"/>
              <w:rPr>
                <w:i w:val="1"/>
                <w:sz w:val="18"/>
                <w:szCs w:val="18"/>
              </w:rPr>
            </w:pPr>
            <w:r w:rsidDel="00000000" w:rsidR="00000000" w:rsidRPr="00000000">
              <w:rPr>
                <w:i w:val="1"/>
                <w:sz w:val="18"/>
                <w:szCs w:val="18"/>
                <w:rtl w:val="0"/>
              </w:rPr>
              <w:t xml:space="preserve">Computador Y conexión a internet para subir la documentación a los espacios delimitados</w:t>
            </w:r>
          </w:p>
        </w:tc>
        <w:tc>
          <w:tcPr/>
          <w:p w:rsidR="00000000" w:rsidDel="00000000" w:rsidP="00000000" w:rsidRDefault="00000000" w:rsidRPr="00000000" w14:paraId="00000038">
            <w:pPr>
              <w:jc w:val="both"/>
              <w:rPr>
                <w:i w:val="1"/>
                <w:sz w:val="18"/>
                <w:szCs w:val="18"/>
              </w:rPr>
            </w:pPr>
            <w:r w:rsidDel="00000000" w:rsidR="00000000" w:rsidRPr="00000000">
              <w:rPr>
                <w:i w:val="1"/>
                <w:sz w:val="18"/>
                <w:szCs w:val="18"/>
                <w:rtl w:val="0"/>
              </w:rPr>
              <w:t xml:space="preserve">Seis semanas</w:t>
            </w:r>
          </w:p>
        </w:tc>
        <w:tc>
          <w:tcPr/>
          <w:p w:rsidR="00000000" w:rsidDel="00000000" w:rsidP="00000000" w:rsidRDefault="00000000" w:rsidRPr="00000000" w14:paraId="00000039">
            <w:pPr>
              <w:jc w:val="both"/>
              <w:rPr>
                <w:i w:val="1"/>
                <w:sz w:val="18"/>
                <w:szCs w:val="18"/>
              </w:rPr>
            </w:pPr>
            <w:r w:rsidDel="00000000" w:rsidR="00000000" w:rsidRPr="00000000">
              <w:rPr>
                <w:sz w:val="18"/>
                <w:szCs w:val="18"/>
                <w:rtl w:val="0"/>
              </w:rPr>
              <w:t xml:space="preserve">Vicente Corrales</w:t>
            </w:r>
            <w:r w:rsidDel="00000000" w:rsidR="00000000" w:rsidRPr="00000000">
              <w:rPr>
                <w:rtl w:val="0"/>
              </w:rPr>
            </w:r>
          </w:p>
        </w:tc>
        <w:tc>
          <w:tcPr/>
          <w:p w:rsidR="00000000" w:rsidDel="00000000" w:rsidP="00000000" w:rsidRDefault="00000000" w:rsidRPr="00000000" w14:paraId="0000003A">
            <w:pPr>
              <w:jc w:val="both"/>
              <w:rPr>
                <w:i w:val="1"/>
                <w:sz w:val="18"/>
                <w:szCs w:val="18"/>
              </w:rPr>
            </w:pPr>
            <w:r w:rsidDel="00000000" w:rsidR="00000000" w:rsidRPr="00000000">
              <w:rPr>
                <w:i w:val="1"/>
                <w:sz w:val="18"/>
                <w:szCs w:val="18"/>
                <w:rtl w:val="0"/>
              </w:rPr>
              <w:t xml:space="preserve">Ninguna</w:t>
            </w:r>
          </w:p>
        </w:tc>
        <w:tc>
          <w:tcPr/>
          <w:p w:rsidR="00000000" w:rsidDel="00000000" w:rsidP="00000000" w:rsidRDefault="00000000" w:rsidRPr="00000000" w14:paraId="0000003B">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3C">
            <w:pPr>
              <w:jc w:val="both"/>
              <w:rPr>
                <w:i w:val="1"/>
                <w:sz w:val="18"/>
                <w:szCs w:val="18"/>
              </w:rPr>
            </w:pPr>
            <w:r w:rsidDel="00000000" w:rsidR="00000000" w:rsidRPr="00000000">
              <w:rPr>
                <w:i w:val="1"/>
                <w:sz w:val="18"/>
                <w:szCs w:val="18"/>
                <w:rtl w:val="0"/>
              </w:rPr>
              <w:t xml:space="preserve">Ninguna</w:t>
            </w:r>
          </w:p>
        </w:tc>
      </w:tr>
    </w:tbl>
    <w:p w:rsidR="00000000" w:rsidDel="00000000" w:rsidP="00000000" w:rsidRDefault="00000000" w:rsidRPr="00000000" w14:paraId="0000003D">
      <w:pPr>
        <w:rPr>
          <w:color w:val="595959"/>
          <w:sz w:val="24"/>
          <w:szCs w:val="24"/>
        </w:rPr>
      </w:pPr>
      <w:r w:rsidDel="00000000" w:rsidR="00000000" w:rsidRPr="00000000">
        <w:rPr>
          <w:rtl w:val="0"/>
        </w:rPr>
      </w:r>
    </w:p>
    <w:p w:rsidR="00000000" w:rsidDel="00000000" w:rsidP="00000000" w:rsidRDefault="00000000" w:rsidRPr="00000000" w14:paraId="0000003E">
      <w:pPr>
        <w:rPr>
          <w:color w:val="595959"/>
          <w:sz w:val="24"/>
          <w:szCs w:val="24"/>
        </w:rPr>
      </w:pPr>
      <w:r w:rsidDel="00000000" w:rsidR="00000000" w:rsidRPr="00000000">
        <w:rPr>
          <w:rtl w:val="0"/>
        </w:rPr>
      </w:r>
    </w:p>
    <w:p w:rsidR="00000000" w:rsidDel="00000000" w:rsidP="00000000" w:rsidRDefault="00000000" w:rsidRPr="00000000" w14:paraId="0000003F">
      <w:pPr>
        <w:rPr>
          <w:color w:val="595959"/>
          <w:sz w:val="24"/>
          <w:szCs w:val="24"/>
        </w:rPr>
      </w:pPr>
      <w:r w:rsidDel="00000000" w:rsidR="00000000" w:rsidRPr="00000000">
        <w:rPr>
          <w:rtl w:val="0"/>
        </w:rPr>
      </w:r>
    </w:p>
    <w:p w:rsidR="00000000" w:rsidDel="00000000" w:rsidP="00000000" w:rsidRDefault="00000000" w:rsidRPr="00000000" w14:paraId="00000040">
      <w:pPr>
        <w:rPr>
          <w:color w:val="595959"/>
          <w:sz w:val="24"/>
          <w:szCs w:val="24"/>
        </w:rPr>
      </w:pPr>
      <w:r w:rsidDel="00000000" w:rsidR="00000000" w:rsidRPr="00000000">
        <w:rPr>
          <w:rtl w:val="0"/>
        </w:rPr>
      </w:r>
    </w:p>
    <w:p w:rsidR="00000000" w:rsidDel="00000000" w:rsidP="00000000" w:rsidRDefault="00000000" w:rsidRPr="00000000" w14:paraId="00000041">
      <w:pPr>
        <w:rPr>
          <w:color w:val="595959"/>
          <w:sz w:val="24"/>
          <w:szCs w:val="24"/>
        </w:rPr>
      </w:pPr>
      <w:r w:rsidDel="00000000" w:rsidR="00000000" w:rsidRPr="00000000">
        <w:rPr>
          <w:rtl w:val="0"/>
        </w:rPr>
      </w:r>
    </w:p>
    <w:p w:rsidR="00000000" w:rsidDel="00000000" w:rsidP="00000000" w:rsidRDefault="00000000" w:rsidRPr="00000000" w14:paraId="00000042">
      <w:pPr>
        <w:rPr>
          <w:color w:val="595959"/>
          <w:sz w:val="24"/>
          <w:szCs w:val="24"/>
        </w:rPr>
      </w:pPr>
      <w:r w:rsidDel="00000000" w:rsidR="00000000" w:rsidRPr="00000000">
        <w:rPr>
          <w:rtl w:val="0"/>
        </w:rPr>
      </w:r>
    </w:p>
    <w:p w:rsidR="00000000" w:rsidDel="00000000" w:rsidP="00000000" w:rsidRDefault="00000000" w:rsidRPr="00000000" w14:paraId="00000043">
      <w:pPr>
        <w:rPr>
          <w:color w:val="595959"/>
          <w:sz w:val="24"/>
          <w:szCs w:val="24"/>
        </w:rPr>
      </w:pPr>
      <w:r w:rsidDel="00000000" w:rsidR="00000000" w:rsidRPr="00000000">
        <w:rPr>
          <w:rtl w:val="0"/>
        </w:rPr>
      </w:r>
    </w:p>
    <w:p w:rsidR="00000000" w:rsidDel="00000000" w:rsidP="00000000" w:rsidRDefault="00000000" w:rsidRPr="00000000" w14:paraId="00000044">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7">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49">
            <w:pPr>
              <w:rPr>
                <w:rFonts w:ascii="Calibri" w:cs="Calibri" w:eastAsia="Calibri" w:hAnsi="Calibri"/>
                <w:i w:val="1"/>
                <w:color w:val="548dd4"/>
                <w:sz w:val="20"/>
                <w:szCs w:val="20"/>
              </w:rPr>
            </w:pPr>
            <w:r w:rsidDel="00000000" w:rsidR="00000000" w:rsidRPr="00000000">
              <w:rPr>
                <w:color w:val="1f3864"/>
                <w:rtl w:val="0"/>
              </w:rPr>
              <w:t xml:space="preserve">El trabajo en equipo y el uso de herramientas y medios de trabajo tales como Google Teams y </w:t>
            </w:r>
            <w:r w:rsidDel="00000000" w:rsidR="00000000" w:rsidRPr="00000000">
              <w:rPr>
                <w:color w:val="1f3864"/>
                <w:rtl w:val="0"/>
              </w:rPr>
              <w:t xml:space="preserve">Jira</w:t>
            </w:r>
            <w:r w:rsidDel="00000000" w:rsidR="00000000" w:rsidRPr="00000000">
              <w:rPr>
                <w:color w:val="1f3864"/>
                <w:rtl w:val="0"/>
              </w:rPr>
              <w:t xml:space="preserve"> para así poder unificar la mayoría de los documentos y tener un recordatorio de las tareas y las fechas de los entregables.</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B">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0"/>
                <w:szCs w:val="20"/>
              </w:rPr>
            </w:pPr>
            <w:r w:rsidDel="00000000" w:rsidR="00000000" w:rsidRPr="00000000">
              <w:rPr>
                <w:sz w:val="20"/>
                <w:szCs w:val="20"/>
                <w:rtl w:val="0"/>
              </w:rPr>
              <w:t xml:space="preserve">Han habido ajustes con respecto al backlog, esto debido a que el equipo decidió migrar este mismo a Jira ya que es un entorno más organizado para esto.</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sz w:val="20"/>
                <w:szCs w:val="20"/>
                <w:rtl w:val="0"/>
              </w:rPr>
              <w:t xml:space="preserve">No hay actividades retrasadas, el uso de plataformas como Google Teams y </w:t>
            </w:r>
            <w:r w:rsidDel="00000000" w:rsidR="00000000" w:rsidRPr="00000000">
              <w:rPr>
                <w:sz w:val="20"/>
                <w:szCs w:val="20"/>
                <w:rtl w:val="0"/>
              </w:rPr>
              <w:t xml:space="preserve">Jira</w:t>
            </w:r>
            <w:r w:rsidDel="00000000" w:rsidR="00000000" w:rsidRPr="00000000">
              <w:rPr>
                <w:sz w:val="20"/>
                <w:szCs w:val="20"/>
                <w:rtl w:val="0"/>
              </w:rPr>
              <w:t xml:space="preserve"> a beneficiado al equipo de trabajo, pues ha permitido que el mismo esté más atento con respecto a los tiempos de entrega.</w:t>
            </w:r>
            <w:r w:rsidDel="00000000" w:rsidR="00000000" w:rsidRPr="00000000">
              <w:rPr>
                <w:rtl w:val="0"/>
              </w:rPr>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RK0rfTOwMlo3GLogtMdV19xFFg==">CgMxLjAyCGguZ2pkZ3hzOAByITFVVnN3eWVYUFJldVBmTWdVSWM5Y1dZZ1VwZkdMVEg2ZQ==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