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14" w:rsidRDefault="000B588A">
      <w:pPr>
        <w:ind w:firstLine="420"/>
        <w:rPr>
          <w:rFonts w:ascii="Verdana" w:eastAsia="宋体" w:hAnsi="Verdana" w:cs="Verdana"/>
          <w:color w:val="222222"/>
          <w:sz w:val="24"/>
          <w:shd w:val="clear" w:color="auto" w:fill="FFFFFF"/>
        </w:rPr>
      </w:pPr>
      <w:r>
        <w:rPr>
          <w:rFonts w:ascii="Verdana" w:eastAsia="Verdana" w:hAnsi="Verdana" w:cs="Verdana"/>
          <w:color w:val="222222"/>
          <w:sz w:val="24"/>
          <w:shd w:val="clear" w:color="auto" w:fill="FFFFFF"/>
        </w:rPr>
        <w:t>近年来，我国新式</w:t>
      </w:r>
      <w:proofErr w:type="gramStart"/>
      <w:r>
        <w:rPr>
          <w:rFonts w:ascii="Verdana" w:eastAsia="Verdana" w:hAnsi="Verdana" w:cs="Verdana"/>
          <w:color w:val="222222"/>
          <w:sz w:val="24"/>
          <w:shd w:val="clear" w:color="auto" w:fill="FFFFFF"/>
        </w:rPr>
        <w:t>茶饮门店</w:t>
      </w:r>
      <w:proofErr w:type="gramEnd"/>
      <w:r>
        <w:rPr>
          <w:rFonts w:ascii="Verdana" w:eastAsia="Verdana" w:hAnsi="Verdana" w:cs="Verdana"/>
          <w:color w:val="222222"/>
          <w:sz w:val="24"/>
          <w:shd w:val="clear" w:color="auto" w:fill="FFFFFF"/>
        </w:rPr>
        <w:t>数量和新式茶饮消费者数量大幅上升。根据不同的定位，我国新式</w:t>
      </w:r>
      <w:proofErr w:type="gramStart"/>
      <w:r>
        <w:rPr>
          <w:rFonts w:ascii="Verdana" w:eastAsia="Verdana" w:hAnsi="Verdana" w:cs="Verdana"/>
          <w:color w:val="222222"/>
          <w:sz w:val="24"/>
          <w:shd w:val="clear" w:color="auto" w:fill="FFFFFF"/>
        </w:rPr>
        <w:t>茶饮门店</w:t>
      </w:r>
      <w:proofErr w:type="gramEnd"/>
      <w:r>
        <w:rPr>
          <w:rFonts w:ascii="Verdana" w:eastAsia="Verdana" w:hAnsi="Verdana" w:cs="Verdana"/>
          <w:color w:val="222222"/>
          <w:sz w:val="24"/>
          <w:shd w:val="clear" w:color="auto" w:fill="FFFFFF"/>
        </w:rPr>
        <w:t>可以分为高端新式茶饮店、中端新式</w:t>
      </w:r>
      <w:proofErr w:type="gramStart"/>
      <w:r>
        <w:rPr>
          <w:rFonts w:ascii="Verdana" w:eastAsia="Verdana" w:hAnsi="Verdana" w:cs="Verdana"/>
          <w:color w:val="222222"/>
          <w:sz w:val="24"/>
          <w:shd w:val="clear" w:color="auto" w:fill="FFFFFF"/>
        </w:rPr>
        <w:t>茶饮店和</w:t>
      </w:r>
      <w:proofErr w:type="gramEnd"/>
      <w:r>
        <w:rPr>
          <w:rFonts w:ascii="Verdana" w:eastAsia="Verdana" w:hAnsi="Verdana" w:cs="Verdana"/>
          <w:color w:val="222222"/>
          <w:sz w:val="24"/>
          <w:shd w:val="clear" w:color="auto" w:fill="FFFFFF"/>
        </w:rPr>
        <w:t>低端新式</w:t>
      </w:r>
      <w:proofErr w:type="gramStart"/>
      <w:r>
        <w:rPr>
          <w:rFonts w:ascii="Verdana" w:eastAsia="Verdana" w:hAnsi="Verdana" w:cs="Verdana"/>
          <w:color w:val="222222"/>
          <w:sz w:val="24"/>
          <w:shd w:val="clear" w:color="auto" w:fill="FFFFFF"/>
        </w:rPr>
        <w:t>茶饮店三大类</w:t>
      </w:r>
      <w:proofErr w:type="gramEnd"/>
      <w:r>
        <w:rPr>
          <w:rFonts w:ascii="Verdana" w:eastAsia="Verdana" w:hAnsi="Verdana" w:cs="Verdana"/>
          <w:color w:val="222222"/>
          <w:sz w:val="24"/>
          <w:shd w:val="clear" w:color="auto" w:fill="FFFFFF"/>
        </w:rPr>
        <w:t>。数据显示，</w:t>
      </w:r>
      <w:r>
        <w:rPr>
          <w:rFonts w:ascii="Verdana" w:eastAsia="Verdana" w:hAnsi="Verdana" w:cs="Verdana"/>
          <w:color w:val="222222"/>
          <w:sz w:val="24"/>
          <w:shd w:val="clear" w:color="auto" w:fill="FFFFFF"/>
        </w:rPr>
        <w:t>2020</w:t>
      </w:r>
      <w:r>
        <w:rPr>
          <w:rFonts w:ascii="Verdana" w:eastAsia="Verdana" w:hAnsi="Verdana" w:cs="Verdana"/>
          <w:color w:val="222222"/>
          <w:sz w:val="24"/>
          <w:shd w:val="clear" w:color="auto" w:fill="FFFFFF"/>
        </w:rPr>
        <w:t>年我国高端新式茶饮店、中端新式</w:t>
      </w:r>
      <w:proofErr w:type="gramStart"/>
      <w:r>
        <w:rPr>
          <w:rFonts w:ascii="Verdana" w:eastAsia="Verdana" w:hAnsi="Verdana" w:cs="Verdana"/>
          <w:color w:val="222222"/>
          <w:sz w:val="24"/>
          <w:shd w:val="clear" w:color="auto" w:fill="FFFFFF"/>
        </w:rPr>
        <w:t>茶饮店和</w:t>
      </w:r>
      <w:proofErr w:type="gramEnd"/>
      <w:r>
        <w:rPr>
          <w:rFonts w:ascii="Verdana" w:eastAsia="Verdana" w:hAnsi="Verdana" w:cs="Verdana"/>
          <w:color w:val="222222"/>
          <w:sz w:val="24"/>
          <w:shd w:val="clear" w:color="auto" w:fill="FFFFFF"/>
        </w:rPr>
        <w:t>低端新式茶</w:t>
      </w:r>
      <w:proofErr w:type="gramStart"/>
      <w:r>
        <w:rPr>
          <w:rFonts w:ascii="Verdana" w:eastAsia="Verdana" w:hAnsi="Verdana" w:cs="Verdana"/>
          <w:color w:val="222222"/>
          <w:sz w:val="24"/>
          <w:shd w:val="clear" w:color="auto" w:fill="FFFFFF"/>
        </w:rPr>
        <w:t>饮店市场</w:t>
      </w:r>
      <w:proofErr w:type="gramEnd"/>
      <w:r>
        <w:rPr>
          <w:rFonts w:ascii="Verdana" w:eastAsia="Verdana" w:hAnsi="Verdana" w:cs="Verdana"/>
          <w:color w:val="222222"/>
          <w:sz w:val="24"/>
          <w:shd w:val="clear" w:color="auto" w:fill="FFFFFF"/>
        </w:rPr>
        <w:t>规模分别达</w:t>
      </w:r>
      <w:r>
        <w:rPr>
          <w:rFonts w:ascii="Verdana" w:eastAsia="Verdana" w:hAnsi="Verdana" w:cs="Verdana"/>
          <w:color w:val="222222"/>
          <w:sz w:val="24"/>
          <w:shd w:val="clear" w:color="auto" w:fill="FFFFFF"/>
        </w:rPr>
        <w:t>129</w:t>
      </w:r>
      <w:r>
        <w:rPr>
          <w:rFonts w:ascii="Verdana" w:eastAsia="Verdana" w:hAnsi="Verdana" w:cs="Verdana"/>
          <w:color w:val="222222"/>
          <w:sz w:val="24"/>
          <w:shd w:val="clear" w:color="auto" w:fill="FFFFFF"/>
        </w:rPr>
        <w:t>亿元、</w:t>
      </w:r>
      <w:r>
        <w:rPr>
          <w:rFonts w:ascii="Verdana" w:eastAsia="Verdana" w:hAnsi="Verdana" w:cs="Verdana"/>
          <w:color w:val="222222"/>
          <w:sz w:val="24"/>
          <w:shd w:val="clear" w:color="auto" w:fill="FFFFFF"/>
        </w:rPr>
        <w:t>324</w:t>
      </w:r>
      <w:r>
        <w:rPr>
          <w:rFonts w:ascii="Verdana" w:eastAsia="Verdana" w:hAnsi="Verdana" w:cs="Verdana"/>
          <w:color w:val="222222"/>
          <w:sz w:val="24"/>
          <w:shd w:val="clear" w:color="auto" w:fill="FFFFFF"/>
        </w:rPr>
        <w:t>亿元和</w:t>
      </w:r>
      <w:r>
        <w:rPr>
          <w:rFonts w:ascii="Verdana" w:eastAsia="Verdana" w:hAnsi="Verdana" w:cs="Verdana"/>
          <w:color w:val="222222"/>
          <w:sz w:val="24"/>
          <w:shd w:val="clear" w:color="auto" w:fill="FFFFFF"/>
        </w:rPr>
        <w:t>212</w:t>
      </w:r>
      <w:r>
        <w:rPr>
          <w:rFonts w:ascii="Verdana" w:eastAsia="Verdana" w:hAnsi="Verdana" w:cs="Verdana"/>
          <w:color w:val="222222"/>
          <w:sz w:val="24"/>
          <w:shd w:val="clear" w:color="auto" w:fill="FFFFFF"/>
        </w:rPr>
        <w:t>亿元，同比分别增长</w:t>
      </w:r>
      <w:r>
        <w:rPr>
          <w:rFonts w:ascii="Verdana" w:eastAsia="Verdana" w:hAnsi="Verdana" w:cs="Verdana"/>
          <w:color w:val="222222"/>
          <w:sz w:val="24"/>
          <w:shd w:val="clear" w:color="auto" w:fill="FFFFFF"/>
        </w:rPr>
        <w:t>27.7%</w:t>
      </w:r>
      <w:r>
        <w:rPr>
          <w:rFonts w:ascii="Verdana" w:eastAsia="Verdana" w:hAnsi="Verdana" w:cs="Verdana"/>
          <w:color w:val="222222"/>
          <w:sz w:val="24"/>
          <w:shd w:val="clear" w:color="auto" w:fill="FFFFFF"/>
        </w:rPr>
        <w:t>、</w:t>
      </w:r>
      <w:r>
        <w:rPr>
          <w:rFonts w:ascii="Verdana" w:eastAsia="Verdana" w:hAnsi="Verdana" w:cs="Verdana"/>
          <w:color w:val="222222"/>
          <w:sz w:val="24"/>
          <w:shd w:val="clear" w:color="auto" w:fill="FFFFFF"/>
        </w:rPr>
        <w:t>4.5%</w:t>
      </w:r>
      <w:r>
        <w:rPr>
          <w:rFonts w:ascii="Verdana" w:eastAsia="Verdana" w:hAnsi="Verdana" w:cs="Verdana"/>
          <w:color w:val="222222"/>
          <w:sz w:val="24"/>
          <w:shd w:val="clear" w:color="auto" w:fill="FFFFFF"/>
        </w:rPr>
        <w:t>和</w:t>
      </w:r>
      <w:r>
        <w:rPr>
          <w:rFonts w:ascii="Verdana" w:eastAsia="Verdana" w:hAnsi="Verdana" w:cs="Verdana"/>
          <w:color w:val="222222"/>
          <w:sz w:val="24"/>
          <w:shd w:val="clear" w:color="auto" w:fill="FFFFFF"/>
        </w:rPr>
        <w:t>2.7%</w:t>
      </w:r>
      <w:r>
        <w:rPr>
          <w:rFonts w:ascii="Verdana" w:eastAsia="Verdana" w:hAnsi="Verdana" w:cs="Verdana"/>
          <w:color w:val="222222"/>
          <w:sz w:val="24"/>
          <w:shd w:val="clear" w:color="auto" w:fill="FFFFFF"/>
        </w:rPr>
        <w:t>。由此可见，高端新式</w:t>
      </w:r>
      <w:proofErr w:type="gramStart"/>
      <w:r>
        <w:rPr>
          <w:rFonts w:ascii="Verdana" w:eastAsia="Verdana" w:hAnsi="Verdana" w:cs="Verdana"/>
          <w:color w:val="222222"/>
          <w:sz w:val="24"/>
          <w:shd w:val="clear" w:color="auto" w:fill="FFFFFF"/>
        </w:rPr>
        <w:t>茶饮店增速</w:t>
      </w:r>
      <w:proofErr w:type="gramEnd"/>
      <w:r>
        <w:rPr>
          <w:rFonts w:ascii="Verdana" w:eastAsia="Verdana" w:hAnsi="Verdana" w:cs="Verdana"/>
          <w:color w:val="222222"/>
          <w:sz w:val="24"/>
          <w:shd w:val="clear" w:color="auto" w:fill="FFFFFF"/>
        </w:rPr>
        <w:t>较快。</w:t>
      </w:r>
      <w:r>
        <w:rPr>
          <w:rFonts w:ascii="Verdana" w:eastAsia="宋体" w:hAnsi="Verdana" w:cs="Verdana" w:hint="eastAsia"/>
          <w:color w:val="222222"/>
          <w:sz w:val="24"/>
          <w:shd w:val="clear" w:color="auto" w:fill="FFFFFF"/>
        </w:rPr>
        <w:t>此次分析，主要针对茶饮店铺在一二三线城市的发展现在以及商业潜力展开分析和讨论。</w:t>
      </w:r>
    </w:p>
    <w:p w:rsidR="00F91B14" w:rsidRDefault="00F91B14"/>
    <w:p w:rsidR="00F91B14" w:rsidRDefault="00F91B14"/>
    <w:p w:rsidR="00F91B14" w:rsidRDefault="000B588A">
      <w:pPr>
        <w:rPr>
          <w:b/>
          <w:bCs/>
        </w:rPr>
      </w:pPr>
      <w:proofErr w:type="gramStart"/>
      <w:r>
        <w:rPr>
          <w:rFonts w:ascii="Arial" w:eastAsia="宋体" w:hAnsi="Arial" w:cs="Arial"/>
          <w:b/>
          <w:bCs/>
          <w:color w:val="000000"/>
          <w:kern w:val="0"/>
          <w:sz w:val="22"/>
          <w:szCs w:val="22"/>
          <w:lang w:bidi="ar"/>
        </w:rPr>
        <w:t>奈雪的</w:t>
      </w:r>
      <w:proofErr w:type="gramEnd"/>
      <w:r>
        <w:rPr>
          <w:rFonts w:ascii="Arial" w:eastAsia="宋体" w:hAnsi="Arial" w:cs="Arial"/>
          <w:b/>
          <w:bCs/>
          <w:color w:val="000000"/>
          <w:kern w:val="0"/>
          <w:sz w:val="22"/>
          <w:szCs w:val="22"/>
          <w:lang w:bidi="ar"/>
        </w:rPr>
        <w:t>茶</w:t>
      </w:r>
      <w:r>
        <w:rPr>
          <w:rFonts w:ascii="Arial" w:eastAsia="宋体" w:hAnsi="Arial" w:cs="Arial" w:hint="eastAsia"/>
          <w:b/>
          <w:bCs/>
          <w:color w:val="000000"/>
          <w:kern w:val="0"/>
          <w:sz w:val="22"/>
          <w:szCs w:val="22"/>
          <w:lang w:bidi="ar"/>
        </w:rPr>
        <w:t>-</w:t>
      </w:r>
      <w:r>
        <w:rPr>
          <w:rFonts w:hint="eastAsia"/>
          <w:b/>
          <w:bCs/>
        </w:rPr>
        <w:t>不同产品收入情况：</w:t>
      </w:r>
    </w:p>
    <w:tbl>
      <w:tblPr>
        <w:tblStyle w:val="a3"/>
        <w:tblW w:w="0" w:type="auto"/>
        <w:tblLayout w:type="fixed"/>
        <w:tblLook w:val="04A0" w:firstRow="1" w:lastRow="0" w:firstColumn="1" w:lastColumn="0" w:noHBand="0" w:noVBand="1"/>
      </w:tblPr>
      <w:tblGrid>
        <w:gridCol w:w="1419"/>
        <w:gridCol w:w="1419"/>
        <w:gridCol w:w="1419"/>
        <w:gridCol w:w="1420"/>
        <w:gridCol w:w="1420"/>
        <w:gridCol w:w="1420"/>
      </w:tblGrid>
      <w:tr w:rsidR="00F91B14">
        <w:tc>
          <w:tcPr>
            <w:tcW w:w="1419" w:type="dxa"/>
          </w:tcPr>
          <w:p w:rsidR="00F91B14" w:rsidRDefault="000B588A">
            <w:r>
              <w:rPr>
                <w:rFonts w:hint="eastAsia"/>
              </w:rPr>
              <w:t>收入</w:t>
            </w:r>
          </w:p>
        </w:tc>
        <w:tc>
          <w:tcPr>
            <w:tcW w:w="1419" w:type="dxa"/>
          </w:tcPr>
          <w:p w:rsidR="00F91B14" w:rsidRDefault="000B588A">
            <w:r>
              <w:rPr>
                <w:rFonts w:hint="eastAsia"/>
              </w:rPr>
              <w:t>2021</w:t>
            </w:r>
            <w:r>
              <w:rPr>
                <w:rFonts w:hint="eastAsia"/>
              </w:rPr>
              <w:t>年</w:t>
            </w:r>
          </w:p>
        </w:tc>
        <w:tc>
          <w:tcPr>
            <w:tcW w:w="1419" w:type="dxa"/>
          </w:tcPr>
          <w:p w:rsidR="00F91B14" w:rsidRDefault="000B588A">
            <w:r>
              <w:rPr>
                <w:rFonts w:hint="eastAsia"/>
              </w:rPr>
              <w:t>占比</w:t>
            </w:r>
          </w:p>
        </w:tc>
        <w:tc>
          <w:tcPr>
            <w:tcW w:w="1420" w:type="dxa"/>
          </w:tcPr>
          <w:p w:rsidR="00F91B14" w:rsidRDefault="000B588A">
            <w:r>
              <w:rPr>
                <w:rFonts w:hint="eastAsia"/>
              </w:rPr>
              <w:t>2020</w:t>
            </w:r>
            <w:r>
              <w:rPr>
                <w:rFonts w:hint="eastAsia"/>
              </w:rPr>
              <w:t>年</w:t>
            </w:r>
          </w:p>
        </w:tc>
        <w:tc>
          <w:tcPr>
            <w:tcW w:w="1420" w:type="dxa"/>
          </w:tcPr>
          <w:p w:rsidR="00F91B14" w:rsidRDefault="000B588A">
            <w:r>
              <w:rPr>
                <w:rFonts w:hint="eastAsia"/>
              </w:rPr>
              <w:t>占比</w:t>
            </w:r>
          </w:p>
        </w:tc>
        <w:tc>
          <w:tcPr>
            <w:tcW w:w="1420" w:type="dxa"/>
          </w:tcPr>
          <w:p w:rsidR="00F91B14" w:rsidRDefault="000B588A">
            <w:r>
              <w:rPr>
                <w:rFonts w:hint="eastAsia"/>
              </w:rPr>
              <w:t>变动</w:t>
            </w:r>
          </w:p>
        </w:tc>
      </w:tr>
      <w:tr w:rsidR="00F91B14">
        <w:tc>
          <w:tcPr>
            <w:tcW w:w="1419" w:type="dxa"/>
          </w:tcPr>
          <w:p w:rsidR="00F91B14" w:rsidRDefault="000B588A">
            <w:r>
              <w:rPr>
                <w:rFonts w:hint="eastAsia"/>
              </w:rPr>
              <w:t>现制茶饮</w:t>
            </w:r>
          </w:p>
        </w:tc>
        <w:tc>
          <w:tcPr>
            <w:tcW w:w="1419" w:type="dxa"/>
          </w:tcPr>
          <w:p w:rsidR="00F91B14" w:rsidRDefault="000B588A">
            <w:r>
              <w:rPr>
                <w:rFonts w:hint="eastAsia"/>
              </w:rPr>
              <w:t>1,587,444</w:t>
            </w:r>
          </w:p>
          <w:p w:rsidR="00F91B14" w:rsidRDefault="00F91B14"/>
        </w:tc>
        <w:tc>
          <w:tcPr>
            <w:tcW w:w="1419" w:type="dxa"/>
          </w:tcPr>
          <w:p w:rsidR="00F91B14" w:rsidRDefault="000B588A">
            <w:r>
              <w:rPr>
                <w:rFonts w:hint="eastAsia"/>
              </w:rPr>
              <w:t>74.7</w:t>
            </w:r>
          </w:p>
          <w:p w:rsidR="00F91B14" w:rsidRDefault="00F91B14"/>
        </w:tc>
        <w:tc>
          <w:tcPr>
            <w:tcW w:w="1420" w:type="dxa"/>
          </w:tcPr>
          <w:p w:rsidR="00F91B14" w:rsidRDefault="000B588A">
            <w:r>
              <w:rPr>
                <w:rFonts w:hint="eastAsia"/>
              </w:rPr>
              <w:t>915,315</w:t>
            </w:r>
          </w:p>
          <w:p w:rsidR="00F91B14" w:rsidRDefault="00F91B14"/>
        </w:tc>
        <w:tc>
          <w:tcPr>
            <w:tcW w:w="1420" w:type="dxa"/>
          </w:tcPr>
          <w:p w:rsidR="00F91B14" w:rsidRDefault="000B588A">
            <w:r>
              <w:rPr>
                <w:rFonts w:hint="eastAsia"/>
              </w:rPr>
              <w:t>77.6</w:t>
            </w:r>
          </w:p>
          <w:p w:rsidR="00F91B14" w:rsidRDefault="00F91B14"/>
        </w:tc>
        <w:tc>
          <w:tcPr>
            <w:tcW w:w="1420" w:type="dxa"/>
          </w:tcPr>
          <w:p w:rsidR="00F91B14" w:rsidRDefault="000B588A">
            <w:r>
              <w:rPr>
                <w:rFonts w:hint="eastAsia"/>
              </w:rPr>
              <w:t>-3.0</w:t>
            </w:r>
          </w:p>
          <w:p w:rsidR="00F91B14" w:rsidRDefault="00F91B14"/>
        </w:tc>
      </w:tr>
      <w:tr w:rsidR="00F91B14">
        <w:tc>
          <w:tcPr>
            <w:tcW w:w="1419" w:type="dxa"/>
          </w:tcPr>
          <w:p w:rsidR="00F91B14" w:rsidRDefault="000B588A">
            <w:r>
              <w:rPr>
                <w:rFonts w:hint="eastAsia"/>
              </w:rPr>
              <w:t>烘焙产品</w:t>
            </w:r>
          </w:p>
        </w:tc>
        <w:tc>
          <w:tcPr>
            <w:tcW w:w="1419" w:type="dxa"/>
          </w:tcPr>
          <w:p w:rsidR="00F91B14" w:rsidRDefault="000B588A">
            <w:r>
              <w:rPr>
                <w:rFonts w:hint="eastAsia"/>
              </w:rPr>
              <w:t>468,754</w:t>
            </w:r>
          </w:p>
          <w:p w:rsidR="00F91B14" w:rsidRDefault="00F91B14"/>
        </w:tc>
        <w:tc>
          <w:tcPr>
            <w:tcW w:w="1419" w:type="dxa"/>
          </w:tcPr>
          <w:p w:rsidR="00F91B14" w:rsidRDefault="000B588A">
            <w:r>
              <w:rPr>
                <w:rFonts w:hint="eastAsia"/>
              </w:rPr>
              <w:t>22.0</w:t>
            </w:r>
          </w:p>
          <w:p w:rsidR="00F91B14" w:rsidRDefault="00F91B14"/>
        </w:tc>
        <w:tc>
          <w:tcPr>
            <w:tcW w:w="1420" w:type="dxa"/>
          </w:tcPr>
          <w:p w:rsidR="00F91B14" w:rsidRDefault="000B588A">
            <w:r>
              <w:rPr>
                <w:rFonts w:hint="eastAsia"/>
              </w:rPr>
              <w:t>248,694</w:t>
            </w:r>
          </w:p>
          <w:p w:rsidR="00F91B14" w:rsidRDefault="00F91B14"/>
        </w:tc>
        <w:tc>
          <w:tcPr>
            <w:tcW w:w="1420" w:type="dxa"/>
          </w:tcPr>
          <w:p w:rsidR="00F91B14" w:rsidRDefault="000B588A">
            <w:r>
              <w:rPr>
                <w:rFonts w:hint="eastAsia"/>
              </w:rPr>
              <w:t>21.1</w:t>
            </w:r>
          </w:p>
          <w:p w:rsidR="00F91B14" w:rsidRDefault="00F91B14"/>
        </w:tc>
        <w:tc>
          <w:tcPr>
            <w:tcW w:w="1420" w:type="dxa"/>
          </w:tcPr>
          <w:p w:rsidR="00F91B14" w:rsidRDefault="000B588A">
            <w:r>
              <w:rPr>
                <w:rFonts w:hint="eastAsia"/>
              </w:rPr>
              <w:t>+1.0</w:t>
            </w:r>
          </w:p>
          <w:p w:rsidR="00F91B14" w:rsidRDefault="00F91B14"/>
        </w:tc>
      </w:tr>
      <w:tr w:rsidR="00F91B14">
        <w:tc>
          <w:tcPr>
            <w:tcW w:w="1419" w:type="dxa"/>
          </w:tcPr>
          <w:p w:rsidR="00F91B14" w:rsidRDefault="000B588A">
            <w:r>
              <w:rPr>
                <w:rFonts w:hint="eastAsia"/>
              </w:rPr>
              <w:t>其他产品</w:t>
            </w:r>
          </w:p>
        </w:tc>
        <w:tc>
          <w:tcPr>
            <w:tcW w:w="1419" w:type="dxa"/>
          </w:tcPr>
          <w:p w:rsidR="00F91B14" w:rsidRDefault="000B588A">
            <w:r>
              <w:rPr>
                <w:rFonts w:hint="eastAsia"/>
              </w:rPr>
              <w:t>69,729</w:t>
            </w:r>
          </w:p>
          <w:p w:rsidR="00F91B14" w:rsidRDefault="00F91B14"/>
        </w:tc>
        <w:tc>
          <w:tcPr>
            <w:tcW w:w="1419" w:type="dxa"/>
          </w:tcPr>
          <w:p w:rsidR="00F91B14" w:rsidRDefault="000B588A">
            <w:r>
              <w:rPr>
                <w:rFonts w:hint="eastAsia"/>
              </w:rPr>
              <w:t>3.3</w:t>
            </w:r>
          </w:p>
          <w:p w:rsidR="00F91B14" w:rsidRDefault="00F91B14"/>
        </w:tc>
        <w:tc>
          <w:tcPr>
            <w:tcW w:w="1420" w:type="dxa"/>
          </w:tcPr>
          <w:p w:rsidR="00F91B14" w:rsidRDefault="000B588A">
            <w:r>
              <w:rPr>
                <w:rFonts w:hint="eastAsia"/>
              </w:rPr>
              <w:t>15,496</w:t>
            </w:r>
          </w:p>
          <w:p w:rsidR="00F91B14" w:rsidRDefault="00F91B14"/>
        </w:tc>
        <w:tc>
          <w:tcPr>
            <w:tcW w:w="1420" w:type="dxa"/>
          </w:tcPr>
          <w:p w:rsidR="00F91B14" w:rsidRDefault="000B588A">
            <w:r>
              <w:rPr>
                <w:rFonts w:hint="eastAsia"/>
              </w:rPr>
              <w:t>1.3</w:t>
            </w:r>
          </w:p>
          <w:p w:rsidR="00F91B14" w:rsidRDefault="00F91B14"/>
        </w:tc>
        <w:tc>
          <w:tcPr>
            <w:tcW w:w="1420" w:type="dxa"/>
          </w:tcPr>
          <w:p w:rsidR="00F91B14" w:rsidRDefault="000B588A">
            <w:r>
              <w:rPr>
                <w:rFonts w:hint="eastAsia"/>
              </w:rPr>
              <w:t>+2.0</w:t>
            </w:r>
          </w:p>
          <w:p w:rsidR="00F91B14" w:rsidRDefault="00F91B14"/>
        </w:tc>
      </w:tr>
      <w:tr w:rsidR="00F91B14">
        <w:tc>
          <w:tcPr>
            <w:tcW w:w="1419" w:type="dxa"/>
          </w:tcPr>
          <w:p w:rsidR="00F91B14" w:rsidRDefault="000B588A">
            <w:r>
              <w:rPr>
                <w:rFonts w:hint="eastAsia"/>
              </w:rPr>
              <w:t>总计</w:t>
            </w:r>
          </w:p>
        </w:tc>
        <w:tc>
          <w:tcPr>
            <w:tcW w:w="1419" w:type="dxa"/>
          </w:tcPr>
          <w:p w:rsidR="00F91B14" w:rsidRDefault="000B588A">
            <w:r>
              <w:rPr>
                <w:rFonts w:hint="eastAsia"/>
              </w:rPr>
              <w:t>2,125,927</w:t>
            </w:r>
          </w:p>
          <w:p w:rsidR="00F91B14" w:rsidRDefault="00F91B14"/>
        </w:tc>
        <w:tc>
          <w:tcPr>
            <w:tcW w:w="1419" w:type="dxa"/>
          </w:tcPr>
          <w:p w:rsidR="00F91B14" w:rsidRDefault="000B588A">
            <w:r>
              <w:rPr>
                <w:rFonts w:hint="eastAsia"/>
              </w:rPr>
              <w:t>100.0</w:t>
            </w:r>
          </w:p>
          <w:p w:rsidR="00F91B14" w:rsidRDefault="00F91B14"/>
        </w:tc>
        <w:tc>
          <w:tcPr>
            <w:tcW w:w="1420" w:type="dxa"/>
          </w:tcPr>
          <w:p w:rsidR="00F91B14" w:rsidRDefault="000B588A">
            <w:r>
              <w:rPr>
                <w:rFonts w:hint="eastAsia"/>
              </w:rPr>
              <w:t>1,179,505</w:t>
            </w:r>
          </w:p>
          <w:p w:rsidR="00F91B14" w:rsidRDefault="00F91B14"/>
        </w:tc>
        <w:tc>
          <w:tcPr>
            <w:tcW w:w="1420" w:type="dxa"/>
          </w:tcPr>
          <w:p w:rsidR="00F91B14" w:rsidRDefault="000B588A">
            <w:r>
              <w:rPr>
                <w:rFonts w:hint="eastAsia"/>
              </w:rPr>
              <w:t>100.0</w:t>
            </w:r>
          </w:p>
          <w:p w:rsidR="00F91B14" w:rsidRDefault="00F91B14"/>
        </w:tc>
        <w:tc>
          <w:tcPr>
            <w:tcW w:w="1420" w:type="dxa"/>
          </w:tcPr>
          <w:p w:rsidR="00F91B14" w:rsidRDefault="00F91B14"/>
        </w:tc>
      </w:tr>
    </w:tbl>
    <w:p w:rsidR="00F91B14" w:rsidRDefault="00F91B14"/>
    <w:p w:rsidR="00F91B14" w:rsidRDefault="000B588A">
      <w:pPr>
        <w:ind w:firstLine="420"/>
        <w:rPr>
          <w:rFonts w:ascii="Verdana" w:eastAsia="宋体" w:hAnsi="Verdana" w:cs="Verdana"/>
          <w:color w:val="222222"/>
          <w:sz w:val="24"/>
          <w:shd w:val="clear" w:color="auto" w:fill="FFFFFF"/>
        </w:rPr>
      </w:pPr>
      <w:r>
        <w:rPr>
          <w:rFonts w:ascii="Verdana" w:eastAsia="宋体" w:hAnsi="Verdana" w:cs="Verdana" w:hint="eastAsia"/>
          <w:color w:val="222222"/>
          <w:sz w:val="24"/>
          <w:shd w:val="clear" w:color="auto" w:fill="FFFFFF"/>
        </w:rPr>
        <w:t>可以看见，</w:t>
      </w:r>
      <w:proofErr w:type="gramStart"/>
      <w:r>
        <w:rPr>
          <w:rFonts w:ascii="Verdana" w:eastAsia="宋体" w:hAnsi="Verdana" w:cs="Verdana" w:hint="eastAsia"/>
          <w:color w:val="222222"/>
          <w:sz w:val="24"/>
          <w:shd w:val="clear" w:color="auto" w:fill="FFFFFF"/>
        </w:rPr>
        <w:t>奈雪的</w:t>
      </w:r>
      <w:proofErr w:type="gramEnd"/>
      <w:r>
        <w:rPr>
          <w:rFonts w:ascii="Verdana" w:eastAsia="宋体" w:hAnsi="Verdana" w:cs="Verdana" w:hint="eastAsia"/>
          <w:color w:val="222222"/>
          <w:sz w:val="24"/>
          <w:shd w:val="clear" w:color="auto" w:fill="FFFFFF"/>
        </w:rPr>
        <w:t>茶在</w:t>
      </w:r>
      <w:r>
        <w:rPr>
          <w:rFonts w:ascii="Verdana" w:eastAsia="宋体" w:hAnsi="Verdana" w:cs="Verdana" w:hint="eastAsia"/>
          <w:color w:val="222222"/>
          <w:sz w:val="24"/>
          <w:shd w:val="clear" w:color="auto" w:fill="FFFFFF"/>
        </w:rPr>
        <w:t>2021</w:t>
      </w:r>
      <w:r>
        <w:rPr>
          <w:rFonts w:ascii="Verdana" w:eastAsia="宋体" w:hAnsi="Verdana" w:cs="Verdana" w:hint="eastAsia"/>
          <w:color w:val="222222"/>
          <w:sz w:val="24"/>
          <w:shd w:val="clear" w:color="auto" w:fill="FFFFFF"/>
        </w:rPr>
        <w:t>年总体收入相比于</w:t>
      </w:r>
      <w:r>
        <w:rPr>
          <w:rFonts w:ascii="Verdana" w:eastAsia="宋体" w:hAnsi="Verdana" w:cs="Verdana" w:hint="eastAsia"/>
          <w:color w:val="222222"/>
          <w:sz w:val="24"/>
          <w:shd w:val="clear" w:color="auto" w:fill="FFFFFF"/>
        </w:rPr>
        <w:t>2020</w:t>
      </w:r>
      <w:r>
        <w:rPr>
          <w:rFonts w:ascii="Verdana" w:eastAsia="宋体" w:hAnsi="Verdana" w:cs="Verdana" w:hint="eastAsia"/>
          <w:color w:val="222222"/>
          <w:sz w:val="24"/>
          <w:shd w:val="clear" w:color="auto" w:fill="FFFFFF"/>
        </w:rPr>
        <w:t>年上涨了</w:t>
      </w:r>
      <w:r>
        <w:rPr>
          <w:rFonts w:ascii="Verdana" w:eastAsia="宋体" w:hAnsi="Verdana" w:cs="Verdana" w:hint="eastAsia"/>
          <w:color w:val="222222"/>
          <w:sz w:val="24"/>
          <w:shd w:val="clear" w:color="auto" w:fill="FFFFFF"/>
        </w:rPr>
        <w:t>80%</w:t>
      </w:r>
      <w:r>
        <w:rPr>
          <w:rFonts w:ascii="Verdana" w:eastAsia="宋体" w:hAnsi="Verdana" w:cs="Verdana" w:hint="eastAsia"/>
          <w:color w:val="222222"/>
          <w:sz w:val="24"/>
          <w:shd w:val="clear" w:color="auto" w:fill="FFFFFF"/>
        </w:rPr>
        <w:t>，反应了人们生活水平的提高，对高端</w:t>
      </w:r>
      <w:proofErr w:type="gramStart"/>
      <w:r>
        <w:rPr>
          <w:rFonts w:ascii="Verdana" w:eastAsia="宋体" w:hAnsi="Verdana" w:cs="Verdana" w:hint="eastAsia"/>
          <w:color w:val="222222"/>
          <w:sz w:val="24"/>
          <w:shd w:val="clear" w:color="auto" w:fill="FFFFFF"/>
        </w:rPr>
        <w:t>茶饮店的</w:t>
      </w:r>
      <w:proofErr w:type="gramEnd"/>
      <w:r>
        <w:rPr>
          <w:rFonts w:ascii="Verdana" w:eastAsia="宋体" w:hAnsi="Verdana" w:cs="Verdana" w:hint="eastAsia"/>
          <w:color w:val="222222"/>
          <w:sz w:val="24"/>
          <w:shd w:val="clear" w:color="auto" w:fill="FFFFFF"/>
        </w:rPr>
        <w:t>消费和需求越来越大，高端</w:t>
      </w:r>
      <w:proofErr w:type="gramStart"/>
      <w:r>
        <w:rPr>
          <w:rFonts w:ascii="Verdana" w:eastAsia="宋体" w:hAnsi="Verdana" w:cs="Verdana" w:hint="eastAsia"/>
          <w:color w:val="222222"/>
          <w:sz w:val="24"/>
          <w:shd w:val="clear" w:color="auto" w:fill="FFFFFF"/>
        </w:rPr>
        <w:t>茶饮店存在</w:t>
      </w:r>
      <w:proofErr w:type="gramEnd"/>
      <w:r>
        <w:rPr>
          <w:rFonts w:ascii="Verdana" w:eastAsia="宋体" w:hAnsi="Verdana" w:cs="Verdana" w:hint="eastAsia"/>
          <w:color w:val="222222"/>
          <w:sz w:val="24"/>
          <w:shd w:val="clear" w:color="auto" w:fill="FFFFFF"/>
        </w:rPr>
        <w:t>很大的市场空间和潜力。</w:t>
      </w:r>
    </w:p>
    <w:p w:rsidR="00F91B14" w:rsidRDefault="00F91B14">
      <w:pPr>
        <w:rPr>
          <w:rFonts w:ascii="Verdana" w:eastAsia="宋体" w:hAnsi="Verdana" w:cs="Verdana"/>
          <w:color w:val="222222"/>
          <w:sz w:val="24"/>
          <w:shd w:val="clear" w:color="auto" w:fill="FFFFFF"/>
        </w:rPr>
      </w:pPr>
    </w:p>
    <w:tbl>
      <w:tblPr>
        <w:tblStyle w:val="a3"/>
        <w:tblW w:w="0" w:type="auto"/>
        <w:tblLayout w:type="fixed"/>
        <w:tblLook w:val="04A0" w:firstRow="1" w:lastRow="0" w:firstColumn="1" w:lastColumn="0" w:noHBand="0" w:noVBand="1"/>
      </w:tblPr>
      <w:tblGrid>
        <w:gridCol w:w="2792"/>
        <w:gridCol w:w="2896"/>
        <w:gridCol w:w="2834"/>
      </w:tblGrid>
      <w:tr w:rsidR="00F91B14">
        <w:trPr>
          <w:trHeight w:val="446"/>
        </w:trPr>
        <w:tc>
          <w:tcPr>
            <w:tcW w:w="2792" w:type="dxa"/>
          </w:tcPr>
          <w:p w:rsidR="00F91B14" w:rsidRDefault="000B588A">
            <w:r>
              <w:rPr>
                <w:rFonts w:hint="eastAsia"/>
              </w:rPr>
              <w:t>融资活动</w:t>
            </w:r>
          </w:p>
        </w:tc>
        <w:tc>
          <w:tcPr>
            <w:tcW w:w="2896" w:type="dxa"/>
          </w:tcPr>
          <w:p w:rsidR="00F91B14" w:rsidRDefault="000B588A">
            <w:r>
              <w:rPr>
                <w:rFonts w:hint="eastAsia"/>
              </w:rPr>
              <w:t>2021</w:t>
            </w:r>
            <w:r>
              <w:rPr>
                <w:rFonts w:hint="eastAsia"/>
              </w:rPr>
              <w:t>年</w:t>
            </w:r>
            <w:r>
              <w:rPr>
                <w:rFonts w:hint="eastAsia"/>
              </w:rPr>
              <w:t>6</w:t>
            </w:r>
            <w:r>
              <w:rPr>
                <w:rFonts w:hint="eastAsia"/>
              </w:rPr>
              <w:t>月</w:t>
            </w:r>
            <w:r>
              <w:rPr>
                <w:rFonts w:hint="eastAsia"/>
              </w:rPr>
              <w:t>30</w:t>
            </w:r>
            <w:r>
              <w:rPr>
                <w:rFonts w:hint="eastAsia"/>
              </w:rPr>
              <w:t>日</w:t>
            </w:r>
          </w:p>
        </w:tc>
        <w:tc>
          <w:tcPr>
            <w:tcW w:w="2834" w:type="dxa"/>
          </w:tcPr>
          <w:p w:rsidR="00F91B14" w:rsidRDefault="000B588A">
            <w:r>
              <w:rPr>
                <w:rFonts w:hint="eastAsia"/>
              </w:rPr>
              <w:t>2020</w:t>
            </w:r>
            <w:r>
              <w:rPr>
                <w:rFonts w:hint="eastAsia"/>
              </w:rPr>
              <w:t>年</w:t>
            </w:r>
          </w:p>
        </w:tc>
      </w:tr>
      <w:tr w:rsidR="00F91B14">
        <w:trPr>
          <w:trHeight w:val="892"/>
        </w:trPr>
        <w:tc>
          <w:tcPr>
            <w:tcW w:w="2792" w:type="dxa"/>
          </w:tcPr>
          <w:p w:rsidR="00F91B14" w:rsidRDefault="000B588A">
            <w:r>
              <w:rPr>
                <w:rFonts w:hint="eastAsia"/>
              </w:rPr>
              <w:t>融资活动所得现金净额</w:t>
            </w:r>
          </w:p>
        </w:tc>
        <w:tc>
          <w:tcPr>
            <w:tcW w:w="2896" w:type="dxa"/>
          </w:tcPr>
          <w:p w:rsidR="00F91B14" w:rsidRDefault="000B588A">
            <w:r>
              <w:rPr>
                <w:rFonts w:hint="eastAsia"/>
              </w:rPr>
              <w:t>4132906</w:t>
            </w:r>
          </w:p>
        </w:tc>
        <w:tc>
          <w:tcPr>
            <w:tcW w:w="2834" w:type="dxa"/>
          </w:tcPr>
          <w:p w:rsidR="00F91B14" w:rsidRDefault="000B588A">
            <w:r>
              <w:rPr>
                <w:rFonts w:hint="eastAsia"/>
              </w:rPr>
              <w:t>9028</w:t>
            </w:r>
          </w:p>
        </w:tc>
      </w:tr>
    </w:tbl>
    <w:p w:rsidR="00F91B14" w:rsidRDefault="00F91B14">
      <w:pPr>
        <w:rPr>
          <w:rFonts w:ascii="Verdana" w:eastAsia="宋体" w:hAnsi="Verdana" w:cs="Verdana"/>
          <w:color w:val="222222"/>
          <w:sz w:val="24"/>
          <w:shd w:val="clear" w:color="auto" w:fill="FFFFFF"/>
        </w:rPr>
      </w:pPr>
    </w:p>
    <w:p w:rsidR="00F91B14" w:rsidRDefault="000B588A">
      <w:pPr>
        <w:rPr>
          <w:rFonts w:ascii="Verdana" w:eastAsia="宋体" w:hAnsi="Verdana" w:cs="Verdana"/>
          <w:color w:val="222222"/>
          <w:sz w:val="24"/>
          <w:shd w:val="clear" w:color="auto" w:fill="FFFFFF"/>
        </w:rPr>
      </w:pPr>
      <w:r>
        <w:rPr>
          <w:rFonts w:ascii="Verdana" w:eastAsia="宋体" w:hAnsi="Verdana" w:cs="Verdana" w:hint="eastAsia"/>
          <w:color w:val="222222"/>
          <w:sz w:val="24"/>
          <w:shd w:val="clear" w:color="auto" w:fill="FFFFFF"/>
        </w:rPr>
        <w:t>可以看见，截止至</w:t>
      </w:r>
      <w:r>
        <w:rPr>
          <w:rFonts w:ascii="Verdana" w:eastAsia="宋体" w:hAnsi="Verdana" w:cs="Verdana" w:hint="eastAsia"/>
          <w:color w:val="222222"/>
          <w:sz w:val="24"/>
          <w:shd w:val="clear" w:color="auto" w:fill="FFFFFF"/>
        </w:rPr>
        <w:t>2021</w:t>
      </w:r>
      <w:r>
        <w:rPr>
          <w:rFonts w:ascii="Verdana" w:eastAsia="宋体" w:hAnsi="Verdana" w:cs="Verdana" w:hint="eastAsia"/>
          <w:color w:val="222222"/>
          <w:sz w:val="24"/>
          <w:shd w:val="clear" w:color="auto" w:fill="FFFFFF"/>
        </w:rPr>
        <w:t>年</w:t>
      </w:r>
      <w:r>
        <w:rPr>
          <w:rFonts w:ascii="Verdana" w:eastAsia="宋体" w:hAnsi="Verdana" w:cs="Verdana" w:hint="eastAsia"/>
          <w:color w:val="222222"/>
          <w:sz w:val="24"/>
          <w:shd w:val="clear" w:color="auto" w:fill="FFFFFF"/>
        </w:rPr>
        <w:t>6</w:t>
      </w:r>
      <w:r>
        <w:rPr>
          <w:rFonts w:ascii="Verdana" w:eastAsia="宋体" w:hAnsi="Verdana" w:cs="Verdana" w:hint="eastAsia"/>
          <w:color w:val="222222"/>
          <w:sz w:val="24"/>
          <w:shd w:val="clear" w:color="auto" w:fill="FFFFFF"/>
        </w:rPr>
        <w:t>月</w:t>
      </w:r>
      <w:r>
        <w:rPr>
          <w:rFonts w:ascii="Verdana" w:eastAsia="宋体" w:hAnsi="Verdana" w:cs="Verdana" w:hint="eastAsia"/>
          <w:color w:val="222222"/>
          <w:sz w:val="24"/>
          <w:shd w:val="clear" w:color="auto" w:fill="FFFFFF"/>
        </w:rPr>
        <w:t>30</w:t>
      </w:r>
      <w:r>
        <w:rPr>
          <w:rFonts w:ascii="Verdana" w:eastAsia="宋体" w:hAnsi="Verdana" w:cs="Verdana" w:hint="eastAsia"/>
          <w:color w:val="222222"/>
          <w:sz w:val="24"/>
          <w:shd w:val="clear" w:color="auto" w:fill="FFFFFF"/>
        </w:rPr>
        <w:t>日，</w:t>
      </w:r>
      <w:proofErr w:type="gramStart"/>
      <w:r>
        <w:rPr>
          <w:rFonts w:ascii="Verdana" w:eastAsia="宋体" w:hAnsi="Verdana" w:cs="Verdana" w:hint="eastAsia"/>
          <w:color w:val="222222"/>
          <w:sz w:val="24"/>
          <w:shd w:val="clear" w:color="auto" w:fill="FFFFFF"/>
        </w:rPr>
        <w:t>奈雪的</w:t>
      </w:r>
      <w:proofErr w:type="gramEnd"/>
      <w:r>
        <w:rPr>
          <w:rFonts w:ascii="Verdana" w:eastAsia="宋体" w:hAnsi="Verdana" w:cs="Verdana" w:hint="eastAsia"/>
          <w:color w:val="222222"/>
          <w:sz w:val="24"/>
          <w:shd w:val="clear" w:color="auto" w:fill="FFFFFF"/>
        </w:rPr>
        <w:t>茶所获得的融资现金净额远远高于</w:t>
      </w:r>
      <w:r>
        <w:rPr>
          <w:rFonts w:ascii="Verdana" w:eastAsia="宋体" w:hAnsi="Verdana" w:cs="Verdana" w:hint="eastAsia"/>
          <w:color w:val="222222"/>
          <w:sz w:val="24"/>
          <w:shd w:val="clear" w:color="auto" w:fill="FFFFFF"/>
        </w:rPr>
        <w:t>2020</w:t>
      </w:r>
      <w:r>
        <w:rPr>
          <w:rFonts w:ascii="Verdana" w:eastAsia="宋体" w:hAnsi="Verdana" w:cs="Verdana" w:hint="eastAsia"/>
          <w:color w:val="222222"/>
          <w:sz w:val="24"/>
          <w:shd w:val="clear" w:color="auto" w:fill="FFFFFF"/>
        </w:rPr>
        <w:t>年，说明高端</w:t>
      </w:r>
      <w:proofErr w:type="gramStart"/>
      <w:r>
        <w:rPr>
          <w:rFonts w:ascii="Verdana" w:eastAsia="宋体" w:hAnsi="Verdana" w:cs="Verdana" w:hint="eastAsia"/>
          <w:color w:val="222222"/>
          <w:sz w:val="24"/>
          <w:shd w:val="clear" w:color="auto" w:fill="FFFFFF"/>
        </w:rPr>
        <w:t>茶饮店被</w:t>
      </w:r>
      <w:proofErr w:type="gramEnd"/>
      <w:r>
        <w:rPr>
          <w:rFonts w:ascii="Verdana" w:eastAsia="宋体" w:hAnsi="Verdana" w:cs="Verdana" w:hint="eastAsia"/>
          <w:color w:val="222222"/>
          <w:sz w:val="24"/>
          <w:shd w:val="clear" w:color="auto" w:fill="FFFFFF"/>
        </w:rPr>
        <w:t>资本看好，具有很大的市场潜力。</w:t>
      </w:r>
    </w:p>
    <w:p w:rsidR="00F91B14" w:rsidRDefault="00F91B14"/>
    <w:p w:rsidR="00F91B14" w:rsidRDefault="000B588A">
      <w:proofErr w:type="gramStart"/>
      <w:r>
        <w:rPr>
          <w:rFonts w:hint="eastAsia"/>
          <w:b/>
          <w:bCs/>
        </w:rPr>
        <w:t>奈雪的茶不同</w:t>
      </w:r>
      <w:proofErr w:type="gramEnd"/>
      <w:r>
        <w:rPr>
          <w:rFonts w:hint="eastAsia"/>
          <w:b/>
          <w:bCs/>
        </w:rPr>
        <w:t>产品门店数量及分布表如下</w:t>
      </w:r>
      <w:r>
        <w:rPr>
          <w:rFonts w:hint="eastAsia"/>
        </w:rPr>
        <w:t>：</w:t>
      </w:r>
    </w:p>
    <w:tbl>
      <w:tblPr>
        <w:tblW w:w="9457" w:type="dxa"/>
        <w:tblInd w:w="93" w:type="dxa"/>
        <w:tblLayout w:type="fixed"/>
        <w:tblLook w:val="04A0" w:firstRow="1" w:lastRow="0" w:firstColumn="1" w:lastColumn="0" w:noHBand="0" w:noVBand="1"/>
      </w:tblPr>
      <w:tblGrid>
        <w:gridCol w:w="2549"/>
        <w:gridCol w:w="1717"/>
        <w:gridCol w:w="1717"/>
        <w:gridCol w:w="1717"/>
        <w:gridCol w:w="1757"/>
      </w:tblGrid>
      <w:tr w:rsidR="00F91B14">
        <w:trPr>
          <w:trHeight w:val="548"/>
        </w:trPr>
        <w:tc>
          <w:tcPr>
            <w:tcW w:w="2549"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proofErr w:type="gramStart"/>
            <w:r>
              <w:rPr>
                <w:rFonts w:ascii="Arial" w:eastAsia="宋体" w:hAnsi="Arial" w:cs="Arial"/>
                <w:color w:val="000000"/>
                <w:kern w:val="0"/>
                <w:sz w:val="22"/>
                <w:szCs w:val="22"/>
                <w:lang w:bidi="ar"/>
              </w:rPr>
              <w:t>奈雪的</w:t>
            </w:r>
            <w:proofErr w:type="gramEnd"/>
            <w:r>
              <w:rPr>
                <w:rFonts w:ascii="Arial" w:eastAsia="宋体" w:hAnsi="Arial" w:cs="Arial"/>
                <w:color w:val="000000"/>
                <w:kern w:val="0"/>
                <w:sz w:val="22"/>
                <w:szCs w:val="22"/>
                <w:lang w:bidi="ar"/>
              </w:rPr>
              <w:t>茶</w:t>
            </w:r>
            <w:r>
              <w:rPr>
                <w:rFonts w:ascii="Arial" w:eastAsia="宋体" w:hAnsi="Arial" w:cs="Arial" w:hint="eastAsia"/>
                <w:color w:val="000000"/>
                <w:kern w:val="0"/>
                <w:sz w:val="22"/>
                <w:szCs w:val="22"/>
                <w:lang w:bidi="ar"/>
              </w:rPr>
              <w:t>--</w:t>
            </w:r>
            <w:r>
              <w:rPr>
                <w:rFonts w:ascii="Arial" w:eastAsia="宋体" w:hAnsi="Arial" w:cs="Arial" w:hint="eastAsia"/>
                <w:color w:val="000000"/>
                <w:kern w:val="0"/>
                <w:sz w:val="22"/>
                <w:szCs w:val="22"/>
                <w:lang w:bidi="ar"/>
              </w:rPr>
              <w:t>标准</w:t>
            </w:r>
            <w:proofErr w:type="gramStart"/>
            <w:r>
              <w:rPr>
                <w:rFonts w:ascii="Arial" w:eastAsia="宋体" w:hAnsi="Arial" w:cs="Arial" w:hint="eastAsia"/>
                <w:color w:val="000000"/>
                <w:kern w:val="0"/>
                <w:sz w:val="22"/>
                <w:szCs w:val="22"/>
                <w:lang w:bidi="ar"/>
              </w:rPr>
              <w:t>茶饮门店</w:t>
            </w:r>
            <w:proofErr w:type="gramEnd"/>
            <w:r>
              <w:rPr>
                <w:rFonts w:ascii="Arial" w:eastAsia="宋体" w:hAnsi="Arial" w:cs="Arial" w:hint="eastAsia"/>
                <w:color w:val="000000"/>
                <w:kern w:val="0"/>
                <w:sz w:val="22"/>
                <w:szCs w:val="22"/>
                <w:lang w:bidi="ar"/>
              </w:rPr>
              <w:t>数量</w:t>
            </w:r>
          </w:p>
        </w:tc>
        <w:tc>
          <w:tcPr>
            <w:tcW w:w="1717" w:type="dxa"/>
            <w:tcBorders>
              <w:top w:val="nil"/>
              <w:left w:val="nil"/>
              <w:bottom w:val="nil"/>
              <w:right w:val="nil"/>
            </w:tcBorders>
            <w:shd w:val="clear" w:color="auto" w:fill="auto"/>
            <w:vAlign w:val="bottom"/>
          </w:tcPr>
          <w:p w:rsidR="00F91B14" w:rsidRDefault="000B588A">
            <w:pPr>
              <w:rPr>
                <w:rFonts w:ascii="Arial"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12</w:t>
            </w:r>
            <w:r>
              <w:rPr>
                <w:rFonts w:ascii="Arial" w:hAnsi="Arial" w:cs="Arial" w:hint="eastAsia"/>
                <w:color w:val="000000"/>
                <w:sz w:val="22"/>
                <w:szCs w:val="22"/>
              </w:rPr>
              <w:t>月</w:t>
            </w:r>
            <w:r>
              <w:rPr>
                <w:rFonts w:ascii="Arial" w:hAnsi="Arial" w:cs="Arial" w:hint="eastAsia"/>
                <w:color w:val="000000"/>
                <w:sz w:val="22"/>
                <w:szCs w:val="22"/>
              </w:rPr>
              <w:t>31</w:t>
            </w:r>
            <w:r>
              <w:rPr>
                <w:rFonts w:ascii="Arial" w:hAnsi="Arial" w:cs="Arial" w:hint="eastAsia"/>
                <w:color w:val="000000"/>
                <w:sz w:val="22"/>
                <w:szCs w:val="22"/>
              </w:rPr>
              <w:t>日</w:t>
            </w:r>
          </w:p>
        </w:tc>
        <w:tc>
          <w:tcPr>
            <w:tcW w:w="1717" w:type="dxa"/>
            <w:tcBorders>
              <w:top w:val="nil"/>
              <w:left w:val="nil"/>
              <w:bottom w:val="nil"/>
              <w:right w:val="nil"/>
            </w:tcBorders>
            <w:shd w:val="clear" w:color="auto" w:fill="auto"/>
            <w:vAlign w:val="bottom"/>
          </w:tcPr>
          <w:p w:rsidR="00F91B14" w:rsidRDefault="000B588A">
            <w:pPr>
              <w:rPr>
                <w:rFonts w:ascii="Arial"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9</w:t>
            </w:r>
            <w:r>
              <w:rPr>
                <w:rFonts w:ascii="Arial" w:hAnsi="Arial" w:cs="Arial" w:hint="eastAsia"/>
                <w:color w:val="000000"/>
                <w:sz w:val="22"/>
                <w:szCs w:val="22"/>
              </w:rPr>
              <w:t>月</w:t>
            </w:r>
            <w:r>
              <w:rPr>
                <w:rFonts w:ascii="Arial" w:hAnsi="Arial" w:cs="Arial" w:hint="eastAsia"/>
                <w:color w:val="000000"/>
                <w:sz w:val="22"/>
                <w:szCs w:val="22"/>
              </w:rPr>
              <w:t>30</w:t>
            </w:r>
            <w:r>
              <w:rPr>
                <w:rFonts w:ascii="Arial" w:hAnsi="Arial" w:cs="Arial" w:hint="eastAsia"/>
                <w:color w:val="000000"/>
                <w:sz w:val="22"/>
                <w:szCs w:val="22"/>
              </w:rPr>
              <w:t>日</w:t>
            </w:r>
          </w:p>
        </w:tc>
        <w:tc>
          <w:tcPr>
            <w:tcW w:w="1717" w:type="dxa"/>
            <w:tcBorders>
              <w:top w:val="nil"/>
              <w:left w:val="nil"/>
              <w:bottom w:val="nil"/>
              <w:right w:val="nil"/>
            </w:tcBorders>
            <w:shd w:val="clear" w:color="auto" w:fill="auto"/>
            <w:vAlign w:val="bottom"/>
          </w:tcPr>
          <w:p w:rsidR="00F91B14" w:rsidRDefault="000B588A">
            <w:pPr>
              <w:rPr>
                <w:rFonts w:ascii="Arial" w:eastAsia="宋体"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6</w:t>
            </w:r>
            <w:r>
              <w:rPr>
                <w:rFonts w:ascii="Arial" w:hAnsi="Arial" w:cs="Arial" w:hint="eastAsia"/>
                <w:color w:val="000000"/>
                <w:sz w:val="22"/>
                <w:szCs w:val="22"/>
              </w:rPr>
              <w:t>月</w:t>
            </w:r>
            <w:r>
              <w:rPr>
                <w:rFonts w:ascii="Arial" w:hAnsi="Arial" w:cs="Arial" w:hint="eastAsia"/>
                <w:color w:val="000000"/>
                <w:sz w:val="22"/>
                <w:szCs w:val="22"/>
              </w:rPr>
              <w:t>30</w:t>
            </w:r>
            <w:r>
              <w:rPr>
                <w:rFonts w:ascii="Arial" w:hAnsi="Arial" w:cs="Arial" w:hint="eastAsia"/>
                <w:color w:val="000000"/>
                <w:sz w:val="22"/>
                <w:szCs w:val="22"/>
              </w:rPr>
              <w:t>日</w:t>
            </w:r>
          </w:p>
        </w:tc>
        <w:tc>
          <w:tcPr>
            <w:tcW w:w="1757" w:type="dxa"/>
            <w:tcBorders>
              <w:top w:val="nil"/>
              <w:left w:val="nil"/>
              <w:bottom w:val="nil"/>
              <w:right w:val="nil"/>
            </w:tcBorders>
            <w:shd w:val="clear" w:color="auto" w:fill="auto"/>
            <w:vAlign w:val="bottom"/>
          </w:tcPr>
          <w:p w:rsidR="00F91B14" w:rsidRDefault="000B588A">
            <w:pPr>
              <w:rPr>
                <w:rFonts w:ascii="Arial" w:eastAsia="宋体" w:hAnsi="Arial" w:cs="Arial"/>
                <w:color w:val="000000"/>
                <w:sz w:val="22"/>
                <w:szCs w:val="22"/>
              </w:rPr>
            </w:pPr>
            <w:r>
              <w:rPr>
                <w:rFonts w:ascii="Arial" w:hAnsi="Arial" w:cs="Arial" w:hint="eastAsia"/>
                <w:color w:val="000000"/>
                <w:sz w:val="22"/>
                <w:szCs w:val="22"/>
              </w:rPr>
              <w:t>2020</w:t>
            </w:r>
            <w:r>
              <w:rPr>
                <w:rFonts w:ascii="Arial" w:hAnsi="Arial" w:cs="Arial" w:hint="eastAsia"/>
                <w:color w:val="000000"/>
                <w:sz w:val="22"/>
                <w:szCs w:val="22"/>
              </w:rPr>
              <w:t>年</w:t>
            </w:r>
            <w:r>
              <w:rPr>
                <w:rFonts w:ascii="Arial" w:hAnsi="Arial" w:cs="Arial" w:hint="eastAsia"/>
                <w:color w:val="000000"/>
                <w:sz w:val="22"/>
                <w:szCs w:val="22"/>
              </w:rPr>
              <w:t>12</w:t>
            </w:r>
            <w:r>
              <w:rPr>
                <w:rFonts w:ascii="Arial" w:hAnsi="Arial" w:cs="Arial" w:hint="eastAsia"/>
                <w:color w:val="000000"/>
                <w:sz w:val="22"/>
                <w:szCs w:val="22"/>
              </w:rPr>
              <w:t>月</w:t>
            </w:r>
            <w:r>
              <w:rPr>
                <w:rFonts w:ascii="Arial" w:hAnsi="Arial" w:cs="Arial" w:hint="eastAsia"/>
                <w:color w:val="000000"/>
                <w:sz w:val="22"/>
                <w:szCs w:val="22"/>
              </w:rPr>
              <w:t>31</w:t>
            </w:r>
            <w:r>
              <w:rPr>
                <w:rFonts w:ascii="Arial" w:hAnsi="Arial" w:cs="Arial" w:hint="eastAsia"/>
                <w:color w:val="000000"/>
                <w:sz w:val="22"/>
                <w:szCs w:val="22"/>
              </w:rPr>
              <w:t>日</w:t>
            </w:r>
          </w:p>
        </w:tc>
      </w:tr>
      <w:tr w:rsidR="00F91B14">
        <w:trPr>
          <w:trHeight w:val="274"/>
        </w:trPr>
        <w:tc>
          <w:tcPr>
            <w:tcW w:w="2549"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sz w:val="22"/>
                <w:szCs w:val="22"/>
              </w:rPr>
              <w:t>一线城市</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149</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162</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167</w:t>
            </w:r>
          </w:p>
        </w:tc>
        <w:tc>
          <w:tcPr>
            <w:tcW w:w="175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166</w:t>
            </w:r>
          </w:p>
        </w:tc>
      </w:tr>
      <w:tr w:rsidR="00F91B14">
        <w:trPr>
          <w:trHeight w:val="274"/>
        </w:trPr>
        <w:tc>
          <w:tcPr>
            <w:tcW w:w="2549"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新一线城市</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150</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161</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172</w:t>
            </w:r>
          </w:p>
        </w:tc>
        <w:tc>
          <w:tcPr>
            <w:tcW w:w="175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168</w:t>
            </w:r>
          </w:p>
        </w:tc>
      </w:tr>
      <w:tr w:rsidR="00F91B14">
        <w:trPr>
          <w:trHeight w:val="274"/>
        </w:trPr>
        <w:tc>
          <w:tcPr>
            <w:tcW w:w="2549"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二线城市</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118</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122</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124</w:t>
            </w:r>
          </w:p>
        </w:tc>
        <w:tc>
          <w:tcPr>
            <w:tcW w:w="175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122</w:t>
            </w:r>
          </w:p>
        </w:tc>
      </w:tr>
      <w:tr w:rsidR="00F91B14">
        <w:trPr>
          <w:trHeight w:val="274"/>
        </w:trPr>
        <w:tc>
          <w:tcPr>
            <w:tcW w:w="2549"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其他城市</w:t>
            </w:r>
            <w:r>
              <w:rPr>
                <w:rStyle w:val="font01"/>
                <w:rFonts w:eastAsia="宋体"/>
                <w:lang w:bidi="ar"/>
              </w:rPr>
              <w:t>(1)</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29</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29</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41</w:t>
            </w:r>
          </w:p>
        </w:tc>
        <w:tc>
          <w:tcPr>
            <w:tcW w:w="175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29</w:t>
            </w:r>
          </w:p>
        </w:tc>
      </w:tr>
      <w:tr w:rsidR="00F91B14">
        <w:trPr>
          <w:trHeight w:val="274"/>
        </w:trPr>
        <w:tc>
          <w:tcPr>
            <w:tcW w:w="2549"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总计</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446</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474</w:t>
            </w:r>
          </w:p>
        </w:tc>
        <w:tc>
          <w:tcPr>
            <w:tcW w:w="171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494</w:t>
            </w:r>
          </w:p>
        </w:tc>
        <w:tc>
          <w:tcPr>
            <w:tcW w:w="175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485</w:t>
            </w:r>
          </w:p>
        </w:tc>
      </w:tr>
    </w:tbl>
    <w:p w:rsidR="00F91B14" w:rsidRDefault="00F91B14"/>
    <w:tbl>
      <w:tblPr>
        <w:tblW w:w="9336" w:type="dxa"/>
        <w:tblInd w:w="93" w:type="dxa"/>
        <w:tblLayout w:type="fixed"/>
        <w:tblLook w:val="04A0" w:firstRow="1" w:lastRow="0" w:firstColumn="1" w:lastColumn="0" w:noHBand="0" w:noVBand="1"/>
      </w:tblPr>
      <w:tblGrid>
        <w:gridCol w:w="2517"/>
        <w:gridCol w:w="1695"/>
        <w:gridCol w:w="1695"/>
        <w:gridCol w:w="1695"/>
        <w:gridCol w:w="1734"/>
      </w:tblGrid>
      <w:tr w:rsidR="00F91B14">
        <w:trPr>
          <w:trHeight w:val="504"/>
        </w:trPr>
        <w:tc>
          <w:tcPr>
            <w:tcW w:w="2517"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第一类</w:t>
            </w:r>
            <w:r>
              <w:rPr>
                <w:rFonts w:ascii="Arial" w:eastAsia="宋体" w:hAnsi="Arial" w:cs="Arial" w:hint="eastAsia"/>
                <w:color w:val="000000"/>
                <w:kern w:val="0"/>
                <w:sz w:val="22"/>
                <w:szCs w:val="22"/>
                <w:lang w:bidi="ar"/>
              </w:rPr>
              <w:t>PRO</w:t>
            </w:r>
            <w:proofErr w:type="gramStart"/>
            <w:r>
              <w:rPr>
                <w:rFonts w:ascii="Arial" w:eastAsia="宋体" w:hAnsi="Arial" w:cs="Arial" w:hint="eastAsia"/>
                <w:color w:val="000000"/>
                <w:kern w:val="0"/>
                <w:sz w:val="22"/>
                <w:szCs w:val="22"/>
                <w:lang w:bidi="ar"/>
              </w:rPr>
              <w:t>茶饮门店</w:t>
            </w:r>
            <w:proofErr w:type="gramEnd"/>
            <w:r>
              <w:rPr>
                <w:rFonts w:ascii="Arial" w:eastAsia="宋体" w:hAnsi="Arial" w:cs="Arial" w:hint="eastAsia"/>
                <w:color w:val="000000"/>
                <w:kern w:val="0"/>
                <w:sz w:val="22"/>
                <w:szCs w:val="22"/>
                <w:lang w:bidi="ar"/>
              </w:rPr>
              <w:t>数量</w:t>
            </w:r>
          </w:p>
        </w:tc>
        <w:tc>
          <w:tcPr>
            <w:tcW w:w="1695" w:type="dxa"/>
            <w:tcBorders>
              <w:top w:val="nil"/>
              <w:left w:val="nil"/>
              <w:bottom w:val="nil"/>
              <w:right w:val="nil"/>
            </w:tcBorders>
            <w:shd w:val="clear" w:color="auto" w:fill="auto"/>
            <w:vAlign w:val="bottom"/>
          </w:tcPr>
          <w:p w:rsidR="00F91B14" w:rsidRDefault="000B588A">
            <w:pPr>
              <w:rPr>
                <w:rFonts w:ascii="Arial"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12</w:t>
            </w:r>
            <w:r>
              <w:rPr>
                <w:rFonts w:ascii="Arial" w:hAnsi="Arial" w:cs="Arial" w:hint="eastAsia"/>
                <w:color w:val="000000"/>
                <w:sz w:val="22"/>
                <w:szCs w:val="22"/>
              </w:rPr>
              <w:t>月</w:t>
            </w:r>
            <w:r>
              <w:rPr>
                <w:rFonts w:ascii="Arial" w:hAnsi="Arial" w:cs="Arial" w:hint="eastAsia"/>
                <w:color w:val="000000"/>
                <w:sz w:val="22"/>
                <w:szCs w:val="22"/>
              </w:rPr>
              <w:t>31</w:t>
            </w:r>
            <w:r>
              <w:rPr>
                <w:rFonts w:ascii="Arial" w:hAnsi="Arial" w:cs="Arial" w:hint="eastAsia"/>
                <w:color w:val="000000"/>
                <w:sz w:val="22"/>
                <w:szCs w:val="22"/>
              </w:rPr>
              <w:t>日</w:t>
            </w:r>
          </w:p>
        </w:tc>
        <w:tc>
          <w:tcPr>
            <w:tcW w:w="1695" w:type="dxa"/>
            <w:tcBorders>
              <w:top w:val="nil"/>
              <w:left w:val="nil"/>
              <w:bottom w:val="nil"/>
              <w:right w:val="nil"/>
            </w:tcBorders>
            <w:shd w:val="clear" w:color="auto" w:fill="auto"/>
            <w:vAlign w:val="bottom"/>
          </w:tcPr>
          <w:p w:rsidR="00F91B14" w:rsidRDefault="000B588A">
            <w:pPr>
              <w:rPr>
                <w:rFonts w:ascii="Arial"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9</w:t>
            </w:r>
            <w:r>
              <w:rPr>
                <w:rFonts w:ascii="Arial" w:hAnsi="Arial" w:cs="Arial" w:hint="eastAsia"/>
                <w:color w:val="000000"/>
                <w:sz w:val="22"/>
                <w:szCs w:val="22"/>
              </w:rPr>
              <w:t>月</w:t>
            </w:r>
            <w:r>
              <w:rPr>
                <w:rFonts w:ascii="Arial" w:hAnsi="Arial" w:cs="Arial" w:hint="eastAsia"/>
                <w:color w:val="000000"/>
                <w:sz w:val="22"/>
                <w:szCs w:val="22"/>
              </w:rPr>
              <w:t>30</w:t>
            </w:r>
            <w:r>
              <w:rPr>
                <w:rFonts w:ascii="Arial" w:hAnsi="Arial" w:cs="Arial" w:hint="eastAsia"/>
                <w:color w:val="000000"/>
                <w:sz w:val="22"/>
                <w:szCs w:val="22"/>
              </w:rPr>
              <w:t>日</w:t>
            </w:r>
          </w:p>
        </w:tc>
        <w:tc>
          <w:tcPr>
            <w:tcW w:w="1695" w:type="dxa"/>
            <w:tcBorders>
              <w:top w:val="nil"/>
              <w:left w:val="nil"/>
              <w:bottom w:val="nil"/>
              <w:right w:val="nil"/>
            </w:tcBorders>
            <w:shd w:val="clear" w:color="auto" w:fill="auto"/>
            <w:vAlign w:val="bottom"/>
          </w:tcPr>
          <w:p w:rsidR="00F91B14" w:rsidRDefault="000B588A">
            <w:pPr>
              <w:rPr>
                <w:rFonts w:ascii="Arial" w:eastAsia="宋体"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6</w:t>
            </w:r>
            <w:r>
              <w:rPr>
                <w:rFonts w:ascii="Arial" w:hAnsi="Arial" w:cs="Arial" w:hint="eastAsia"/>
                <w:color w:val="000000"/>
                <w:sz w:val="22"/>
                <w:szCs w:val="22"/>
              </w:rPr>
              <w:t>月</w:t>
            </w:r>
            <w:r>
              <w:rPr>
                <w:rFonts w:ascii="Arial" w:hAnsi="Arial" w:cs="Arial" w:hint="eastAsia"/>
                <w:color w:val="000000"/>
                <w:sz w:val="22"/>
                <w:szCs w:val="22"/>
              </w:rPr>
              <w:t>30</w:t>
            </w:r>
            <w:r>
              <w:rPr>
                <w:rFonts w:ascii="Arial" w:hAnsi="Arial" w:cs="Arial" w:hint="eastAsia"/>
                <w:color w:val="000000"/>
                <w:sz w:val="22"/>
                <w:szCs w:val="22"/>
              </w:rPr>
              <w:t>日</w:t>
            </w:r>
          </w:p>
        </w:tc>
        <w:tc>
          <w:tcPr>
            <w:tcW w:w="1734" w:type="dxa"/>
            <w:tcBorders>
              <w:top w:val="nil"/>
              <w:left w:val="nil"/>
              <w:bottom w:val="nil"/>
              <w:right w:val="nil"/>
            </w:tcBorders>
            <w:shd w:val="clear" w:color="auto" w:fill="auto"/>
            <w:vAlign w:val="bottom"/>
          </w:tcPr>
          <w:p w:rsidR="00F91B14" w:rsidRDefault="000B588A">
            <w:pPr>
              <w:rPr>
                <w:rFonts w:ascii="Arial" w:eastAsia="宋体" w:hAnsi="Arial" w:cs="Arial"/>
                <w:color w:val="000000"/>
                <w:sz w:val="22"/>
                <w:szCs w:val="22"/>
              </w:rPr>
            </w:pPr>
            <w:r>
              <w:rPr>
                <w:rFonts w:ascii="Arial" w:hAnsi="Arial" w:cs="Arial" w:hint="eastAsia"/>
                <w:color w:val="000000"/>
                <w:sz w:val="22"/>
                <w:szCs w:val="22"/>
              </w:rPr>
              <w:t>2020</w:t>
            </w:r>
            <w:r>
              <w:rPr>
                <w:rFonts w:ascii="Arial" w:hAnsi="Arial" w:cs="Arial" w:hint="eastAsia"/>
                <w:color w:val="000000"/>
                <w:sz w:val="22"/>
                <w:szCs w:val="22"/>
              </w:rPr>
              <w:t>年</w:t>
            </w:r>
            <w:r>
              <w:rPr>
                <w:rFonts w:ascii="Arial" w:hAnsi="Arial" w:cs="Arial" w:hint="eastAsia"/>
                <w:color w:val="000000"/>
                <w:sz w:val="22"/>
                <w:szCs w:val="22"/>
              </w:rPr>
              <w:t>12</w:t>
            </w:r>
            <w:r>
              <w:rPr>
                <w:rFonts w:ascii="Arial" w:hAnsi="Arial" w:cs="Arial" w:hint="eastAsia"/>
                <w:color w:val="000000"/>
                <w:sz w:val="22"/>
                <w:szCs w:val="22"/>
              </w:rPr>
              <w:t>月</w:t>
            </w:r>
            <w:r>
              <w:rPr>
                <w:rFonts w:ascii="Arial" w:hAnsi="Arial" w:cs="Arial" w:hint="eastAsia"/>
                <w:color w:val="000000"/>
                <w:sz w:val="22"/>
                <w:szCs w:val="22"/>
              </w:rPr>
              <w:t>31</w:t>
            </w:r>
            <w:r>
              <w:rPr>
                <w:rFonts w:ascii="Arial" w:hAnsi="Arial" w:cs="Arial" w:hint="eastAsia"/>
                <w:color w:val="000000"/>
                <w:sz w:val="22"/>
                <w:szCs w:val="22"/>
              </w:rPr>
              <w:t>日</w:t>
            </w:r>
          </w:p>
        </w:tc>
      </w:tr>
      <w:tr w:rsidR="00F91B14">
        <w:trPr>
          <w:trHeight w:val="252"/>
        </w:trPr>
        <w:tc>
          <w:tcPr>
            <w:tcW w:w="2517"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sz w:val="22"/>
                <w:szCs w:val="22"/>
              </w:rPr>
              <w:t>一线城市</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96</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31</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15</w:t>
            </w:r>
          </w:p>
        </w:tc>
        <w:tc>
          <w:tcPr>
            <w:tcW w:w="1734"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w:t>
            </w:r>
          </w:p>
        </w:tc>
      </w:tr>
      <w:tr w:rsidR="00F91B14">
        <w:trPr>
          <w:trHeight w:val="252"/>
        </w:trPr>
        <w:tc>
          <w:tcPr>
            <w:tcW w:w="2517"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新一线城市</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95</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38</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17</w:t>
            </w:r>
          </w:p>
        </w:tc>
        <w:tc>
          <w:tcPr>
            <w:tcW w:w="1734"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1</w:t>
            </w:r>
          </w:p>
        </w:tc>
      </w:tr>
      <w:tr w:rsidR="00F91B14">
        <w:trPr>
          <w:trHeight w:val="252"/>
        </w:trPr>
        <w:tc>
          <w:tcPr>
            <w:tcW w:w="2517"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二线城市</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54</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25</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w:t>
            </w:r>
            <w:r>
              <w:rPr>
                <w:rFonts w:ascii="Arial" w:eastAsia="宋体" w:hAnsi="Arial" w:cs="Arial" w:hint="eastAsia"/>
                <w:color w:val="000000"/>
                <w:kern w:val="0"/>
                <w:sz w:val="22"/>
                <w:szCs w:val="22"/>
                <w:lang w:bidi="ar"/>
              </w:rPr>
              <w:t>1</w:t>
            </w:r>
          </w:p>
        </w:tc>
        <w:tc>
          <w:tcPr>
            <w:tcW w:w="1734"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w:t>
            </w:r>
          </w:p>
        </w:tc>
      </w:tr>
      <w:tr w:rsidR="00F91B14">
        <w:trPr>
          <w:trHeight w:val="252"/>
        </w:trPr>
        <w:tc>
          <w:tcPr>
            <w:tcW w:w="2517"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其他城市</w:t>
            </w:r>
            <w:r>
              <w:rPr>
                <w:rStyle w:val="font01"/>
                <w:rFonts w:eastAsia="宋体"/>
                <w:lang w:bidi="ar"/>
              </w:rPr>
              <w:t>(1)</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27</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14</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7</w:t>
            </w:r>
          </w:p>
        </w:tc>
        <w:tc>
          <w:tcPr>
            <w:tcW w:w="1734"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w:t>
            </w:r>
          </w:p>
        </w:tc>
      </w:tr>
      <w:tr w:rsidR="00F91B14">
        <w:trPr>
          <w:trHeight w:val="252"/>
        </w:trPr>
        <w:tc>
          <w:tcPr>
            <w:tcW w:w="2517"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总计</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272</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108</w:t>
            </w:r>
          </w:p>
        </w:tc>
        <w:tc>
          <w:tcPr>
            <w:tcW w:w="1695"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50</w:t>
            </w:r>
          </w:p>
        </w:tc>
        <w:tc>
          <w:tcPr>
            <w:tcW w:w="1734"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1</w:t>
            </w:r>
          </w:p>
        </w:tc>
      </w:tr>
    </w:tbl>
    <w:p w:rsidR="00F91B14" w:rsidRDefault="00F91B14"/>
    <w:tbl>
      <w:tblPr>
        <w:tblW w:w="9539" w:type="dxa"/>
        <w:tblInd w:w="93" w:type="dxa"/>
        <w:tblLayout w:type="fixed"/>
        <w:tblLook w:val="04A0" w:firstRow="1" w:lastRow="0" w:firstColumn="1" w:lastColumn="0" w:noHBand="0" w:noVBand="1"/>
      </w:tblPr>
      <w:tblGrid>
        <w:gridCol w:w="2571"/>
        <w:gridCol w:w="1732"/>
        <w:gridCol w:w="1732"/>
        <w:gridCol w:w="1732"/>
        <w:gridCol w:w="1772"/>
      </w:tblGrid>
      <w:tr w:rsidR="00F91B14">
        <w:trPr>
          <w:trHeight w:val="456"/>
        </w:trPr>
        <w:tc>
          <w:tcPr>
            <w:tcW w:w="2571"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第二类</w:t>
            </w:r>
            <w:r>
              <w:rPr>
                <w:rFonts w:ascii="Arial" w:eastAsia="宋体" w:hAnsi="Arial" w:cs="Arial" w:hint="eastAsia"/>
                <w:color w:val="000000"/>
                <w:kern w:val="0"/>
                <w:sz w:val="22"/>
                <w:szCs w:val="22"/>
                <w:lang w:bidi="ar"/>
              </w:rPr>
              <w:t>PRO</w:t>
            </w:r>
            <w:proofErr w:type="gramStart"/>
            <w:r>
              <w:rPr>
                <w:rFonts w:ascii="Arial" w:eastAsia="宋体" w:hAnsi="Arial" w:cs="Arial" w:hint="eastAsia"/>
                <w:color w:val="000000"/>
                <w:kern w:val="0"/>
                <w:sz w:val="22"/>
                <w:szCs w:val="22"/>
                <w:lang w:bidi="ar"/>
              </w:rPr>
              <w:t>茶饮门店</w:t>
            </w:r>
            <w:proofErr w:type="gramEnd"/>
            <w:r>
              <w:rPr>
                <w:rFonts w:ascii="Arial" w:eastAsia="宋体" w:hAnsi="Arial" w:cs="Arial" w:hint="eastAsia"/>
                <w:color w:val="000000"/>
                <w:kern w:val="0"/>
                <w:sz w:val="22"/>
                <w:szCs w:val="22"/>
                <w:lang w:bidi="ar"/>
              </w:rPr>
              <w:t>数量</w:t>
            </w:r>
          </w:p>
        </w:tc>
        <w:tc>
          <w:tcPr>
            <w:tcW w:w="1732" w:type="dxa"/>
            <w:tcBorders>
              <w:top w:val="nil"/>
              <w:left w:val="nil"/>
              <w:bottom w:val="nil"/>
              <w:right w:val="nil"/>
            </w:tcBorders>
            <w:shd w:val="clear" w:color="auto" w:fill="auto"/>
            <w:vAlign w:val="bottom"/>
          </w:tcPr>
          <w:p w:rsidR="00F91B14" w:rsidRDefault="000B588A">
            <w:pPr>
              <w:rPr>
                <w:rFonts w:ascii="Arial"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12</w:t>
            </w:r>
            <w:r>
              <w:rPr>
                <w:rFonts w:ascii="Arial" w:hAnsi="Arial" w:cs="Arial" w:hint="eastAsia"/>
                <w:color w:val="000000"/>
                <w:sz w:val="22"/>
                <w:szCs w:val="22"/>
              </w:rPr>
              <w:t>月</w:t>
            </w:r>
            <w:r>
              <w:rPr>
                <w:rFonts w:ascii="Arial" w:hAnsi="Arial" w:cs="Arial" w:hint="eastAsia"/>
                <w:color w:val="000000"/>
                <w:sz w:val="22"/>
                <w:szCs w:val="22"/>
              </w:rPr>
              <w:t>31</w:t>
            </w:r>
            <w:r>
              <w:rPr>
                <w:rFonts w:ascii="Arial" w:hAnsi="Arial" w:cs="Arial" w:hint="eastAsia"/>
                <w:color w:val="000000"/>
                <w:sz w:val="22"/>
                <w:szCs w:val="22"/>
              </w:rPr>
              <w:t>日</w:t>
            </w:r>
          </w:p>
        </w:tc>
        <w:tc>
          <w:tcPr>
            <w:tcW w:w="1732" w:type="dxa"/>
            <w:tcBorders>
              <w:top w:val="nil"/>
              <w:left w:val="nil"/>
              <w:bottom w:val="nil"/>
              <w:right w:val="nil"/>
            </w:tcBorders>
            <w:shd w:val="clear" w:color="auto" w:fill="auto"/>
            <w:vAlign w:val="bottom"/>
          </w:tcPr>
          <w:p w:rsidR="00F91B14" w:rsidRDefault="000B588A">
            <w:pPr>
              <w:rPr>
                <w:rFonts w:ascii="Arial"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9</w:t>
            </w:r>
            <w:r>
              <w:rPr>
                <w:rFonts w:ascii="Arial" w:hAnsi="Arial" w:cs="Arial" w:hint="eastAsia"/>
                <w:color w:val="000000"/>
                <w:sz w:val="22"/>
                <w:szCs w:val="22"/>
              </w:rPr>
              <w:t>月</w:t>
            </w:r>
            <w:r>
              <w:rPr>
                <w:rFonts w:ascii="Arial" w:hAnsi="Arial" w:cs="Arial" w:hint="eastAsia"/>
                <w:color w:val="000000"/>
                <w:sz w:val="22"/>
                <w:szCs w:val="22"/>
              </w:rPr>
              <w:t>30</w:t>
            </w:r>
            <w:r>
              <w:rPr>
                <w:rFonts w:ascii="Arial" w:hAnsi="Arial" w:cs="Arial" w:hint="eastAsia"/>
                <w:color w:val="000000"/>
                <w:sz w:val="22"/>
                <w:szCs w:val="22"/>
              </w:rPr>
              <w:t>日</w:t>
            </w:r>
          </w:p>
        </w:tc>
        <w:tc>
          <w:tcPr>
            <w:tcW w:w="1732" w:type="dxa"/>
            <w:tcBorders>
              <w:top w:val="nil"/>
              <w:left w:val="nil"/>
              <w:bottom w:val="nil"/>
              <w:right w:val="nil"/>
            </w:tcBorders>
            <w:shd w:val="clear" w:color="auto" w:fill="auto"/>
            <w:vAlign w:val="bottom"/>
          </w:tcPr>
          <w:p w:rsidR="00F91B14" w:rsidRDefault="000B588A">
            <w:pPr>
              <w:rPr>
                <w:rFonts w:ascii="Arial" w:eastAsia="宋体" w:hAnsi="Arial" w:cs="Arial"/>
                <w:color w:val="000000"/>
                <w:sz w:val="22"/>
                <w:szCs w:val="22"/>
              </w:rPr>
            </w:pPr>
            <w:r>
              <w:rPr>
                <w:rFonts w:ascii="Arial" w:hAnsi="Arial" w:cs="Arial" w:hint="eastAsia"/>
                <w:color w:val="000000"/>
                <w:sz w:val="22"/>
                <w:szCs w:val="22"/>
              </w:rPr>
              <w:t>2021</w:t>
            </w:r>
            <w:r>
              <w:rPr>
                <w:rFonts w:ascii="Arial" w:hAnsi="Arial" w:cs="Arial" w:hint="eastAsia"/>
                <w:color w:val="000000"/>
                <w:sz w:val="22"/>
                <w:szCs w:val="22"/>
              </w:rPr>
              <w:t>年</w:t>
            </w:r>
            <w:r>
              <w:rPr>
                <w:rFonts w:ascii="Arial" w:hAnsi="Arial" w:cs="Arial" w:hint="eastAsia"/>
                <w:color w:val="000000"/>
                <w:sz w:val="22"/>
                <w:szCs w:val="22"/>
              </w:rPr>
              <w:t>6</w:t>
            </w:r>
            <w:r>
              <w:rPr>
                <w:rFonts w:ascii="Arial" w:hAnsi="Arial" w:cs="Arial" w:hint="eastAsia"/>
                <w:color w:val="000000"/>
                <w:sz w:val="22"/>
                <w:szCs w:val="22"/>
              </w:rPr>
              <w:t>月</w:t>
            </w:r>
            <w:r>
              <w:rPr>
                <w:rFonts w:ascii="Arial" w:hAnsi="Arial" w:cs="Arial" w:hint="eastAsia"/>
                <w:color w:val="000000"/>
                <w:sz w:val="22"/>
                <w:szCs w:val="22"/>
              </w:rPr>
              <w:t>30</w:t>
            </w:r>
            <w:r>
              <w:rPr>
                <w:rFonts w:ascii="Arial" w:hAnsi="Arial" w:cs="Arial" w:hint="eastAsia"/>
                <w:color w:val="000000"/>
                <w:sz w:val="22"/>
                <w:szCs w:val="22"/>
              </w:rPr>
              <w:t>日</w:t>
            </w:r>
          </w:p>
        </w:tc>
        <w:tc>
          <w:tcPr>
            <w:tcW w:w="1772" w:type="dxa"/>
            <w:tcBorders>
              <w:top w:val="nil"/>
              <w:left w:val="nil"/>
              <w:bottom w:val="nil"/>
              <w:right w:val="nil"/>
            </w:tcBorders>
            <w:shd w:val="clear" w:color="auto" w:fill="auto"/>
            <w:vAlign w:val="bottom"/>
          </w:tcPr>
          <w:p w:rsidR="00F91B14" w:rsidRDefault="000B588A">
            <w:pPr>
              <w:rPr>
                <w:rFonts w:ascii="Arial" w:eastAsia="宋体" w:hAnsi="Arial" w:cs="Arial"/>
                <w:color w:val="000000"/>
                <w:sz w:val="22"/>
                <w:szCs w:val="22"/>
              </w:rPr>
            </w:pPr>
            <w:r>
              <w:rPr>
                <w:rFonts w:ascii="Arial" w:hAnsi="Arial" w:cs="Arial" w:hint="eastAsia"/>
                <w:color w:val="000000"/>
                <w:sz w:val="22"/>
                <w:szCs w:val="22"/>
              </w:rPr>
              <w:t>2020</w:t>
            </w:r>
            <w:r>
              <w:rPr>
                <w:rFonts w:ascii="Arial" w:hAnsi="Arial" w:cs="Arial" w:hint="eastAsia"/>
                <w:color w:val="000000"/>
                <w:sz w:val="22"/>
                <w:szCs w:val="22"/>
              </w:rPr>
              <w:t>年</w:t>
            </w:r>
            <w:r>
              <w:rPr>
                <w:rFonts w:ascii="Arial" w:hAnsi="Arial" w:cs="Arial" w:hint="eastAsia"/>
                <w:color w:val="000000"/>
                <w:sz w:val="22"/>
                <w:szCs w:val="22"/>
              </w:rPr>
              <w:t>12</w:t>
            </w:r>
            <w:r>
              <w:rPr>
                <w:rFonts w:ascii="Arial" w:hAnsi="Arial" w:cs="Arial" w:hint="eastAsia"/>
                <w:color w:val="000000"/>
                <w:sz w:val="22"/>
                <w:szCs w:val="22"/>
              </w:rPr>
              <w:t>月</w:t>
            </w:r>
            <w:r>
              <w:rPr>
                <w:rFonts w:ascii="Arial" w:hAnsi="Arial" w:cs="Arial" w:hint="eastAsia"/>
                <w:color w:val="000000"/>
                <w:sz w:val="22"/>
                <w:szCs w:val="22"/>
              </w:rPr>
              <w:t>31</w:t>
            </w:r>
            <w:r>
              <w:rPr>
                <w:rFonts w:ascii="Arial" w:hAnsi="Arial" w:cs="Arial" w:hint="eastAsia"/>
                <w:color w:val="000000"/>
                <w:sz w:val="22"/>
                <w:szCs w:val="22"/>
              </w:rPr>
              <w:t>日</w:t>
            </w:r>
          </w:p>
        </w:tc>
      </w:tr>
      <w:tr w:rsidR="00F91B14">
        <w:trPr>
          <w:trHeight w:val="228"/>
        </w:trPr>
        <w:tc>
          <w:tcPr>
            <w:tcW w:w="2571"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sz w:val="22"/>
                <w:szCs w:val="22"/>
              </w:rPr>
              <w:t>一线城市</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35</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26</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14</w:t>
            </w:r>
          </w:p>
        </w:tc>
        <w:tc>
          <w:tcPr>
            <w:tcW w:w="177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4</w:t>
            </w:r>
          </w:p>
        </w:tc>
      </w:tr>
      <w:tr w:rsidR="00F91B14">
        <w:trPr>
          <w:trHeight w:val="228"/>
        </w:trPr>
        <w:tc>
          <w:tcPr>
            <w:tcW w:w="2571"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新一线城市</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37</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eastAsia="宋体" w:hAnsi="Arial" w:cs="Arial"/>
                <w:color w:val="000000"/>
                <w:kern w:val="0"/>
                <w:sz w:val="22"/>
                <w:szCs w:val="22"/>
                <w:lang w:bidi="ar"/>
              </w:rPr>
            </w:pPr>
            <w:r>
              <w:rPr>
                <w:rFonts w:ascii="Arial" w:eastAsia="宋体" w:hAnsi="Arial" w:cs="Arial" w:hint="eastAsia"/>
                <w:color w:val="000000"/>
                <w:kern w:val="0"/>
                <w:sz w:val="22"/>
                <w:szCs w:val="22"/>
                <w:lang w:bidi="ar"/>
              </w:rPr>
              <w:t>35</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1</w:t>
            </w:r>
            <w:r>
              <w:rPr>
                <w:rFonts w:ascii="Arial" w:eastAsia="宋体" w:hAnsi="Arial" w:cs="Arial" w:hint="eastAsia"/>
                <w:color w:val="000000"/>
                <w:kern w:val="0"/>
                <w:sz w:val="22"/>
                <w:szCs w:val="22"/>
                <w:lang w:bidi="ar"/>
              </w:rPr>
              <w:t>2</w:t>
            </w:r>
          </w:p>
        </w:tc>
        <w:tc>
          <w:tcPr>
            <w:tcW w:w="177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1</w:t>
            </w:r>
          </w:p>
        </w:tc>
      </w:tr>
      <w:tr w:rsidR="00F91B14">
        <w:trPr>
          <w:trHeight w:val="228"/>
        </w:trPr>
        <w:tc>
          <w:tcPr>
            <w:tcW w:w="2571"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二线城市</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15</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14</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3</w:t>
            </w:r>
          </w:p>
        </w:tc>
        <w:tc>
          <w:tcPr>
            <w:tcW w:w="177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w:t>
            </w:r>
          </w:p>
        </w:tc>
      </w:tr>
      <w:tr w:rsidR="00F91B14">
        <w:trPr>
          <w:trHeight w:val="228"/>
        </w:trPr>
        <w:tc>
          <w:tcPr>
            <w:tcW w:w="2571"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其他城市</w:t>
            </w:r>
            <w:r>
              <w:rPr>
                <w:rStyle w:val="font01"/>
                <w:rFonts w:eastAsia="宋体"/>
                <w:lang w:bidi="ar"/>
              </w:rPr>
              <w:t>(1)</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12</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11</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5</w:t>
            </w:r>
          </w:p>
        </w:tc>
        <w:tc>
          <w:tcPr>
            <w:tcW w:w="177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color w:val="000000"/>
                <w:kern w:val="0"/>
                <w:sz w:val="22"/>
                <w:szCs w:val="22"/>
                <w:lang w:bidi="ar"/>
              </w:rPr>
              <w:t>-</w:t>
            </w:r>
          </w:p>
        </w:tc>
      </w:tr>
      <w:tr w:rsidR="00F91B14">
        <w:trPr>
          <w:trHeight w:val="228"/>
        </w:trPr>
        <w:tc>
          <w:tcPr>
            <w:tcW w:w="2571" w:type="dxa"/>
            <w:tcBorders>
              <w:top w:val="nil"/>
              <w:left w:val="nil"/>
              <w:bottom w:val="nil"/>
              <w:right w:val="nil"/>
            </w:tcBorders>
            <w:shd w:val="clear" w:color="auto" w:fill="auto"/>
          </w:tcPr>
          <w:p w:rsidR="00F91B14" w:rsidRDefault="000B588A">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总计</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99</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86</w:t>
            </w:r>
          </w:p>
        </w:tc>
        <w:tc>
          <w:tcPr>
            <w:tcW w:w="173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hAnsi="Arial" w:cs="Arial" w:hint="eastAsia"/>
                <w:color w:val="000000"/>
                <w:sz w:val="22"/>
                <w:szCs w:val="22"/>
              </w:rPr>
              <w:t>34</w:t>
            </w:r>
          </w:p>
        </w:tc>
        <w:tc>
          <w:tcPr>
            <w:tcW w:w="1772" w:type="dxa"/>
            <w:tcBorders>
              <w:top w:val="nil"/>
              <w:left w:val="nil"/>
              <w:bottom w:val="nil"/>
              <w:right w:val="nil"/>
            </w:tcBorders>
            <w:shd w:val="clear" w:color="auto" w:fill="auto"/>
          </w:tcPr>
          <w:p w:rsidR="00F91B14" w:rsidRDefault="000B588A">
            <w:pPr>
              <w:widowControl/>
              <w:jc w:val="left"/>
              <w:textAlignment w:val="top"/>
              <w:rPr>
                <w:rFonts w:ascii="Arial" w:hAnsi="Arial" w:cs="Arial"/>
                <w:color w:val="000000"/>
                <w:sz w:val="22"/>
                <w:szCs w:val="22"/>
              </w:rPr>
            </w:pPr>
            <w:r>
              <w:rPr>
                <w:rFonts w:ascii="Arial" w:eastAsia="宋体" w:hAnsi="Arial" w:cs="Arial" w:hint="eastAsia"/>
                <w:color w:val="000000"/>
                <w:kern w:val="0"/>
                <w:sz w:val="22"/>
                <w:szCs w:val="22"/>
                <w:lang w:bidi="ar"/>
              </w:rPr>
              <w:t>5</w:t>
            </w:r>
          </w:p>
        </w:tc>
      </w:tr>
    </w:tbl>
    <w:p w:rsidR="00F91B14" w:rsidRDefault="000B588A">
      <w:r>
        <w:rPr>
          <w:noProof/>
        </w:rPr>
        <w:drawing>
          <wp:inline distT="0" distB="0" distL="114300" distR="114300">
            <wp:extent cx="6048375" cy="3560445"/>
            <wp:effectExtent l="0" t="0" r="952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6048375" cy="3560445"/>
                    </a:xfrm>
                    <a:prstGeom prst="rect">
                      <a:avLst/>
                    </a:prstGeom>
                    <a:noFill/>
                    <a:ln>
                      <a:noFill/>
                    </a:ln>
                  </pic:spPr>
                </pic:pic>
              </a:graphicData>
            </a:graphic>
          </wp:inline>
        </w:drawing>
      </w:r>
    </w:p>
    <w:p w:rsidR="00F91B14" w:rsidRDefault="00F91B14"/>
    <w:p w:rsidR="00F91B14" w:rsidRDefault="00F91B14"/>
    <w:p w:rsidR="00F91B14" w:rsidRDefault="000B588A">
      <w:r>
        <w:rPr>
          <w:noProof/>
        </w:rPr>
        <w:lastRenderedPageBreak/>
        <w:drawing>
          <wp:inline distT="0" distB="0" distL="114300" distR="114300">
            <wp:extent cx="5991225" cy="3672840"/>
            <wp:effectExtent l="0" t="0" r="952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991225" cy="3672840"/>
                    </a:xfrm>
                    <a:prstGeom prst="rect">
                      <a:avLst/>
                    </a:prstGeom>
                    <a:noFill/>
                    <a:ln>
                      <a:noFill/>
                    </a:ln>
                  </pic:spPr>
                </pic:pic>
              </a:graphicData>
            </a:graphic>
          </wp:inline>
        </w:drawing>
      </w:r>
    </w:p>
    <w:p w:rsidR="00F91B14" w:rsidRDefault="000B588A">
      <w:r>
        <w:rPr>
          <w:noProof/>
        </w:rPr>
        <w:drawing>
          <wp:inline distT="0" distB="0" distL="114300" distR="114300">
            <wp:extent cx="5605780" cy="3785235"/>
            <wp:effectExtent l="0" t="0" r="13970"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605780" cy="3785235"/>
                    </a:xfrm>
                    <a:prstGeom prst="rect">
                      <a:avLst/>
                    </a:prstGeom>
                    <a:noFill/>
                    <a:ln>
                      <a:noFill/>
                    </a:ln>
                  </pic:spPr>
                </pic:pic>
              </a:graphicData>
            </a:graphic>
          </wp:inline>
        </w:drawing>
      </w:r>
    </w:p>
    <w:p w:rsidR="00F91B14" w:rsidRDefault="00F91B14"/>
    <w:p w:rsidR="00F91B14" w:rsidRDefault="000B588A">
      <w:pPr>
        <w:ind w:firstLine="420"/>
        <w:rPr>
          <w:rFonts w:ascii="宋体" w:eastAsia="宋体" w:hAnsi="宋体" w:cs="宋体"/>
          <w:sz w:val="24"/>
        </w:rPr>
      </w:pPr>
      <w:r>
        <w:rPr>
          <w:rFonts w:ascii="Verdana" w:eastAsia="Verdana" w:hAnsi="Verdana" w:cs="Verdana" w:hint="eastAsia"/>
          <w:color w:val="222222"/>
          <w:sz w:val="24"/>
          <w:shd w:val="clear" w:color="auto" w:fill="FFFFFF"/>
        </w:rPr>
        <w:t>可以看见，从</w:t>
      </w:r>
      <w:r>
        <w:rPr>
          <w:rFonts w:ascii="Verdana" w:eastAsia="Verdana" w:hAnsi="Verdana" w:cs="Verdana" w:hint="eastAsia"/>
          <w:color w:val="222222"/>
          <w:sz w:val="24"/>
          <w:shd w:val="clear" w:color="auto" w:fill="FFFFFF"/>
        </w:rPr>
        <w:t>2020</w:t>
      </w:r>
      <w:r>
        <w:rPr>
          <w:rFonts w:ascii="Verdana" w:eastAsia="Verdana" w:hAnsi="Verdana" w:cs="Verdana" w:hint="eastAsia"/>
          <w:color w:val="222222"/>
          <w:sz w:val="24"/>
          <w:shd w:val="clear" w:color="auto" w:fill="FFFFFF"/>
        </w:rPr>
        <w:t>年</w:t>
      </w:r>
      <w:r>
        <w:rPr>
          <w:rFonts w:ascii="Verdana" w:eastAsia="Verdana" w:hAnsi="Verdana" w:cs="Verdana" w:hint="eastAsia"/>
          <w:color w:val="222222"/>
          <w:sz w:val="24"/>
          <w:shd w:val="clear" w:color="auto" w:fill="FFFFFF"/>
        </w:rPr>
        <w:t>12</w:t>
      </w:r>
      <w:r>
        <w:rPr>
          <w:rFonts w:ascii="Verdana" w:eastAsia="Verdana" w:hAnsi="Verdana" w:cs="Verdana" w:hint="eastAsia"/>
          <w:color w:val="222222"/>
          <w:sz w:val="24"/>
          <w:shd w:val="clear" w:color="auto" w:fill="FFFFFF"/>
        </w:rPr>
        <w:t>月</w:t>
      </w:r>
      <w:r>
        <w:rPr>
          <w:rFonts w:ascii="Verdana" w:eastAsia="Verdana" w:hAnsi="Verdana" w:cs="Verdana" w:hint="eastAsia"/>
          <w:color w:val="222222"/>
          <w:sz w:val="24"/>
          <w:shd w:val="clear" w:color="auto" w:fill="FFFFFF"/>
        </w:rPr>
        <w:t>31</w:t>
      </w:r>
      <w:r>
        <w:rPr>
          <w:rFonts w:ascii="Verdana" w:eastAsia="Verdana" w:hAnsi="Verdana" w:cs="Verdana" w:hint="eastAsia"/>
          <w:color w:val="222222"/>
          <w:sz w:val="24"/>
          <w:shd w:val="clear" w:color="auto" w:fill="FFFFFF"/>
        </w:rPr>
        <w:t>日</w:t>
      </w:r>
      <w:r>
        <w:rPr>
          <w:rFonts w:ascii="Verdana" w:eastAsia="Verdana" w:hAnsi="Verdana" w:cs="Verdana" w:hint="eastAsia"/>
          <w:color w:val="222222"/>
          <w:sz w:val="24"/>
          <w:shd w:val="clear" w:color="auto" w:fill="FFFFFF"/>
        </w:rPr>
        <w:t>-2021</w:t>
      </w:r>
      <w:r>
        <w:rPr>
          <w:rFonts w:ascii="Verdana" w:eastAsia="Verdana" w:hAnsi="Verdana" w:cs="Verdana" w:hint="eastAsia"/>
          <w:color w:val="222222"/>
          <w:sz w:val="24"/>
          <w:shd w:val="clear" w:color="auto" w:fill="FFFFFF"/>
        </w:rPr>
        <w:t>年</w:t>
      </w:r>
      <w:r>
        <w:rPr>
          <w:rFonts w:ascii="Verdana" w:eastAsia="Verdana" w:hAnsi="Verdana" w:cs="Verdana" w:hint="eastAsia"/>
          <w:color w:val="222222"/>
          <w:sz w:val="24"/>
          <w:shd w:val="clear" w:color="auto" w:fill="FFFFFF"/>
        </w:rPr>
        <w:t>12</w:t>
      </w:r>
      <w:r>
        <w:rPr>
          <w:rFonts w:ascii="Verdana" w:eastAsia="Verdana" w:hAnsi="Verdana" w:cs="Verdana" w:hint="eastAsia"/>
          <w:color w:val="222222"/>
          <w:sz w:val="24"/>
          <w:shd w:val="clear" w:color="auto" w:fill="FFFFFF"/>
        </w:rPr>
        <w:t>月</w:t>
      </w:r>
      <w:r>
        <w:rPr>
          <w:rFonts w:ascii="Verdana" w:eastAsia="Verdana" w:hAnsi="Verdana" w:cs="Verdana" w:hint="eastAsia"/>
          <w:color w:val="222222"/>
          <w:sz w:val="24"/>
          <w:shd w:val="clear" w:color="auto" w:fill="FFFFFF"/>
        </w:rPr>
        <w:t>31</w:t>
      </w:r>
      <w:r>
        <w:rPr>
          <w:rFonts w:ascii="Verdana" w:eastAsia="Verdana" w:hAnsi="Verdana" w:cs="Verdana" w:hint="eastAsia"/>
          <w:color w:val="222222"/>
          <w:sz w:val="24"/>
          <w:shd w:val="clear" w:color="auto" w:fill="FFFFFF"/>
        </w:rPr>
        <w:t>日，</w:t>
      </w:r>
      <w:proofErr w:type="gramStart"/>
      <w:r>
        <w:rPr>
          <w:rFonts w:ascii="Verdana" w:eastAsia="Verdana" w:hAnsi="Verdana" w:cs="Verdana"/>
          <w:color w:val="222222"/>
          <w:sz w:val="24"/>
          <w:shd w:val="clear" w:color="auto" w:fill="FFFFFF"/>
        </w:rPr>
        <w:t>奈雪的</w:t>
      </w:r>
      <w:proofErr w:type="gramEnd"/>
      <w:r>
        <w:rPr>
          <w:rFonts w:ascii="Verdana" w:eastAsia="Verdana" w:hAnsi="Verdana" w:cs="Verdana"/>
          <w:color w:val="222222"/>
          <w:sz w:val="24"/>
          <w:shd w:val="clear" w:color="auto" w:fill="FFFFFF"/>
        </w:rPr>
        <w:t>茶</w:t>
      </w:r>
      <w:r>
        <w:rPr>
          <w:rFonts w:ascii="Verdana" w:eastAsia="Verdana" w:hAnsi="Verdana" w:cs="Verdana" w:hint="eastAsia"/>
          <w:color w:val="222222"/>
          <w:sz w:val="24"/>
          <w:shd w:val="clear" w:color="auto" w:fill="FFFFFF"/>
        </w:rPr>
        <w:t>--</w:t>
      </w:r>
      <w:r>
        <w:rPr>
          <w:rFonts w:ascii="Verdana" w:eastAsia="Verdana" w:hAnsi="Verdana" w:cs="Verdana" w:hint="eastAsia"/>
          <w:color w:val="222222"/>
          <w:sz w:val="24"/>
          <w:shd w:val="clear" w:color="auto" w:fill="FFFFFF"/>
        </w:rPr>
        <w:t>标准</w:t>
      </w:r>
      <w:proofErr w:type="gramStart"/>
      <w:r>
        <w:rPr>
          <w:rFonts w:ascii="Verdana" w:eastAsia="Verdana" w:hAnsi="Verdana" w:cs="Verdana" w:hint="eastAsia"/>
          <w:color w:val="222222"/>
          <w:sz w:val="24"/>
          <w:shd w:val="clear" w:color="auto" w:fill="FFFFFF"/>
        </w:rPr>
        <w:t>茶饮门店</w:t>
      </w:r>
      <w:proofErr w:type="gramEnd"/>
      <w:r>
        <w:rPr>
          <w:rFonts w:ascii="Verdana" w:eastAsia="Verdana" w:hAnsi="Verdana" w:cs="Verdana" w:hint="eastAsia"/>
          <w:color w:val="222222"/>
          <w:sz w:val="24"/>
          <w:shd w:val="clear" w:color="auto" w:fill="FFFFFF"/>
        </w:rPr>
        <w:t>数量在一线及二线城市门店数量是呈下降趋势；</w:t>
      </w:r>
      <w:proofErr w:type="gramStart"/>
      <w:r>
        <w:rPr>
          <w:rFonts w:ascii="Verdana" w:eastAsia="Verdana" w:hAnsi="Verdana" w:cs="Verdana" w:hint="eastAsia"/>
          <w:color w:val="222222"/>
          <w:sz w:val="24"/>
          <w:shd w:val="clear" w:color="auto" w:fill="FFFFFF"/>
        </w:rPr>
        <w:t>而奈雪的</w:t>
      </w:r>
      <w:proofErr w:type="gramEnd"/>
      <w:r>
        <w:rPr>
          <w:rFonts w:ascii="Verdana" w:eastAsia="Verdana" w:hAnsi="Verdana" w:cs="Verdana" w:hint="eastAsia"/>
          <w:color w:val="222222"/>
          <w:sz w:val="24"/>
          <w:shd w:val="clear" w:color="auto" w:fill="FFFFFF"/>
        </w:rPr>
        <w:t>茶</w:t>
      </w:r>
      <w:r>
        <w:rPr>
          <w:rFonts w:ascii="Verdana" w:eastAsia="Verdana" w:hAnsi="Verdana" w:cs="Verdana" w:hint="eastAsia"/>
          <w:color w:val="222222"/>
          <w:sz w:val="24"/>
          <w:shd w:val="clear" w:color="auto" w:fill="FFFFFF"/>
        </w:rPr>
        <w:t>--</w:t>
      </w:r>
      <w:r>
        <w:rPr>
          <w:rFonts w:ascii="Arial" w:eastAsia="宋体" w:hAnsi="Arial" w:cs="Arial" w:hint="eastAsia"/>
          <w:color w:val="000000"/>
          <w:kern w:val="0"/>
          <w:sz w:val="22"/>
          <w:szCs w:val="22"/>
          <w:lang w:bidi="ar"/>
        </w:rPr>
        <w:t>第一类</w:t>
      </w:r>
      <w:r>
        <w:rPr>
          <w:rFonts w:ascii="Arial" w:eastAsia="宋体" w:hAnsi="Arial" w:cs="Arial" w:hint="eastAsia"/>
          <w:color w:val="000000"/>
          <w:kern w:val="0"/>
          <w:sz w:val="22"/>
          <w:szCs w:val="22"/>
          <w:lang w:bidi="ar"/>
        </w:rPr>
        <w:t>PRO</w:t>
      </w:r>
      <w:proofErr w:type="gramStart"/>
      <w:r>
        <w:rPr>
          <w:rFonts w:ascii="Arial" w:eastAsia="宋体" w:hAnsi="Arial" w:cs="Arial" w:hint="eastAsia"/>
          <w:color w:val="000000"/>
          <w:kern w:val="0"/>
          <w:sz w:val="22"/>
          <w:szCs w:val="22"/>
          <w:lang w:bidi="ar"/>
        </w:rPr>
        <w:t>茶饮门店</w:t>
      </w:r>
      <w:proofErr w:type="gramEnd"/>
      <w:r>
        <w:rPr>
          <w:rFonts w:ascii="Arial" w:eastAsia="宋体" w:hAnsi="Arial" w:cs="Arial" w:hint="eastAsia"/>
          <w:color w:val="000000"/>
          <w:kern w:val="0"/>
          <w:sz w:val="22"/>
          <w:szCs w:val="22"/>
          <w:lang w:bidi="ar"/>
        </w:rPr>
        <w:t>在一线、二线、三线城市其门店数量都呈现巨幅上升趋势，说明第一类</w:t>
      </w:r>
      <w:r>
        <w:rPr>
          <w:rFonts w:ascii="Arial" w:eastAsia="宋体" w:hAnsi="Arial" w:cs="Arial" w:hint="eastAsia"/>
          <w:color w:val="000000"/>
          <w:kern w:val="0"/>
          <w:sz w:val="22"/>
          <w:szCs w:val="22"/>
          <w:lang w:bidi="ar"/>
        </w:rPr>
        <w:t>PRO</w:t>
      </w:r>
      <w:proofErr w:type="gramStart"/>
      <w:r>
        <w:rPr>
          <w:rFonts w:ascii="Arial" w:eastAsia="宋体" w:hAnsi="Arial" w:cs="Arial" w:hint="eastAsia"/>
          <w:color w:val="000000"/>
          <w:kern w:val="0"/>
          <w:sz w:val="22"/>
          <w:szCs w:val="22"/>
          <w:lang w:bidi="ar"/>
        </w:rPr>
        <w:t>茶饮门店</w:t>
      </w:r>
      <w:proofErr w:type="gramEnd"/>
      <w:r>
        <w:rPr>
          <w:rFonts w:ascii="Arial" w:eastAsia="宋体" w:hAnsi="Arial" w:cs="Arial" w:hint="eastAsia"/>
          <w:color w:val="000000"/>
          <w:kern w:val="0"/>
          <w:sz w:val="22"/>
          <w:szCs w:val="22"/>
          <w:lang w:bidi="ar"/>
        </w:rPr>
        <w:t>有很大的市场需求和市场空间；而第二类</w:t>
      </w:r>
      <w:r>
        <w:rPr>
          <w:rFonts w:ascii="Arial" w:eastAsia="宋体" w:hAnsi="Arial" w:cs="Arial" w:hint="eastAsia"/>
          <w:color w:val="000000"/>
          <w:kern w:val="0"/>
          <w:sz w:val="22"/>
          <w:szCs w:val="22"/>
          <w:lang w:bidi="ar"/>
        </w:rPr>
        <w:t>PRO</w:t>
      </w:r>
      <w:r>
        <w:rPr>
          <w:rFonts w:ascii="Arial" w:eastAsia="宋体" w:hAnsi="Arial" w:cs="Arial" w:hint="eastAsia"/>
          <w:color w:val="000000"/>
          <w:kern w:val="0"/>
          <w:sz w:val="22"/>
          <w:szCs w:val="22"/>
          <w:lang w:bidi="ar"/>
        </w:rPr>
        <w:t>茶</w:t>
      </w:r>
      <w:proofErr w:type="gramStart"/>
      <w:r>
        <w:rPr>
          <w:rFonts w:ascii="Arial" w:eastAsia="宋体" w:hAnsi="Arial" w:cs="Arial" w:hint="eastAsia"/>
          <w:color w:val="000000"/>
          <w:kern w:val="0"/>
          <w:sz w:val="22"/>
          <w:szCs w:val="22"/>
          <w:lang w:bidi="ar"/>
        </w:rPr>
        <w:t>饮门店同样</w:t>
      </w:r>
      <w:proofErr w:type="gramEnd"/>
      <w:r>
        <w:rPr>
          <w:rFonts w:ascii="Arial" w:eastAsia="宋体" w:hAnsi="Arial" w:cs="Arial" w:hint="eastAsia"/>
          <w:color w:val="000000"/>
          <w:kern w:val="0"/>
          <w:sz w:val="22"/>
          <w:szCs w:val="22"/>
          <w:lang w:bidi="ar"/>
        </w:rPr>
        <w:t>在一线、二</w:t>
      </w:r>
      <w:r>
        <w:rPr>
          <w:rFonts w:ascii="Arial" w:eastAsia="宋体" w:hAnsi="Arial" w:cs="Arial" w:hint="eastAsia"/>
          <w:color w:val="000000"/>
          <w:kern w:val="0"/>
          <w:sz w:val="22"/>
          <w:szCs w:val="22"/>
          <w:lang w:bidi="ar"/>
        </w:rPr>
        <w:lastRenderedPageBreak/>
        <w:t>线、三线城市其门店数量都呈现较大的上升趋势，说明第二类</w:t>
      </w:r>
      <w:r>
        <w:rPr>
          <w:rFonts w:ascii="Arial" w:eastAsia="宋体" w:hAnsi="Arial" w:cs="Arial" w:hint="eastAsia"/>
          <w:color w:val="000000"/>
          <w:kern w:val="0"/>
          <w:sz w:val="22"/>
          <w:szCs w:val="22"/>
          <w:lang w:bidi="ar"/>
        </w:rPr>
        <w:t>PRO</w:t>
      </w:r>
      <w:proofErr w:type="gramStart"/>
      <w:r>
        <w:rPr>
          <w:rFonts w:ascii="Arial" w:eastAsia="宋体" w:hAnsi="Arial" w:cs="Arial" w:hint="eastAsia"/>
          <w:color w:val="000000"/>
          <w:kern w:val="0"/>
          <w:sz w:val="22"/>
          <w:szCs w:val="22"/>
          <w:lang w:bidi="ar"/>
        </w:rPr>
        <w:t>茶饮门也有</w:t>
      </w:r>
      <w:proofErr w:type="gramEnd"/>
      <w:r>
        <w:rPr>
          <w:rFonts w:ascii="Arial" w:eastAsia="宋体" w:hAnsi="Arial" w:cs="Arial" w:hint="eastAsia"/>
          <w:color w:val="000000"/>
          <w:kern w:val="0"/>
          <w:sz w:val="22"/>
          <w:szCs w:val="22"/>
          <w:lang w:bidi="ar"/>
        </w:rPr>
        <w:t>较大的市场需求和市场空间。可能由于疫情的影响，导致了</w:t>
      </w:r>
      <w:r>
        <w:rPr>
          <w:rFonts w:ascii="Verdana" w:eastAsia="Verdana" w:hAnsi="Verdana" w:cs="Verdana" w:hint="eastAsia"/>
          <w:color w:val="222222"/>
          <w:sz w:val="24"/>
          <w:shd w:val="clear" w:color="auto" w:fill="FFFFFF"/>
        </w:rPr>
        <w:t>标准</w:t>
      </w:r>
      <w:proofErr w:type="gramStart"/>
      <w:r>
        <w:rPr>
          <w:rFonts w:ascii="Verdana" w:eastAsia="Verdana" w:hAnsi="Verdana" w:cs="Verdana" w:hint="eastAsia"/>
          <w:color w:val="222222"/>
          <w:sz w:val="24"/>
          <w:shd w:val="clear" w:color="auto" w:fill="FFFFFF"/>
        </w:rPr>
        <w:t>茶饮门店</w:t>
      </w:r>
      <w:proofErr w:type="gramEnd"/>
      <w:r>
        <w:rPr>
          <w:rFonts w:ascii="Verdana" w:eastAsia="Verdana" w:hAnsi="Verdana" w:cs="Verdana" w:hint="eastAsia"/>
          <w:color w:val="222222"/>
          <w:sz w:val="24"/>
          <w:shd w:val="clear" w:color="auto" w:fill="FFFFFF"/>
        </w:rPr>
        <w:t>数量在降低，并且人们生活水平的提高，追求新式的茶饮产品。</w:t>
      </w:r>
      <w:r>
        <w:rPr>
          <w:rFonts w:ascii="宋体" w:eastAsia="宋体" w:hAnsi="宋体" w:cs="宋体"/>
          <w:sz w:val="24"/>
        </w:rPr>
        <w:t>新式茶饮可进一步挖掘居民饮料类消费潜力</w:t>
      </w:r>
      <w:r>
        <w:rPr>
          <w:rFonts w:ascii="宋体" w:eastAsia="宋体" w:hAnsi="宋体" w:cs="宋体" w:hint="eastAsia"/>
          <w:sz w:val="24"/>
        </w:rPr>
        <w:t>，</w:t>
      </w:r>
      <w:r>
        <w:rPr>
          <w:rFonts w:ascii="宋体" w:eastAsia="宋体" w:hAnsi="宋体" w:cs="宋体"/>
          <w:sz w:val="24"/>
        </w:rPr>
        <w:t>新式茶饮作为现制类饮品，可作为零售类饮料产品的品类扩充，为消费者带来更加多元的产品选择，</w:t>
      </w:r>
      <w:r>
        <w:rPr>
          <w:rFonts w:ascii="宋体" w:eastAsia="宋体" w:hAnsi="宋体" w:cs="宋体"/>
          <w:sz w:val="24"/>
        </w:rPr>
        <w:t xml:space="preserve"> </w:t>
      </w:r>
      <w:r>
        <w:rPr>
          <w:rFonts w:ascii="宋体" w:eastAsia="宋体" w:hAnsi="宋体" w:cs="宋体"/>
          <w:sz w:val="24"/>
        </w:rPr>
        <w:t>从而进一步挖掘我国饮料类产品的居</w:t>
      </w:r>
      <w:r>
        <w:rPr>
          <w:rFonts w:ascii="宋体" w:eastAsia="宋体" w:hAnsi="宋体" w:cs="宋体"/>
          <w:sz w:val="24"/>
        </w:rPr>
        <w:t>民消费潜力。</w:t>
      </w:r>
      <w:r>
        <w:rPr>
          <w:rFonts w:ascii="宋体" w:eastAsia="宋体" w:hAnsi="宋体" w:cs="宋体" w:hint="eastAsia"/>
          <w:sz w:val="24"/>
        </w:rPr>
        <w:t>并且目前新式茶</w:t>
      </w:r>
      <w:proofErr w:type="gramStart"/>
      <w:r>
        <w:rPr>
          <w:rFonts w:ascii="宋体" w:eastAsia="宋体" w:hAnsi="宋体" w:cs="宋体" w:hint="eastAsia"/>
          <w:sz w:val="24"/>
        </w:rPr>
        <w:t>饮店通过</w:t>
      </w:r>
      <w:proofErr w:type="gramEnd"/>
      <w:r>
        <w:rPr>
          <w:rFonts w:ascii="宋体" w:eastAsia="宋体" w:hAnsi="宋体" w:cs="宋体" w:hint="eastAsia"/>
          <w:sz w:val="24"/>
        </w:rPr>
        <w:t>线下与线上直播带</w:t>
      </w:r>
      <w:proofErr w:type="gramStart"/>
      <w:r>
        <w:rPr>
          <w:rFonts w:ascii="宋体" w:eastAsia="宋体" w:hAnsi="宋体" w:cs="宋体" w:hint="eastAsia"/>
          <w:sz w:val="24"/>
        </w:rPr>
        <w:t>货结合</w:t>
      </w:r>
      <w:proofErr w:type="gramEnd"/>
      <w:r>
        <w:rPr>
          <w:rFonts w:ascii="宋体" w:eastAsia="宋体" w:hAnsi="宋体" w:cs="宋体" w:hint="eastAsia"/>
          <w:sz w:val="24"/>
        </w:rPr>
        <w:t>的方式，进一步促进了新式茶</w:t>
      </w:r>
      <w:proofErr w:type="gramStart"/>
      <w:r>
        <w:rPr>
          <w:rFonts w:ascii="宋体" w:eastAsia="宋体" w:hAnsi="宋体" w:cs="宋体" w:hint="eastAsia"/>
          <w:sz w:val="24"/>
        </w:rPr>
        <w:t>饮产品</w:t>
      </w:r>
      <w:proofErr w:type="gramEnd"/>
      <w:r>
        <w:rPr>
          <w:rFonts w:ascii="宋体" w:eastAsia="宋体" w:hAnsi="宋体" w:cs="宋体" w:hint="eastAsia"/>
          <w:sz w:val="24"/>
        </w:rPr>
        <w:t>的消费，</w:t>
      </w:r>
      <w:r>
        <w:rPr>
          <w:rFonts w:ascii="宋体" w:eastAsia="宋体" w:hAnsi="宋体" w:cs="宋体"/>
          <w:sz w:val="24"/>
        </w:rPr>
        <w:t>庞大的互联网用户及外卖用户为其进行线上宣传及售卖奠定了良好的</w:t>
      </w:r>
    </w:p>
    <w:p w:rsidR="00F91B14" w:rsidRDefault="000B588A">
      <w:pPr>
        <w:rPr>
          <w:rFonts w:ascii="宋体" w:eastAsia="宋体" w:hAnsi="宋体" w:cs="宋体"/>
          <w:sz w:val="24"/>
        </w:rPr>
      </w:pPr>
      <w:r>
        <w:rPr>
          <w:rFonts w:ascii="宋体" w:eastAsia="宋体" w:hAnsi="宋体" w:cs="宋体"/>
          <w:sz w:val="24"/>
        </w:rPr>
        <w:t>用户基础</w:t>
      </w:r>
      <w:r>
        <w:rPr>
          <w:rFonts w:ascii="宋体" w:eastAsia="宋体" w:hAnsi="宋体" w:cs="宋体" w:hint="eastAsia"/>
          <w:sz w:val="24"/>
        </w:rPr>
        <w:t>。</w:t>
      </w:r>
    </w:p>
    <w:p w:rsidR="00F91B14" w:rsidRDefault="000B588A">
      <w:pPr>
        <w:ind w:firstLine="420"/>
        <w:rPr>
          <w:rFonts w:ascii="宋体" w:eastAsia="宋体" w:hAnsi="宋体" w:cs="宋体"/>
          <w:sz w:val="24"/>
        </w:rPr>
      </w:pPr>
      <w:r>
        <w:rPr>
          <w:rFonts w:ascii="宋体" w:eastAsia="宋体" w:hAnsi="宋体" w:cs="宋体"/>
          <w:sz w:val="24"/>
        </w:rPr>
        <w:t>近几年，国家出台系列消费类相关政策，为新型商业</w:t>
      </w:r>
      <w:proofErr w:type="gramStart"/>
      <w:r>
        <w:rPr>
          <w:rFonts w:ascii="宋体" w:eastAsia="宋体" w:hAnsi="宋体" w:cs="宋体"/>
          <w:sz w:val="24"/>
        </w:rPr>
        <w:t>业</w:t>
      </w:r>
      <w:proofErr w:type="gramEnd"/>
      <w:r>
        <w:rPr>
          <w:rFonts w:ascii="宋体" w:eastAsia="宋体" w:hAnsi="宋体" w:cs="宋体"/>
          <w:sz w:val="24"/>
        </w:rPr>
        <w:t>态、商业模式以及产品形态的创新发展奠定了良好的商业环境，从</w:t>
      </w:r>
      <w:r>
        <w:rPr>
          <w:rFonts w:ascii="宋体" w:eastAsia="宋体" w:hAnsi="宋体" w:cs="宋体"/>
          <w:sz w:val="24"/>
        </w:rPr>
        <w:t xml:space="preserve"> </w:t>
      </w:r>
      <w:r>
        <w:rPr>
          <w:rFonts w:ascii="宋体" w:eastAsia="宋体" w:hAnsi="宋体" w:cs="宋体"/>
          <w:sz w:val="24"/>
        </w:rPr>
        <w:t>而助</w:t>
      </w:r>
      <w:proofErr w:type="gramStart"/>
      <w:r>
        <w:rPr>
          <w:rFonts w:ascii="宋体" w:eastAsia="宋体" w:hAnsi="宋体" w:cs="宋体"/>
          <w:sz w:val="24"/>
        </w:rPr>
        <w:t>推众多</w:t>
      </w:r>
      <w:proofErr w:type="gramEnd"/>
      <w:r>
        <w:rPr>
          <w:rFonts w:ascii="宋体" w:eastAsia="宋体" w:hAnsi="宋体" w:cs="宋体"/>
          <w:sz w:val="24"/>
        </w:rPr>
        <w:t>新兴消费品牌强势崛起。在消费类相关政策利好的大背景下，新式茶饮基于传统现制茶饮，从品类及产品创新、</w:t>
      </w:r>
      <w:r>
        <w:rPr>
          <w:rFonts w:ascii="宋体" w:eastAsia="宋体" w:hAnsi="宋体" w:cs="宋体"/>
          <w:sz w:val="24"/>
        </w:rPr>
        <w:t xml:space="preserve"> </w:t>
      </w:r>
      <w:r>
        <w:rPr>
          <w:rFonts w:ascii="宋体" w:eastAsia="宋体" w:hAnsi="宋体" w:cs="宋体"/>
          <w:sz w:val="24"/>
        </w:rPr>
        <w:t>供应链优化升级、经营业态多元化拓展、品牌价值提升、科技赋能、用户体验提升等多个维度不断进行创新升级。</w:t>
      </w:r>
      <w:r>
        <w:rPr>
          <w:rFonts w:ascii="宋体" w:eastAsia="宋体" w:hAnsi="宋体" w:cs="宋体" w:hint="eastAsia"/>
          <w:sz w:val="24"/>
        </w:rPr>
        <w:t>2020</w:t>
      </w:r>
      <w:r>
        <w:rPr>
          <w:rFonts w:ascii="宋体" w:eastAsia="宋体" w:hAnsi="宋体" w:cs="宋体" w:hint="eastAsia"/>
          <w:sz w:val="24"/>
        </w:rPr>
        <w:t>年</w:t>
      </w:r>
      <w:r>
        <w:rPr>
          <w:rFonts w:ascii="宋体" w:eastAsia="宋体" w:hAnsi="宋体" w:cs="宋体" w:hint="eastAsia"/>
          <w:sz w:val="24"/>
        </w:rPr>
        <w:t>9</w:t>
      </w:r>
      <w:r>
        <w:rPr>
          <w:rFonts w:ascii="宋体" w:eastAsia="宋体" w:hAnsi="宋体" w:cs="宋体" w:hint="eastAsia"/>
          <w:sz w:val="24"/>
        </w:rPr>
        <w:t>月，国务院发</w:t>
      </w:r>
      <w:r>
        <w:rPr>
          <w:rFonts w:ascii="宋体" w:eastAsia="宋体" w:hAnsi="宋体" w:cs="宋体" w:hint="eastAsia"/>
          <w:sz w:val="24"/>
        </w:rPr>
        <w:t>布相关政策，</w:t>
      </w:r>
      <w:r>
        <w:rPr>
          <w:rFonts w:ascii="宋体" w:eastAsia="宋体" w:hAnsi="宋体" w:cs="宋体"/>
          <w:sz w:val="24"/>
        </w:rPr>
        <w:t>鼓励企业运用新</w:t>
      </w:r>
      <w:proofErr w:type="gramStart"/>
      <w:r>
        <w:rPr>
          <w:rFonts w:ascii="宋体" w:eastAsia="宋体" w:hAnsi="宋体" w:cs="宋体"/>
          <w:sz w:val="24"/>
        </w:rPr>
        <w:t>业态新模式</w:t>
      </w:r>
      <w:proofErr w:type="gramEnd"/>
      <w:r>
        <w:rPr>
          <w:rFonts w:ascii="宋体" w:eastAsia="宋体" w:hAnsi="宋体" w:cs="宋体"/>
          <w:sz w:val="24"/>
        </w:rPr>
        <w:t>拓展国际市场，推进国际合作，推进消费大数据开放</w:t>
      </w:r>
      <w:r>
        <w:rPr>
          <w:rFonts w:ascii="宋体" w:eastAsia="宋体" w:hAnsi="宋体" w:cs="宋体"/>
          <w:sz w:val="24"/>
        </w:rPr>
        <w:t xml:space="preserve"> </w:t>
      </w:r>
      <w:r>
        <w:rPr>
          <w:rFonts w:ascii="宋体" w:eastAsia="宋体" w:hAnsi="宋体" w:cs="宋体"/>
          <w:sz w:val="24"/>
        </w:rPr>
        <w:t>共享和研究应用，建立政策实施动态评估机制。</w:t>
      </w:r>
      <w:r>
        <w:rPr>
          <w:rFonts w:ascii="宋体" w:eastAsia="宋体" w:hAnsi="宋体" w:cs="宋体" w:hint="eastAsia"/>
          <w:sz w:val="24"/>
        </w:rPr>
        <w:t>进一步促进了高端茶</w:t>
      </w:r>
      <w:proofErr w:type="gramStart"/>
      <w:r>
        <w:rPr>
          <w:rFonts w:ascii="宋体" w:eastAsia="宋体" w:hAnsi="宋体" w:cs="宋体" w:hint="eastAsia"/>
          <w:sz w:val="24"/>
        </w:rPr>
        <w:t>饮店利用</w:t>
      </w:r>
      <w:proofErr w:type="gramEnd"/>
      <w:r>
        <w:rPr>
          <w:rFonts w:ascii="宋体" w:eastAsia="宋体" w:hAnsi="宋体" w:cs="宋体" w:hint="eastAsia"/>
          <w:sz w:val="24"/>
        </w:rPr>
        <w:t>其自身的经济优势以及结合互联网技术，结合线上线下的模式刺激和促进产品的销售和发展。</w:t>
      </w:r>
    </w:p>
    <w:p w:rsidR="00F91B14" w:rsidRDefault="000B588A">
      <w:pPr>
        <w:ind w:firstLine="420"/>
        <w:rPr>
          <w:rFonts w:ascii="宋体" w:eastAsia="宋体" w:hAnsi="宋体" w:cs="宋体"/>
          <w:sz w:val="24"/>
        </w:rPr>
      </w:pPr>
      <w:proofErr w:type="gramStart"/>
      <w:r>
        <w:rPr>
          <w:rFonts w:ascii="宋体" w:eastAsia="宋体" w:hAnsi="宋体" w:cs="宋体"/>
          <w:sz w:val="24"/>
        </w:rPr>
        <w:t>奈雪的茶数据</w:t>
      </w:r>
      <w:proofErr w:type="gramEnd"/>
      <w:r>
        <w:rPr>
          <w:rFonts w:ascii="宋体" w:eastAsia="宋体" w:hAnsi="宋体" w:cs="宋体"/>
          <w:sz w:val="24"/>
        </w:rPr>
        <w:t>显示，深圳、北京门店继续强势领跑全国销量，其中深圳表现优异，</w:t>
      </w:r>
      <w:proofErr w:type="gramStart"/>
      <w:r>
        <w:rPr>
          <w:rFonts w:ascii="宋体" w:eastAsia="宋体" w:hAnsi="宋体" w:cs="宋体"/>
          <w:sz w:val="24"/>
        </w:rPr>
        <w:t>奈雪的茶全国</w:t>
      </w:r>
      <w:proofErr w:type="gramEnd"/>
      <w:r>
        <w:rPr>
          <w:rFonts w:ascii="宋体" w:eastAsia="宋体" w:hAnsi="宋体" w:cs="宋体"/>
          <w:sz w:val="24"/>
        </w:rPr>
        <w:t>销售前十名中有</w:t>
      </w:r>
      <w:r>
        <w:rPr>
          <w:rFonts w:ascii="宋体" w:eastAsia="宋体" w:hAnsi="宋体" w:cs="宋体"/>
          <w:sz w:val="24"/>
        </w:rPr>
        <w:t>5</w:t>
      </w:r>
      <w:r>
        <w:rPr>
          <w:rFonts w:ascii="宋体" w:eastAsia="宋体" w:hAnsi="宋体" w:cs="宋体"/>
          <w:sz w:val="24"/>
        </w:rPr>
        <w:t>家门店位于深圳。同时，二三线城市门店亦释放巨大潜力。此外，成都、重庆等西南地区门店销量出现</w:t>
      </w:r>
      <w:r>
        <w:rPr>
          <w:rFonts w:ascii="宋体" w:eastAsia="宋体" w:hAnsi="宋体" w:cs="宋体"/>
          <w:sz w:val="24"/>
        </w:rPr>
        <w:t>400%</w:t>
      </w:r>
      <w:r>
        <w:rPr>
          <w:rFonts w:ascii="宋体" w:eastAsia="宋体" w:hAnsi="宋体" w:cs="宋体"/>
          <w:sz w:val="24"/>
        </w:rPr>
        <w:t>的超高增长</w:t>
      </w:r>
      <w:r>
        <w:rPr>
          <w:rFonts w:ascii="宋体" w:eastAsia="宋体" w:hAnsi="宋体" w:cs="宋体" w:hint="eastAsia"/>
          <w:sz w:val="24"/>
        </w:rPr>
        <w:t>。</w:t>
      </w:r>
    </w:p>
    <w:p w:rsidR="00F91B14" w:rsidRDefault="000B588A">
      <w:pPr>
        <w:ind w:firstLine="420"/>
        <w:rPr>
          <w:rFonts w:ascii="宋体" w:eastAsia="宋体" w:hAnsi="宋体" w:cs="宋体"/>
          <w:sz w:val="24"/>
        </w:rPr>
      </w:pPr>
      <w:r>
        <w:rPr>
          <w:rFonts w:ascii="宋体" w:eastAsia="宋体" w:hAnsi="宋体" w:cs="宋体" w:hint="eastAsia"/>
          <w:sz w:val="24"/>
        </w:rPr>
        <w:t>喜茶也在大力布局新式茶饮，消费群体主要面向年轻一代，年轻消费群体</w:t>
      </w:r>
      <w:r>
        <w:rPr>
          <w:rFonts w:ascii="宋体" w:eastAsia="宋体" w:hAnsi="宋体" w:cs="宋体" w:hint="eastAsia"/>
          <w:sz w:val="24"/>
        </w:rPr>
        <w:t>需求大，尤其是以女性为主。截至</w:t>
      </w:r>
      <w:r>
        <w:rPr>
          <w:rFonts w:ascii="宋体" w:eastAsia="宋体" w:hAnsi="宋体" w:cs="宋体" w:hint="eastAsia"/>
          <w:sz w:val="24"/>
        </w:rPr>
        <w:t>2021</w:t>
      </w:r>
      <w:r>
        <w:rPr>
          <w:rFonts w:ascii="宋体" w:eastAsia="宋体" w:hAnsi="宋体" w:cs="宋体" w:hint="eastAsia"/>
          <w:sz w:val="24"/>
        </w:rPr>
        <w:t>年底，喜茶新增了大约</w:t>
      </w:r>
      <w:r>
        <w:rPr>
          <w:rFonts w:ascii="宋体" w:eastAsia="宋体" w:hAnsi="宋体" w:cs="宋体" w:hint="eastAsia"/>
          <w:sz w:val="24"/>
        </w:rPr>
        <w:t>200</w:t>
      </w:r>
      <w:r>
        <w:rPr>
          <w:rFonts w:ascii="宋体" w:eastAsia="宋体" w:hAnsi="宋体" w:cs="宋体" w:hint="eastAsia"/>
          <w:sz w:val="24"/>
        </w:rPr>
        <w:t>家门店，总数量为</w:t>
      </w:r>
      <w:r>
        <w:rPr>
          <w:rFonts w:ascii="宋体" w:eastAsia="宋体" w:hAnsi="宋体" w:cs="宋体" w:hint="eastAsia"/>
          <w:sz w:val="24"/>
        </w:rPr>
        <w:t>897</w:t>
      </w:r>
      <w:r>
        <w:rPr>
          <w:rFonts w:ascii="宋体" w:eastAsia="宋体" w:hAnsi="宋体" w:cs="宋体" w:hint="eastAsia"/>
          <w:sz w:val="24"/>
        </w:rPr>
        <w:t>家；而截至</w:t>
      </w:r>
      <w:r>
        <w:rPr>
          <w:rFonts w:ascii="宋体" w:eastAsia="宋体" w:hAnsi="宋体" w:cs="宋体" w:hint="eastAsia"/>
          <w:sz w:val="24"/>
        </w:rPr>
        <w:t>2019</w:t>
      </w:r>
      <w:r>
        <w:rPr>
          <w:rFonts w:ascii="宋体" w:eastAsia="宋体" w:hAnsi="宋体" w:cs="宋体" w:hint="eastAsia"/>
          <w:sz w:val="24"/>
        </w:rPr>
        <w:t>年末和</w:t>
      </w:r>
      <w:r>
        <w:rPr>
          <w:rFonts w:ascii="宋体" w:eastAsia="宋体" w:hAnsi="宋体" w:cs="宋体" w:hint="eastAsia"/>
          <w:sz w:val="24"/>
        </w:rPr>
        <w:t>2020</w:t>
      </w:r>
      <w:r>
        <w:rPr>
          <w:rFonts w:ascii="宋体" w:eastAsia="宋体" w:hAnsi="宋体" w:cs="宋体" w:hint="eastAsia"/>
          <w:sz w:val="24"/>
        </w:rPr>
        <w:t>年末喜茶的门店数量分别为</w:t>
      </w:r>
      <w:r>
        <w:rPr>
          <w:rFonts w:ascii="宋体" w:eastAsia="宋体" w:hAnsi="宋体" w:cs="宋体" w:hint="eastAsia"/>
          <w:sz w:val="24"/>
        </w:rPr>
        <w:t>390</w:t>
      </w:r>
      <w:r>
        <w:rPr>
          <w:rFonts w:ascii="宋体" w:eastAsia="宋体" w:hAnsi="宋体" w:cs="宋体" w:hint="eastAsia"/>
          <w:sz w:val="24"/>
        </w:rPr>
        <w:t>家和</w:t>
      </w:r>
      <w:r>
        <w:rPr>
          <w:rFonts w:ascii="宋体" w:eastAsia="宋体" w:hAnsi="宋体" w:cs="宋体" w:hint="eastAsia"/>
          <w:sz w:val="24"/>
        </w:rPr>
        <w:t>695</w:t>
      </w:r>
      <w:r>
        <w:rPr>
          <w:rFonts w:ascii="宋体" w:eastAsia="宋体" w:hAnsi="宋体" w:cs="宋体" w:hint="eastAsia"/>
          <w:sz w:val="24"/>
        </w:rPr>
        <w:t>家。喜茶当期的门店数量主要集中在一线和新一线城市，截至</w:t>
      </w:r>
      <w:r>
        <w:rPr>
          <w:rFonts w:ascii="宋体" w:eastAsia="宋体" w:hAnsi="宋体" w:cs="宋体" w:hint="eastAsia"/>
          <w:sz w:val="24"/>
        </w:rPr>
        <w:t>2021</w:t>
      </w:r>
      <w:r>
        <w:rPr>
          <w:rFonts w:ascii="宋体" w:eastAsia="宋体" w:hAnsi="宋体" w:cs="宋体" w:hint="eastAsia"/>
          <w:sz w:val="24"/>
        </w:rPr>
        <w:t>年末数量超过</w:t>
      </w:r>
      <w:r>
        <w:rPr>
          <w:rFonts w:ascii="宋体" w:eastAsia="宋体" w:hAnsi="宋体" w:cs="宋体" w:hint="eastAsia"/>
          <w:sz w:val="24"/>
        </w:rPr>
        <w:t>600</w:t>
      </w:r>
      <w:r>
        <w:rPr>
          <w:rFonts w:ascii="宋体" w:eastAsia="宋体" w:hAnsi="宋体" w:cs="宋体" w:hint="eastAsia"/>
          <w:sz w:val="24"/>
        </w:rPr>
        <w:t>家，占比接近</w:t>
      </w:r>
      <w:r>
        <w:rPr>
          <w:rFonts w:ascii="宋体" w:eastAsia="宋体" w:hAnsi="宋体" w:cs="宋体" w:hint="eastAsia"/>
          <w:sz w:val="24"/>
        </w:rPr>
        <w:t>70%</w:t>
      </w:r>
      <w:r>
        <w:rPr>
          <w:rFonts w:ascii="宋体" w:eastAsia="宋体" w:hAnsi="宋体" w:cs="宋体" w:hint="eastAsia"/>
          <w:sz w:val="24"/>
        </w:rPr>
        <w:t>。</w:t>
      </w:r>
    </w:p>
    <w:p w:rsidR="00F91B14" w:rsidRDefault="000B588A">
      <w:pPr>
        <w:ind w:firstLine="420"/>
        <w:rPr>
          <w:rFonts w:ascii="宋体" w:eastAsia="宋体" w:hAnsi="宋体" w:cs="宋体"/>
          <w:sz w:val="24"/>
        </w:rPr>
      </w:pPr>
      <w:r>
        <w:rPr>
          <w:rFonts w:ascii="宋体" w:eastAsia="宋体" w:hAnsi="宋体" w:cs="宋体" w:hint="eastAsia"/>
          <w:sz w:val="24"/>
        </w:rPr>
        <w:t>由此可见，当前高端</w:t>
      </w:r>
      <w:proofErr w:type="gramStart"/>
      <w:r>
        <w:rPr>
          <w:rFonts w:ascii="宋体" w:eastAsia="宋体" w:hAnsi="宋体" w:cs="宋体" w:hint="eastAsia"/>
          <w:sz w:val="24"/>
        </w:rPr>
        <w:t>茶饮店</w:t>
      </w:r>
      <w:r>
        <w:rPr>
          <w:rFonts w:ascii="Arial" w:eastAsia="宋体" w:hAnsi="Arial" w:cs="Arial" w:hint="eastAsia"/>
          <w:color w:val="000000"/>
          <w:kern w:val="0"/>
          <w:sz w:val="22"/>
          <w:szCs w:val="22"/>
          <w:lang w:bidi="ar"/>
        </w:rPr>
        <w:t>标准</w:t>
      </w:r>
      <w:proofErr w:type="gramEnd"/>
      <w:r>
        <w:rPr>
          <w:rFonts w:ascii="Arial" w:eastAsia="宋体" w:hAnsi="Arial" w:cs="Arial" w:hint="eastAsia"/>
          <w:color w:val="000000"/>
          <w:kern w:val="0"/>
          <w:sz w:val="22"/>
          <w:szCs w:val="22"/>
          <w:lang w:bidi="ar"/>
        </w:rPr>
        <w:t>茶</w:t>
      </w:r>
      <w:proofErr w:type="gramStart"/>
      <w:r>
        <w:rPr>
          <w:rFonts w:ascii="Arial" w:eastAsia="宋体" w:hAnsi="Arial" w:cs="Arial" w:hint="eastAsia"/>
          <w:color w:val="000000"/>
          <w:kern w:val="0"/>
          <w:sz w:val="22"/>
          <w:szCs w:val="22"/>
          <w:lang w:bidi="ar"/>
        </w:rPr>
        <w:t>饮产品</w:t>
      </w:r>
      <w:proofErr w:type="gramEnd"/>
      <w:r>
        <w:rPr>
          <w:rFonts w:ascii="宋体" w:eastAsia="宋体" w:hAnsi="宋体" w:cs="宋体" w:hint="eastAsia"/>
          <w:sz w:val="24"/>
        </w:rPr>
        <w:t>在一线城市基本饱和，由于人民生活水平的不断提高，二三线城市存在着巨大的空间和市场需求，尤其是新式茶</w:t>
      </w:r>
      <w:proofErr w:type="gramStart"/>
      <w:r>
        <w:rPr>
          <w:rFonts w:ascii="宋体" w:eastAsia="宋体" w:hAnsi="宋体" w:cs="宋体" w:hint="eastAsia"/>
          <w:sz w:val="24"/>
        </w:rPr>
        <w:t>饮产品</w:t>
      </w:r>
      <w:proofErr w:type="gramEnd"/>
      <w:r>
        <w:rPr>
          <w:rFonts w:ascii="宋体" w:eastAsia="宋体" w:hAnsi="宋体" w:cs="宋体" w:hint="eastAsia"/>
          <w:sz w:val="24"/>
        </w:rPr>
        <w:t>方面的需求和消费。</w:t>
      </w:r>
    </w:p>
    <w:p w:rsidR="00F91B14" w:rsidRDefault="000B588A">
      <w:pPr>
        <w:ind w:firstLine="420"/>
        <w:rPr>
          <w:rFonts w:ascii="宋体" w:eastAsia="宋体" w:hAnsi="宋体" w:cs="宋体"/>
          <w:sz w:val="24"/>
        </w:rPr>
      </w:pPr>
      <w:r>
        <w:rPr>
          <w:rFonts w:ascii="宋体" w:eastAsia="宋体" w:hAnsi="宋体" w:cs="宋体" w:hint="eastAsia"/>
          <w:sz w:val="24"/>
        </w:rPr>
        <w:t>因此，高端茶饮店铺在未来，在二三线城市具有较大的市场空间和需求，可以加大新式茶</w:t>
      </w:r>
      <w:proofErr w:type="gramStart"/>
      <w:r>
        <w:rPr>
          <w:rFonts w:ascii="宋体" w:eastAsia="宋体" w:hAnsi="宋体" w:cs="宋体" w:hint="eastAsia"/>
          <w:sz w:val="24"/>
        </w:rPr>
        <w:t>饮产品</w:t>
      </w:r>
      <w:proofErr w:type="gramEnd"/>
      <w:r>
        <w:rPr>
          <w:rFonts w:ascii="宋体" w:eastAsia="宋体" w:hAnsi="宋体" w:cs="宋体" w:hint="eastAsia"/>
          <w:sz w:val="24"/>
        </w:rPr>
        <w:t>的研发，新式茶饮</w:t>
      </w:r>
      <w:r>
        <w:rPr>
          <w:rFonts w:ascii="宋体" w:eastAsia="宋体" w:hAnsi="宋体" w:cs="宋体"/>
          <w:sz w:val="24"/>
        </w:rPr>
        <w:t>能够充分满足现制茶饮消费者的消费升级需求</w:t>
      </w:r>
      <w:r>
        <w:rPr>
          <w:rFonts w:ascii="宋体" w:eastAsia="宋体" w:hAnsi="宋体" w:cs="宋体" w:hint="eastAsia"/>
          <w:sz w:val="24"/>
        </w:rPr>
        <w:t>。</w:t>
      </w:r>
      <w:r>
        <w:rPr>
          <w:rFonts w:ascii="宋体" w:eastAsia="宋体" w:hAnsi="宋体" w:cs="宋体"/>
          <w:sz w:val="24"/>
        </w:rPr>
        <w:t>消费者对现制茶</w:t>
      </w:r>
      <w:proofErr w:type="gramStart"/>
      <w:r>
        <w:rPr>
          <w:rFonts w:ascii="宋体" w:eastAsia="宋体" w:hAnsi="宋体" w:cs="宋体"/>
          <w:sz w:val="24"/>
        </w:rPr>
        <w:t>饮逐渐</w:t>
      </w:r>
      <w:proofErr w:type="gramEnd"/>
      <w:r>
        <w:rPr>
          <w:rFonts w:ascii="宋体" w:eastAsia="宋体" w:hAnsi="宋体" w:cs="宋体"/>
          <w:sz w:val="24"/>
        </w:rPr>
        <w:t>从传统的解渴消暑、味觉满足、缓解压力等基础功能需求向</w:t>
      </w:r>
      <w:proofErr w:type="gramStart"/>
      <w:r>
        <w:rPr>
          <w:rFonts w:ascii="宋体" w:eastAsia="宋体" w:hAnsi="宋体" w:cs="宋体"/>
          <w:sz w:val="24"/>
        </w:rPr>
        <w:t>高颜值产品</w:t>
      </w:r>
      <w:proofErr w:type="gramEnd"/>
      <w:r>
        <w:rPr>
          <w:rFonts w:ascii="宋体" w:eastAsia="宋体" w:hAnsi="宋体" w:cs="宋体"/>
          <w:sz w:val="24"/>
        </w:rPr>
        <w:t>治愈的精神需求以及身材管</w:t>
      </w:r>
      <w:r>
        <w:rPr>
          <w:rFonts w:ascii="宋体" w:eastAsia="宋体" w:hAnsi="宋体" w:cs="宋体"/>
          <w:sz w:val="24"/>
        </w:rPr>
        <w:t xml:space="preserve"> </w:t>
      </w:r>
      <w:r>
        <w:rPr>
          <w:rFonts w:ascii="宋体" w:eastAsia="宋体" w:hAnsi="宋体" w:cs="宋体"/>
          <w:sz w:val="24"/>
        </w:rPr>
        <w:t>理、健康</w:t>
      </w:r>
      <w:r>
        <w:rPr>
          <w:rFonts w:ascii="宋体" w:eastAsia="宋体" w:hAnsi="宋体" w:cs="宋体"/>
          <w:sz w:val="24"/>
        </w:rPr>
        <w:t>/</w:t>
      </w:r>
      <w:r>
        <w:rPr>
          <w:rFonts w:ascii="宋体" w:eastAsia="宋体" w:hAnsi="宋体" w:cs="宋体"/>
          <w:sz w:val="24"/>
        </w:rPr>
        <w:t>养生的健康需求过渡，当今移动互联网时代，更是催生了</w:t>
      </w:r>
      <w:r>
        <w:rPr>
          <w:rFonts w:ascii="宋体" w:eastAsia="宋体" w:hAnsi="宋体" w:cs="宋体"/>
          <w:sz w:val="24"/>
        </w:rPr>
        <w:t>“</w:t>
      </w:r>
      <w:r>
        <w:rPr>
          <w:rFonts w:ascii="宋体" w:eastAsia="宋体" w:hAnsi="宋体" w:cs="宋体"/>
          <w:sz w:val="24"/>
        </w:rPr>
        <w:t>体验</w:t>
      </w:r>
      <w:r>
        <w:rPr>
          <w:rFonts w:ascii="宋体" w:eastAsia="宋体" w:hAnsi="宋体" w:cs="宋体"/>
          <w:sz w:val="24"/>
        </w:rPr>
        <w:t>+</w:t>
      </w:r>
      <w:r>
        <w:rPr>
          <w:rFonts w:ascii="宋体" w:eastAsia="宋体" w:hAnsi="宋体" w:cs="宋体"/>
          <w:sz w:val="24"/>
        </w:rPr>
        <w:t>社交</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产品</w:t>
      </w:r>
      <w:r>
        <w:rPr>
          <w:rFonts w:ascii="宋体" w:eastAsia="宋体" w:hAnsi="宋体" w:cs="宋体"/>
          <w:sz w:val="24"/>
        </w:rPr>
        <w:t>+</w:t>
      </w:r>
      <w:r>
        <w:rPr>
          <w:rFonts w:ascii="宋体" w:eastAsia="宋体" w:hAnsi="宋体" w:cs="宋体"/>
          <w:sz w:val="24"/>
        </w:rPr>
        <w:t>品牌</w:t>
      </w:r>
      <w:r>
        <w:rPr>
          <w:rFonts w:ascii="宋体" w:eastAsia="宋体" w:hAnsi="宋体" w:cs="宋体"/>
          <w:sz w:val="24"/>
        </w:rPr>
        <w:t>”</w:t>
      </w:r>
      <w:r>
        <w:rPr>
          <w:rFonts w:ascii="宋体" w:eastAsia="宋体" w:hAnsi="宋体" w:cs="宋体"/>
          <w:sz w:val="24"/>
        </w:rPr>
        <w:t>的新时代个性化消费需求</w:t>
      </w:r>
      <w:r>
        <w:rPr>
          <w:rFonts w:ascii="宋体" w:eastAsia="宋体" w:hAnsi="宋体" w:cs="宋体" w:hint="eastAsia"/>
          <w:sz w:val="24"/>
        </w:rPr>
        <w:t>。</w:t>
      </w:r>
    </w:p>
    <w:p w:rsidR="00F91B14" w:rsidRDefault="00F91B14"/>
    <w:p w:rsidR="00F91B14" w:rsidRDefault="00F91B14"/>
    <w:p w:rsidR="00F91B14" w:rsidRDefault="00F91B14"/>
    <w:p w:rsidR="00F91B14" w:rsidRDefault="00F91B14"/>
    <w:p w:rsidR="00F91B14" w:rsidRDefault="00F91B14"/>
    <w:p w:rsidR="00F91B14" w:rsidRDefault="00F91B14"/>
    <w:p w:rsidR="00F91B14" w:rsidRDefault="00F91B14"/>
    <w:p w:rsidR="00F91B14" w:rsidRDefault="00F91B14"/>
    <w:p w:rsidR="00F91B14" w:rsidRDefault="00F91B14"/>
    <w:p w:rsidR="00E5278D" w:rsidRDefault="00E5278D" w:rsidP="00E5278D">
      <w:pPr>
        <w:rPr>
          <w:rFonts w:hint="eastAsia"/>
        </w:rPr>
      </w:pPr>
      <w:r>
        <w:rPr>
          <w:rFonts w:hint="eastAsia"/>
        </w:rPr>
        <w:lastRenderedPageBreak/>
        <w:t xml:space="preserve">1. </w:t>
      </w:r>
      <w:r>
        <w:rPr>
          <w:rFonts w:hint="eastAsia"/>
        </w:rPr>
        <w:t>首先因为有疫情大环境的因素影响，社会消费习惯发生转变，不是单纯的消费降级，而是需要降级中的一个升级的定位。根据餐饮大数据研究和预测机构</w:t>
      </w:r>
      <w:r>
        <w:rPr>
          <w:rFonts w:hint="eastAsia"/>
        </w:rPr>
        <w:t>NCBD</w:t>
      </w:r>
      <w:r>
        <w:rPr>
          <w:rFonts w:hint="eastAsia"/>
        </w:rPr>
        <w:t>发布的《</w:t>
      </w:r>
      <w:r>
        <w:rPr>
          <w:rFonts w:hint="eastAsia"/>
        </w:rPr>
        <w:t>2020</w:t>
      </w:r>
      <w:r>
        <w:rPr>
          <w:rFonts w:hint="eastAsia"/>
        </w:rPr>
        <w:t>—</w:t>
      </w:r>
      <w:r>
        <w:rPr>
          <w:rFonts w:hint="eastAsia"/>
        </w:rPr>
        <w:t>2021</w:t>
      </w:r>
      <w:r>
        <w:rPr>
          <w:rFonts w:hint="eastAsia"/>
        </w:rPr>
        <w:t>中式新茶饮行业发展报告》显示，</w:t>
      </w:r>
      <w:r>
        <w:rPr>
          <w:rFonts w:hint="eastAsia"/>
        </w:rPr>
        <w:t>2021</w:t>
      </w:r>
      <w:r>
        <w:rPr>
          <w:rFonts w:hint="eastAsia"/>
        </w:rPr>
        <w:t>年我国新式茶饮单价</w:t>
      </w:r>
      <w:r>
        <w:rPr>
          <w:rFonts w:hint="eastAsia"/>
        </w:rPr>
        <w:t>20</w:t>
      </w:r>
      <w:r>
        <w:rPr>
          <w:rFonts w:hint="eastAsia"/>
        </w:rPr>
        <w:t>元以下市场占比超过</w:t>
      </w:r>
      <w:r>
        <w:rPr>
          <w:rFonts w:hint="eastAsia"/>
        </w:rPr>
        <w:t>8</w:t>
      </w:r>
      <w:r>
        <w:rPr>
          <w:rFonts w:hint="eastAsia"/>
        </w:rPr>
        <w:t>成。这种情况下，要想获取新流量，获得更大消费人群，</w:t>
      </w:r>
      <w:proofErr w:type="gramStart"/>
      <w:r>
        <w:rPr>
          <w:rFonts w:hint="eastAsia"/>
        </w:rPr>
        <w:t>奈雪必须</w:t>
      </w:r>
      <w:proofErr w:type="gramEnd"/>
      <w:r>
        <w:rPr>
          <w:rFonts w:hint="eastAsia"/>
        </w:rPr>
        <w:t>降价。</w:t>
      </w:r>
    </w:p>
    <w:p w:rsidR="00E5278D" w:rsidRDefault="00E5278D" w:rsidP="00E5278D">
      <w:pPr>
        <w:rPr>
          <w:rFonts w:hint="eastAsia"/>
        </w:rPr>
      </w:pPr>
      <w:r>
        <w:rPr>
          <w:rFonts w:hint="eastAsia"/>
        </w:rPr>
        <w:t xml:space="preserve">2. </w:t>
      </w:r>
      <w:r>
        <w:rPr>
          <w:rFonts w:hint="eastAsia"/>
        </w:rPr>
        <w:t>基于品牌、数字化和供应链积累实现的降价之后</w:t>
      </w:r>
      <w:proofErr w:type="gramStart"/>
      <w:r>
        <w:rPr>
          <w:rFonts w:hint="eastAsia"/>
        </w:rPr>
        <w:t>的奈雪的</w:t>
      </w:r>
      <w:proofErr w:type="gramEnd"/>
      <w:r>
        <w:rPr>
          <w:rFonts w:hint="eastAsia"/>
        </w:rPr>
        <w:t>产品，在价格区间上直接与中低端新式茶饮品牌的价格重叠，会抢走一大批顾客，不影响产品品质和用料，也能在更宽价格带中为用户提供更丰富的产品选择。</w:t>
      </w:r>
    </w:p>
    <w:p w:rsidR="00E5278D" w:rsidRDefault="00E5278D" w:rsidP="00E5278D">
      <w:pPr>
        <w:rPr>
          <w:rFonts w:hint="eastAsia"/>
        </w:rPr>
      </w:pPr>
      <w:r>
        <w:rPr>
          <w:rFonts w:hint="eastAsia"/>
        </w:rPr>
        <w:t xml:space="preserve">3. </w:t>
      </w:r>
      <w:r>
        <w:rPr>
          <w:rFonts w:hint="eastAsia"/>
        </w:rPr>
        <w:t>降价之后</w:t>
      </w:r>
      <w:proofErr w:type="gramStart"/>
      <w:r>
        <w:rPr>
          <w:rFonts w:hint="eastAsia"/>
        </w:rPr>
        <w:t>的奈雪的</w:t>
      </w:r>
      <w:proofErr w:type="gramEnd"/>
      <w:r>
        <w:rPr>
          <w:rFonts w:hint="eastAsia"/>
        </w:rPr>
        <w:t>产品，在价格区间上直接与中低端新式茶饮品牌的价格重叠，会抢走一大批顾客，这也体现了就是行业竞争加剧，因此行业头部效应会更加明显，但是行业迭代速度也相应增加，所以</w:t>
      </w:r>
      <w:proofErr w:type="gramStart"/>
      <w:r>
        <w:rPr>
          <w:rFonts w:hint="eastAsia"/>
        </w:rPr>
        <w:t>奈雪需要</w:t>
      </w:r>
      <w:proofErr w:type="gramEnd"/>
      <w:r>
        <w:rPr>
          <w:rFonts w:hint="eastAsia"/>
        </w:rPr>
        <w:t>扩张更大的消费市场来稳定头部地位。</w:t>
      </w:r>
    </w:p>
    <w:p w:rsidR="00E5278D" w:rsidRDefault="00E5278D" w:rsidP="00E5278D">
      <w:pPr>
        <w:rPr>
          <w:rFonts w:hint="eastAsia"/>
        </w:rPr>
      </w:pPr>
      <w:r>
        <w:rPr>
          <w:rFonts w:hint="eastAsia"/>
        </w:rPr>
        <w:t xml:space="preserve">4. </w:t>
      </w:r>
      <w:r>
        <w:rPr>
          <w:rFonts w:hint="eastAsia"/>
        </w:rPr>
        <w:t>尽管</w:t>
      </w:r>
      <w:proofErr w:type="gramStart"/>
      <w:r>
        <w:rPr>
          <w:rFonts w:hint="eastAsia"/>
        </w:rPr>
        <w:t>目前奈雪市值</w:t>
      </w:r>
      <w:proofErr w:type="gramEnd"/>
      <w:r>
        <w:rPr>
          <w:rFonts w:hint="eastAsia"/>
        </w:rPr>
        <w:t>已经大跌，但品牌仍然希望未来能闯进资本市场。新式茶</w:t>
      </w:r>
      <w:proofErr w:type="gramStart"/>
      <w:r>
        <w:rPr>
          <w:rFonts w:hint="eastAsia"/>
        </w:rPr>
        <w:t>饮行业</w:t>
      </w:r>
      <w:proofErr w:type="gramEnd"/>
      <w:r>
        <w:rPr>
          <w:rFonts w:hint="eastAsia"/>
        </w:rPr>
        <w:t>加速回归本源，还需要回归商业本质，所以除了调整目标群体，像蜜雪冰城一样暂时多走量而减价这一方案在当下也是可以行得通的。</w:t>
      </w:r>
    </w:p>
    <w:p w:rsidR="00E5278D" w:rsidRDefault="00E5278D" w:rsidP="00E5278D">
      <w:pPr>
        <w:rPr>
          <w:rFonts w:hint="eastAsia"/>
        </w:rPr>
      </w:pPr>
      <w:r>
        <w:rPr>
          <w:rFonts w:hint="eastAsia"/>
        </w:rPr>
        <w:t xml:space="preserve">5. </w:t>
      </w:r>
      <w:r>
        <w:rPr>
          <w:rFonts w:hint="eastAsia"/>
        </w:rPr>
        <w:t>同时除了奈雪，</w:t>
      </w:r>
      <w:proofErr w:type="gramStart"/>
      <w:r>
        <w:rPr>
          <w:rFonts w:hint="eastAsia"/>
        </w:rPr>
        <w:t>还有像喜茶与奈雪一样</w:t>
      </w:r>
      <w:proofErr w:type="gramEnd"/>
      <w:r>
        <w:rPr>
          <w:rFonts w:hint="eastAsia"/>
        </w:rPr>
        <w:t>的同类型竞争商品都因为亏损而降价，</w:t>
      </w:r>
      <w:proofErr w:type="gramStart"/>
      <w:r>
        <w:rPr>
          <w:rFonts w:hint="eastAsia"/>
        </w:rPr>
        <w:t>就算奈雪的</w:t>
      </w:r>
      <w:proofErr w:type="gramEnd"/>
      <w:r>
        <w:rPr>
          <w:rFonts w:hint="eastAsia"/>
        </w:rPr>
        <w:t>状况会好一些但也要为了以后发展做好铺垫才有竞争力。</w:t>
      </w:r>
    </w:p>
    <w:p w:rsidR="00E5278D" w:rsidRDefault="00E5278D" w:rsidP="00E5278D">
      <w:pPr>
        <w:rPr>
          <w:rFonts w:hint="eastAsia"/>
        </w:rPr>
      </w:pPr>
      <w:r>
        <w:rPr>
          <w:rFonts w:hint="eastAsia"/>
        </w:rPr>
        <w:t xml:space="preserve">6. </w:t>
      </w:r>
      <w:r>
        <w:rPr>
          <w:rFonts w:hint="eastAsia"/>
        </w:rPr>
        <w:t>奶茶消费的本质随机性更强，消费黏性不强，消费者停留时间短，没法</w:t>
      </w:r>
      <w:proofErr w:type="gramStart"/>
      <w:r>
        <w:rPr>
          <w:rFonts w:hint="eastAsia"/>
        </w:rPr>
        <w:t>做到星巴克</w:t>
      </w:r>
      <w:proofErr w:type="gramEnd"/>
      <w:r>
        <w:rPr>
          <w:rFonts w:hint="eastAsia"/>
        </w:rPr>
        <w:t>“商务第三空间”那种体量。所以</w:t>
      </w:r>
      <w:proofErr w:type="gramStart"/>
      <w:r>
        <w:rPr>
          <w:rFonts w:hint="eastAsia"/>
        </w:rPr>
        <w:t>在奈雪降价</w:t>
      </w:r>
      <w:proofErr w:type="gramEnd"/>
      <w:r>
        <w:rPr>
          <w:rFonts w:hint="eastAsia"/>
        </w:rPr>
        <w:t>调整目标市场也是为了长远做打算，现在尽管开店成本高，</w:t>
      </w:r>
      <w:proofErr w:type="gramStart"/>
      <w:r>
        <w:rPr>
          <w:rFonts w:hint="eastAsia"/>
        </w:rPr>
        <w:t>但是奈雪还是</w:t>
      </w:r>
      <w:proofErr w:type="gramEnd"/>
      <w:r>
        <w:rPr>
          <w:rFonts w:hint="eastAsia"/>
        </w:rPr>
        <w:t>希望能大规模开店来培养和巩固消费者对高端现制茶饮的消费习惯，顺应现代大环境降价并培养消费者习惯，在经济恢复时才能扎稳脚跟。</w:t>
      </w:r>
    </w:p>
    <w:p w:rsidR="00E5278D" w:rsidRDefault="00E5278D" w:rsidP="00E5278D">
      <w:pPr>
        <w:rPr>
          <w:rFonts w:hint="eastAsia"/>
        </w:rPr>
      </w:pPr>
      <w:r>
        <w:rPr>
          <w:rFonts w:hint="eastAsia"/>
        </w:rPr>
        <w:t xml:space="preserve">7. </w:t>
      </w:r>
      <w:proofErr w:type="gramStart"/>
      <w:r>
        <w:rPr>
          <w:rFonts w:hint="eastAsia"/>
        </w:rPr>
        <w:t>同时奈雪降价</w:t>
      </w:r>
      <w:proofErr w:type="gramEnd"/>
      <w:r>
        <w:rPr>
          <w:rFonts w:hint="eastAsia"/>
        </w:rPr>
        <w:t>也为了改善在消费者眼中过于高端奶茶的品牌形象，虽然仍是在第一梯队，但是相比于喜茶，</w:t>
      </w:r>
      <w:proofErr w:type="gramStart"/>
      <w:r>
        <w:rPr>
          <w:rFonts w:hint="eastAsia"/>
        </w:rPr>
        <w:t>奈雪的</w:t>
      </w:r>
      <w:proofErr w:type="gramEnd"/>
      <w:r>
        <w:rPr>
          <w:rFonts w:hint="eastAsia"/>
        </w:rPr>
        <w:t>加盟以及经营成本仍然很高，在目前疫情大环境下，想要实现扩展门店的想法就变得很困难，这也为门店经营者减少压力，从而稳住更多的实体门面</w:t>
      </w:r>
    </w:p>
    <w:p w:rsidR="00E5278D" w:rsidRDefault="00E5278D" w:rsidP="00E5278D">
      <w:pPr>
        <w:rPr>
          <w:rFonts w:hint="eastAsia"/>
        </w:rPr>
      </w:pPr>
    </w:p>
    <w:p w:rsidR="00E5278D" w:rsidRDefault="00E5278D" w:rsidP="00E5278D">
      <w:pPr>
        <w:rPr>
          <w:rFonts w:hint="eastAsia"/>
        </w:rPr>
      </w:pPr>
      <w:r>
        <w:rPr>
          <w:rFonts w:hint="eastAsia"/>
        </w:rPr>
        <w:t>我们作为学生身份来讲，在大学期间也更愿意长期购买中端的奶茶品牌，而高端奶茶并不会经常购买除非出游节日或者新品等特殊因素的驱动下才会尝试，价格已经比中</w:t>
      </w:r>
      <w:proofErr w:type="gramStart"/>
      <w:r>
        <w:rPr>
          <w:rFonts w:hint="eastAsia"/>
        </w:rPr>
        <w:t>端市场</w:t>
      </w:r>
      <w:proofErr w:type="gramEnd"/>
      <w:r>
        <w:rPr>
          <w:rFonts w:hint="eastAsia"/>
        </w:rPr>
        <w:t>多了</w:t>
      </w:r>
      <w:r>
        <w:rPr>
          <w:rFonts w:hint="eastAsia"/>
        </w:rPr>
        <w:t>2-3</w:t>
      </w:r>
      <w:r>
        <w:rPr>
          <w:rFonts w:hint="eastAsia"/>
        </w:rPr>
        <w:t>倍了</w:t>
      </w:r>
    </w:p>
    <w:p w:rsidR="00E5278D" w:rsidRDefault="00E5278D" w:rsidP="00E5278D">
      <w:pPr>
        <w:rPr>
          <w:rFonts w:hint="eastAsia"/>
        </w:rPr>
      </w:pPr>
      <w:r>
        <w:rPr>
          <w:rFonts w:hint="eastAsia"/>
        </w:rPr>
        <w:t>就和其他国家喝咖啡或者下午茶的社交习惯一样，中国目前的代表社交习惯可能还是会停留在酒和</w:t>
      </w:r>
      <w:proofErr w:type="gramStart"/>
      <w:r>
        <w:rPr>
          <w:rFonts w:hint="eastAsia"/>
        </w:rPr>
        <w:t>茶居多</w:t>
      </w:r>
      <w:proofErr w:type="gramEnd"/>
      <w:r>
        <w:rPr>
          <w:rFonts w:hint="eastAsia"/>
        </w:rPr>
        <w:t>，奶茶还是属于</w:t>
      </w:r>
      <w:proofErr w:type="gramStart"/>
      <w:r>
        <w:rPr>
          <w:rFonts w:hint="eastAsia"/>
        </w:rPr>
        <w:t>快捷式</w:t>
      </w:r>
      <w:proofErr w:type="gramEnd"/>
      <w:r>
        <w:rPr>
          <w:rFonts w:hint="eastAsia"/>
        </w:rPr>
        <w:t>饮品</w:t>
      </w:r>
    </w:p>
    <w:p w:rsidR="00E5278D" w:rsidRDefault="00E5278D" w:rsidP="00E5278D"/>
    <w:p w:rsidR="00F91B14" w:rsidRDefault="00E5278D" w:rsidP="00E5278D">
      <w:bookmarkStart w:id="0" w:name="_GoBack"/>
      <w:bookmarkEnd w:id="0"/>
      <w:r>
        <w:rPr>
          <w:rFonts w:hint="eastAsia"/>
        </w:rPr>
        <w:t>长期发现来说确实需要先培养习惯，可以类比宝洁，香皂洗衣液洗手液这些人类习惯的养成将会为企业带来长期发展，但是需要很长时间来进行宣传输出来改变人们习惯</w:t>
      </w:r>
    </w:p>
    <w:p w:rsidR="00F91B14" w:rsidRDefault="00F91B14"/>
    <w:p w:rsidR="00F91B14" w:rsidRDefault="00F91B14"/>
    <w:p w:rsidR="00F91B14" w:rsidRDefault="00F91B14"/>
    <w:sectPr w:rsidR="00F91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4"/>
    <w:rsid w:val="000B588A"/>
    <w:rsid w:val="00E5278D"/>
    <w:rsid w:val="00F9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01">
    <w:name w:val="font01"/>
    <w:basedOn w:val="a0"/>
    <w:qFormat/>
    <w:rPr>
      <w:rFonts w:ascii="Arial" w:hAnsi="Arial" w:cs="Arial" w:hint="default"/>
      <w:color w:val="000000"/>
      <w:sz w:val="22"/>
      <w:szCs w:val="22"/>
      <w:u w:val="none"/>
    </w:rPr>
  </w:style>
  <w:style w:type="paragraph" w:styleId="a4">
    <w:name w:val="Balloon Text"/>
    <w:basedOn w:val="a"/>
    <w:link w:val="Char"/>
    <w:rsid w:val="00E5278D"/>
    <w:rPr>
      <w:sz w:val="18"/>
      <w:szCs w:val="18"/>
    </w:rPr>
  </w:style>
  <w:style w:type="character" w:customStyle="1" w:styleId="Char">
    <w:name w:val="批注框文本 Char"/>
    <w:basedOn w:val="a0"/>
    <w:link w:val="a4"/>
    <w:rsid w:val="00E5278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01">
    <w:name w:val="font01"/>
    <w:basedOn w:val="a0"/>
    <w:qFormat/>
    <w:rPr>
      <w:rFonts w:ascii="Arial" w:hAnsi="Arial" w:cs="Arial" w:hint="default"/>
      <w:color w:val="000000"/>
      <w:sz w:val="22"/>
      <w:szCs w:val="22"/>
      <w:u w:val="none"/>
    </w:rPr>
  </w:style>
  <w:style w:type="paragraph" w:styleId="a4">
    <w:name w:val="Balloon Text"/>
    <w:basedOn w:val="a"/>
    <w:link w:val="Char"/>
    <w:rsid w:val="00E5278D"/>
    <w:rPr>
      <w:sz w:val="18"/>
      <w:szCs w:val="18"/>
    </w:rPr>
  </w:style>
  <w:style w:type="character" w:customStyle="1" w:styleId="Char">
    <w:name w:val="批注框文本 Char"/>
    <w:basedOn w:val="a0"/>
    <w:link w:val="a4"/>
    <w:rsid w:val="00E527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2022-12-30T12:51:00Z</dcterms:created>
  <dcterms:modified xsi:type="dcterms:W3CDTF">2022-12-30T12:51:00Z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2052-11.33.1</vt:lpwstr>
  </property>
  <property fmtid="{D5CDD505-2E9C-101B-9397-08002B2CF9AE}" pid="3" name="ICV">
    <vt:lpwstr>507BA81223F450970179AD63D448E169_33</vt:lpwstr>
  </property>
</Properties>
</file>