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360"/>
      </w:pPr>
      <w:r>
        <w:rPr>
          <w:rFonts w:ascii="Times New Roman" w:hAnsi="Times New Roman" w:eastAsia="宋体"/>
          <w:b/>
          <w:color w:val="000000"/>
          <w:sz w:val="30"/>
        </w:rPr>
        <w:t>3. 企业近两年和评估基准日简要财务数据</w:t>
      </w:r>
    </w:p>
    <w:p>
      <w:pPr>
        <w:keepNext/>
        <w:spacing w:after="40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财务状况简表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财务指标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2024年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2025年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2026年6月30日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资产（万元）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5.07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4.76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4.75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负债（万元）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股东权益（万元）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D9D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5.07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D9D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4.76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D9D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4.75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经营业绩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2024年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2025年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2026年1至6月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营业收入（万元）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0.00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利润总额（万元）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-16.61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-0.31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-0.01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净利润（万元）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-16.61</w:t>
            </w:r>
          </w:p>
        </w:tc>
        <w:tc>
          <w:tcPr>
            <w:tcW w:type="dxa" w:w="22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-0.31</w:t>
            </w:r>
          </w:p>
        </w:tc>
        <w:tc>
          <w:tcPr>
            <w:tcW w:type="dxa" w:w="266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color w:val="000000"/>
                <w:sz w:val="23"/>
              </w:rPr>
              <w:t>-0.01</w:t>
            </w:r>
          </w:p>
        </w:tc>
      </w:tr>
    </w:tbl>
    <w:p>
      <w:pPr>
        <w:spacing w:line="360" w:lineRule="auto" w:before="80" w:after="0"/>
        <w:ind w:firstLine="480"/>
      </w:pPr>
      <w:r>
        <w:rPr>
          <w:rFonts w:ascii="Times New Roman" w:hAnsi="Times New Roman" w:eastAsia="仿宋_GB2312"/>
          <w:b w:val="0"/>
          <w:color w:val="000000"/>
          <w:sz w:val="23"/>
        </w:rPr>
        <w:t>注：上述2024年、2025年和2026年1至6月财务数据来源于企业提供的财务报表。表内金额以万元列示并保留两位小数，2024年末负债24.00元在表中显示为0.00万元。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top w:val="single" w:sz="8" w:space="3" w:color="808080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969"/>
      <w:gridCol w:w="1701"/>
      <w:gridCol w:w="3969"/>
    </w:tblGrid>
    <w:tr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Times New Roman" w:hAnsi="Times New Roman" w:eastAsia="宋体"/>
              <w:b w:val="0"/>
              <w:color w:val="808080"/>
              <w:sz w:val="17"/>
            </w:rPr>
            <w:t>中立国际房地产土地资产评估有限公司</w:t>
          </w:r>
        </w:p>
      </w:tc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Times New Roman" w:hAnsi="Times New Roman" w:eastAsia="宋体"/>
              <w:b w:val="0"/>
              <w:color w:val="808080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Times New Roman" w:hAnsi="Times New Roman" w:eastAsia="宋体"/>
              <w:b w:val="0"/>
              <w:color w:val="808080"/>
              <w:sz w:val="17"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8" w:space="3" w:color="808080"/>
      </w:pBdr>
    </w:pPr>
    <w:r>
      <w:rPr>
        <w:rFonts w:ascii="Times New Roman" w:hAnsi="Times New Roman" w:eastAsia="宋体"/>
        <w:b/>
        <w:color w:val="808080"/>
        <w:sz w:val="18"/>
      </w:rPr>
      <w:t>北京绵脉科技有限公司股东全部权益价值资产评估报告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北京绵脉科技有限公司财务状况简表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