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Battery cooperatives for factory districts</w:t>
      </w:r>
    </w:p>
    <w:p>
      <w:r>
        <w:t xml:space="preserve">Manufacturing parks are pairing battery storage with local solar procurement to reduce exposure to carbon-intensive peak power.</w:t>
      </w:r>
    </w:p>
    <w:p>
      <w:r>
        <w:t xml:space="preserve">Editors want the draft to emphasize grid flexibility, industrial emissions, and the financing gap for transition projects.</w:t>
      </w:r>
    </w:p>
    <w:sectPr/>
  </w:body>
</w:document>
</file>