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Apartment retrofits race toward winter</w:t>
      </w:r>
    </w:p>
    <w:p>
      <w:r>
        <w:t xml:space="preserve">Housing authorities are bundling heat pump upgrades with roof solar projects to cut winter fuel costs.</w:t>
      </w:r>
    </w:p>
    <w:p>
      <w:r>
        <w:t xml:space="preserve">The article highlights carbon accounting, building emissions, and why battery-backed heating is becoming part of the climate transition pitch.</w:t>
      </w:r>
    </w:p>
    <w:sectPr/>
  </w:body>
</w:document>
</file>