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SID 三方视频量化对比实验报告</w:t>
      </w:r>
    </w:p>
    <w:p>
      <w:pPr>
        <w:jc w:val="center"/>
      </w:pPr>
      <w:r>
        <w:rPr>
          <w:i/>
        </w:rPr>
        <w:t>基于 video-only 训练与 text_format 清洗的 RQVAE 对比</w:t>
      </w:r>
    </w:p>
    <w:p>
      <w:r>
        <w:t>本报告记录三种 SID 方案在同一批 193,034 条视频资源上的离散编码质量对比，回答两个问题：视频单独训练是否优于 station+video 混合 baseline，以及清洗和重组 text_format 是否进一步改善前缀聚类结构。</w:t>
      </w:r>
    </w:p>
    <w:p>
      <w:pPr>
        <w:pStyle w:val="Heading1"/>
      </w:pPr>
      <w:r>
        <w:t>1 实验结论</w:t>
      </w:r>
    </w:p>
    <w:p>
      <w:r>
        <w:t>视频-only 训练带来了决定性的碰撞率改善。任务2的 5 层 ICR 从 baseline 的 0.961333 提升到 0.995125，CR 从 3.8667% 降至 0.4875%，完整 SID 碰撞率下降约 87.4%。</w:t>
      </w:r>
    </w:p>
    <w:p>
      <w:r>
        <w:t>任务3的 cleaned text_format 与任务2的最终唯一率几乎持平（ICR 0.995110），但前缀结构更均衡：L1 最大 bucket 从 9,511 降至 6,962，L1/L2/L3 的 weighted cosine 分别提升到 0.6201/0.7560/0.8505。说明字段清洗主要改善早期 prefix 的语义聚合和分桶质量，而不是继续显著提高最终 SID 唯一率。</w:t>
      </w:r>
    </w:p>
    <w:p>
      <w:r>
        <w:t>若首要目标是完整 SID 唯一率，任务2略优；若同时关注前缀召回、分桶均衡和前缀内语义一致性，任务3更有优势。</w:t>
      </w:r>
    </w:p>
    <w:p>
      <w:pPr>
        <w:pStyle w:val="Heading1"/>
      </w:pPr>
      <w:r>
        <w:t>2 实验设计</w:t>
      </w:r>
    </w:p>
    <w:p>
      <w:r>
        <w:t>三方均使用 193,034 条视频资源。baseline 来自现有 station+video 混合索引文件中的连续 video 尾段；任务2使用同源的完整视频 embedding 重新训练；任务3使用清洗后的 text_format embedding 重新训练。三方的评测脚本统一读取数字 indices 或 SID token，并统一计算完整路径、prefix bucket 和 bucket 内 cosine 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9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索引/训练输入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embedding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 视频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现有混合 SID 的 video 子集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2_meta_full_video.npy 对齐视频行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衡量现有混合域 codebook 在视频上的表现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 同源 video-only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video-only RQVAE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2_meta_full_video.npy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隔离训练域影响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 cleaned text_format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video-only RQVAE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3_text_format_embedding.npy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验证 text_format 清洗与重组的影响</w:t>
            </w:r>
          </w:p>
        </w:tc>
      </w:tr>
    </w:tbl>
    <w:p>
      <w:pPr>
        <w:spacing w:after="40"/>
      </w:pPr>
    </w:p>
    <w:p>
      <w:pPr>
        <w:pStyle w:val="Heading1"/>
      </w:pPr>
      <w:r>
        <w:t>3 数据与训练配置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8064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任务2元数据/向量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2_meta_full_video.jsonl / 2_meta_full_video.npy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任务3元数据/向量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3_meta.jsonl / 3_text_format_embedding.npy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样本数与维度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193,034 × 2,560，float32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模型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MLP Encoder → 4 层 RQ → hard-code 第5层 → MLP Decoder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codebook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[1024, 1024, 1024, 1024, 256]；评测容量按第五层 9-bit hard-code 统计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latent dimension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e_dim = 128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MLP layers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[512, 256, 128]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Sinkhorn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[0, 0, 0, 0.003, 0]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EMA codebook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启用，decay = 0.99，eps = 1e-5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训练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40 epochs，AdamW，batch size 1024，CPU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选择 checkpoint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best_collision_model.pth</w:t>
            </w:r>
          </w:p>
        </w:tc>
      </w:tr>
    </w:tbl>
    <w:p>
      <w:pPr>
        <w:spacing w:after="40"/>
      </w:pPr>
    </w:p>
    <w:p>
      <w:pPr>
        <w:pStyle w:val="Heading1"/>
      </w:pPr>
      <w:r>
        <w:t>4 核心指标结果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ICR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CR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unique paths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total CUR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 视频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193,034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0.961333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3.8667%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185,570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 同源 video-only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193,034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0.995125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0.4875%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192,093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 cleaned text_format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193,034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0.995110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0.4890%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192,090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</w:tr>
    </w:tbl>
    <w:p>
      <w:pPr>
        <w:spacing w:after="40"/>
      </w:pPr>
    </w:p>
    <w:p>
      <w:r>
        <w:t>CR = 1 - ICR。三方 N 完全一致，因此差异来自 codebook 学习与输入 embedding，而不是样本量。</w:t>
      </w:r>
    </w:p>
    <w:p>
      <w:pPr>
        <w:pStyle w:val="Heading1"/>
      </w:pPr>
      <w:r>
        <w:t>5 Prefix bucket 统计</w:t>
      </w:r>
    </w:p>
    <w:p>
      <w:r>
        <w:rPr>
          <w:b/>
        </w:rPr>
        <w:t>L1 bucket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bucket 数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均值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P25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P75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最大值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459.605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895.0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3,065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3939.469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3393.0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2416.0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4755.0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9,511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2443.468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2130.0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1345.5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3245.0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6,962</w:t>
            </w:r>
          </w:p>
        </w:tc>
      </w:tr>
    </w:tbl>
    <w:p>
      <w:pPr>
        <w:spacing w:after="40"/>
      </w:pPr>
    </w:p>
    <w:p>
      <w:r>
        <w:rPr>
          <w:b/>
        </w:rPr>
        <w:t>L2 bucket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bucket 数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均值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P25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P75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最大值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33,029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5.844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421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31,961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6.040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234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40,889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4.721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456</w:t>
            </w:r>
          </w:p>
        </w:tc>
      </w:tr>
    </w:tbl>
    <w:p>
      <w:pPr>
        <w:spacing w:after="40"/>
      </w:pPr>
    </w:p>
    <w:p>
      <w:r>
        <w:rPr>
          <w:b/>
        </w:rPr>
        <w:t>L3 bucket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bucket 数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均值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P25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P75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最大值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130,461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1.480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112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175,338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1.101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177,064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1.090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51</w:t>
            </w:r>
          </w:p>
        </w:tc>
      </w:tr>
    </w:tbl>
    <w:p>
      <w:pPr>
        <w:spacing w:after="40"/>
      </w:pPr>
    </w:p>
    <w:p>
      <w:r>
        <w:rPr>
          <w:b/>
        </w:rPr>
        <w:t>L4 bucket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bucket 数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均值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P25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P75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最大值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176,548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1.093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77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191,745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1.007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191,993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1.005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r>
        <w:rPr>
          <w:b/>
        </w:rPr>
        <w:t>L5 bucket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bucket 数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均值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P25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P75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最大值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185,570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1.040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任务2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192,093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1.005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任务3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192,090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1.005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pStyle w:val="Heading1"/>
      </w:pPr>
      <w:r>
        <w:t>6 Prefix CUR 与 bucket cosine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baseline CUR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任务2 CUR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任务3 CUR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0.410156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0.047852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0.077148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0.031499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0.030480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0.038995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0.000122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0.000163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0.000165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L5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0.000000</w:t>
            </w:r>
          </w:p>
        </w:tc>
      </w:tr>
    </w:tbl>
    <w:p>
      <w:pPr>
        <w:spacing w:after="40"/>
      </w:pPr>
    </w:p>
    <w:p>
      <w:r>
        <w:t>CUR 随 prefix 深度增加而下降，反映离散空间容量远大于实际使用路径。三方的绝对 CUR 不宜脱离 codebook 容量单独解读，本文更关注相同容量下的相对变化。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baseline 加权/非加权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任务2 加权/非加权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任务3 加权/非加权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0.575612 / 0.645326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0.547222 / 0.542767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0.620066 / 0.617029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0.667208 / 0.676441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0.695476 / 0.641968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0.755967 / 0.713348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0.755617 / 0.760106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0.839722 / 0.815486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0.850521 / 0.833719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0.821035 / 0.839862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0.926319 / 0.926358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0.914693 / 0.915704</w:t>
            </w:r>
          </w:p>
        </w:tc>
      </w:tr>
    </w:tbl>
    <w:p>
      <w:pPr>
        <w:spacing w:after="40"/>
      </w:pPr>
    </w:p>
    <w:p>
      <w:r>
        <w:t>cosine 统计排除了 hard-code 第5层，仅计算 L1-L4。weighted_sim 按 bucket 内样本对数加权，unweighted_sim 对 bucket 均值等权。</w:t>
      </w:r>
    </w:p>
    <w:p>
      <w:pPr>
        <w:pStyle w:val="Heading1"/>
      </w:pPr>
      <w:r>
        <w:t>7 分析与解释</w:t>
      </w:r>
    </w:p>
    <w:p>
      <w:pPr>
        <w:pStyle w:val="Heading2"/>
      </w:pPr>
      <w:r>
        <w:t>7.1 混合域训练对视频的影响</w:t>
      </w:r>
    </w:p>
    <w:p>
      <w:r>
        <w:t>baseline 的 L1 只有 420 个 prefix bucket，最大 bucket 达 3,065；任务2和任务3分别只使用 49 和 79 个 L1 bucket，但由于重新训练后的第一层 code 分配不同，最大 bucket 分别为 9,511 和 6,962。真正的区分度主要在后续层：任务2 L4/L5 最大 bucket 为 9/9，任务3为 8/8，而 baseline 为 77/47。video-only 训练使后续层几乎实现一条路径对应一条资源，从而显著降低完整 SID 碰撞。</w:t>
      </w:r>
    </w:p>
    <w:p>
      <w:pPr>
        <w:pStyle w:val="Heading2"/>
      </w:pPr>
      <w:r>
        <w:t>7.2 text_format 清洗的作用</w:t>
      </w:r>
    </w:p>
    <w:p>
      <w:r>
        <w:t>任务3在 L1-L3 的 weighted cosine 均高于任务2，表明清洗后的字段拼接让共享 prefix 的资源语义更一致；同时 L1 最大 bucket 降低约 26.8%，说明最粗粒度分桶更均衡。L4 weighted cosine 从任务2的 0.9263 降至 0.9147，属于后层细分结构的轻微变化，但 L4/L5 最大 bucket 进一步降到 8，最终 CR 仍保持在 0.49% 左右。</w:t>
      </w:r>
    </w:p>
    <w:p>
      <w:pPr>
        <w:pStyle w:val="Heading2"/>
      </w:pPr>
      <w:r>
        <w:t>7.3 业务选择建议</w:t>
      </w:r>
    </w:p>
    <w:p>
      <w:r>
        <w:t>推荐将任务3作为默认候选方案进行后续检索/推荐链路验证：它在唯一率上与任务2等价，同时前缀层语义一致性和 bucket 均衡性更好。若下游更强调极限 SID 去重率，则保留任务2作为对照；两者都明显优于现有 baseline。</w:t>
      </w:r>
    </w:p>
    <w:p>
      <w:pPr>
        <w:pStyle w:val="Heading1"/>
      </w:pPr>
      <w:r>
        <w:t>8 产物与复现</w:t>
      </w:r>
    </w:p>
    <w:p>
      <w:r>
        <w:t>训练和评测产物：</w:t>
      </w:r>
    </w:p>
    <w:p>
      <w:pPr>
        <w:pStyle w:val="ListBullet"/>
      </w:pPr>
      <w:r>
        <w:t>results_three_way/same_source_video/checkpoints/best_collision_model.pth</w:t>
      </w:r>
    </w:p>
    <w:p>
      <w:pPr>
        <w:pStyle w:val="ListBullet"/>
      </w:pPr>
      <w:r>
        <w:t>results_three_way/same_source_video/indices/indices.jsonl</w:t>
      </w:r>
    </w:p>
    <w:p>
      <w:pPr>
        <w:pStyle w:val="ListBullet"/>
      </w:pPr>
      <w:r>
        <w:t>results_three_way/video_v3/checkpoints/best_collision_model.pth</w:t>
      </w:r>
    </w:p>
    <w:p>
      <w:pPr>
        <w:pStyle w:val="ListBullet"/>
      </w:pPr>
      <w:r>
        <w:t>results_three_way/video_v3/indices/indices.jsonl</w:t>
      </w:r>
    </w:p>
    <w:p>
      <w:pPr>
        <w:pStyle w:val="ListBullet"/>
      </w:pPr>
      <w:r>
        <w:t>results_three_way/evaluation/three_way_summary.json</w:t>
      </w:r>
    </w:p>
    <w:p>
      <w:r>
        <w:t>统一评测入口为 sid/scripts/eval/run_sid_three_way.py；输入校验入口为 sid/scripts/eval/verify_three_way_inputs.py。两轮训练均在 CPU 上完成，每轮 40 epochs，checkpoint 取 best_collision_model.pth。</w:t>
      </w:r>
    </w:p>
    <w:p>
      <w:pPr>
        <w:pStyle w:val="Heading1"/>
      </w:pPr>
      <w:r>
        <w:t>9 限制与后续工作</w:t>
      </w:r>
    </w:p>
    <w:p>
      <w:r>
        <w:t>本实验只评估离散 codebook 的结构指标，没有覆盖 LLM SFT 后的真实查询召回率、Recall@K、NDCG 或线上延迟。下一步应使用同一批查询和候选资源，对任务2/任务3分别进行 SID 生成约束推理，并比较端到端检索效果。另需在 CUDA 环境复跑一次，以确认 CPU 与 GPU 的数值和 checkpoint 选择不存在实现差异。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