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1DA0" w14:textId="2BD10B86" w:rsidR="007F1B9A" w:rsidRDefault="00674A2A">
      <w:r>
        <w:t>Key causes of low concentration correlations</w:t>
      </w:r>
    </w:p>
    <w:sectPr w:rsidR="007F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A3"/>
    <w:rsid w:val="001B02A3"/>
    <w:rsid w:val="002832F0"/>
    <w:rsid w:val="00674A2A"/>
    <w:rsid w:val="009D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42CC"/>
  <w15:chartTrackingRefBased/>
  <w15:docId w15:val="{08A0336B-B969-453E-8077-011CB47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Liu</dc:creator>
  <cp:keywords/>
  <dc:description/>
  <cp:lastModifiedBy>Zhengyang Liu</cp:lastModifiedBy>
  <cp:revision>2</cp:revision>
  <dcterms:created xsi:type="dcterms:W3CDTF">2020-05-19T18:23:00Z</dcterms:created>
  <dcterms:modified xsi:type="dcterms:W3CDTF">2020-05-19T18:25:00Z</dcterms:modified>
</cp:coreProperties>
</file>