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b/>
          <w:sz w:val="36"/>
        </w:rPr>
        <w:t>README — 食药物质功能食品组分结构与组方设计研发系统</w:t>
      </w:r>
    </w:p>
    <w:p>
      <w:pPr>
        <w:spacing w:line="360" w:lineRule="auto" w:after="120"/>
        <w:jc w:val="center"/>
      </w:pPr>
      <w:r>
        <w:rPr>
          <w:rFonts w:ascii="宋体" w:hAnsi="宋体" w:eastAsia="宋体"/>
          <w:b w:val="0"/>
          <w:sz w:val="21"/>
        </w:rPr>
        <w:t>Food and Medicine Homology (FMH) Database &amp; Formulation Design Platform</w:t>
      </w:r>
    </w:p>
    <w:p>
      <w:pPr>
        <w:spacing w:line="360" w:lineRule="auto" w:after="120"/>
        <w:jc w:val="center"/>
      </w:pPr>
      <w:r>
        <w:rPr>
          <w:rFonts w:ascii="宋体" w:hAnsi="宋体" w:eastAsia="宋体"/>
          <w:b w:val="0"/>
          <w:sz w:val="21"/>
        </w:rPr>
        <w:t>编制日期：2026年9月</w:t>
      </w:r>
    </w:p>
    <w:p/>
    <w:p>
      <w:pPr>
        <w:pStyle w:val="Heading1"/>
        <w:jc w:val="left"/>
      </w:pPr>
      <w:r>
        <w:rPr>
          <w:rFonts w:ascii="黑体" w:hAnsi="黑体" w:eastAsia="黑体"/>
          <w:b/>
          <w:sz w:val="32"/>
        </w:rPr>
        <w:t>一、项目简介</w:t>
      </w:r>
    </w:p>
    <w:p>
      <w:pPr>
        <w:spacing w:line="360" w:lineRule="auto" w:after="120"/>
        <w:ind w:firstLine="504"/>
        <w:jc w:val="left"/>
      </w:pPr>
      <w:r>
        <w:rPr>
          <w:rFonts w:ascii="宋体" w:hAnsi="宋体" w:eastAsia="宋体"/>
          <w:b w:val="0"/>
          <w:sz w:val="21"/>
        </w:rPr>
        <w:t>本项目是由中国药科大学中药学院组分结构创新中药实验室研发的学术型数据平台，旨在整合国家发布的 106 种食药物质目录资源，通过信息化手段为功能食品的组分结构解析、智能组方设计、潜在应用挖掘及感官营养评估提供一站式数据支撑与算法工具。平台采用纯前端静态架构，部署便捷，数据与展示层解耦，便于后续扩展与维护。</w:t>
      </w:r>
    </w:p>
    <w:p>
      <w:pPr>
        <w:spacing w:line="360" w:lineRule="auto" w:after="120"/>
        <w:jc w:val="left"/>
      </w:pPr>
      <w:r>
        <w:rPr>
          <w:rFonts w:ascii="宋体" w:hAnsi="宋体" w:eastAsia="宋体"/>
          <w:b/>
          <w:sz w:val="21"/>
        </w:rPr>
        <w:t>核心定位：</w:t>
      </w:r>
    </w:p>
    <w:p>
      <w:pPr>
        <w:pStyle w:val="ListBullet"/>
        <w:spacing w:line="360" w:lineRule="auto" w:after="80"/>
      </w:pPr>
      <w:r>
        <w:rPr>
          <w:rFonts w:ascii="宋体" w:hAnsi="宋体" w:eastAsia="宋体"/>
          <w:b w:val="0"/>
          <w:sz w:val="21"/>
        </w:rPr>
        <w:t>面向功能食品开发场景，所有功能描述严格遵循国家食药物质管理规范，规避医疗宣称风险。</w:t>
      </w:r>
    </w:p>
    <w:p>
      <w:pPr>
        <w:pStyle w:val="ListBullet"/>
        <w:spacing w:line="360" w:lineRule="auto" w:after="80"/>
      </w:pPr>
      <w:r>
        <w:rPr>
          <w:rFonts w:ascii="宋体" w:hAnsi="宋体" w:eastAsia="宋体"/>
          <w:b w:val="0"/>
          <w:sz w:val="21"/>
        </w:rPr>
        <w:t>服务于高校科研、课题组内部汇报、产学研合作展示等学术用途。</w:t>
      </w:r>
    </w:p>
    <w:p>
      <w:pPr>
        <w:pStyle w:val="ListBullet"/>
        <w:spacing w:line="360" w:lineRule="auto" w:after="80"/>
      </w:pPr>
      <w:r>
        <w:rPr>
          <w:rFonts w:ascii="宋体" w:hAnsi="宋体" w:eastAsia="宋体"/>
          <w:b w:val="0"/>
          <w:sz w:val="21"/>
        </w:rPr>
        <w:t>为后续接入后端数据库、AI 组方模型、实验数据回流预留标准化接口。</w:t>
      </w:r>
    </w:p>
    <w:p>
      <w:pPr>
        <w:pStyle w:val="Heading1"/>
        <w:jc w:val="left"/>
      </w:pPr>
      <w:r>
        <w:rPr>
          <w:rFonts w:ascii="黑体" w:hAnsi="黑体" w:eastAsia="黑体"/>
          <w:b/>
          <w:sz w:val="32"/>
        </w:rPr>
        <w:t>二、在线访问地址</w:t>
      </w:r>
    </w:p>
    <w:p>
      <w:pPr>
        <w:spacing w:line="360" w:lineRule="auto" w:after="120"/>
        <w:ind w:firstLine="504"/>
        <w:jc w:val="left"/>
      </w:pPr>
      <w:r>
        <w:rPr>
          <w:rFonts w:ascii="宋体" w:hAnsi="宋体" w:eastAsia="宋体"/>
          <w:b w:val="0"/>
          <w:sz w:val="21"/>
        </w:rPr>
        <w:t>本项目已通过 GitHub Pages 部署，支持 HTTPS 自动加密访问：</w:t>
      </w:r>
    </w:p>
    <w:p>
      <w:pPr>
        <w:spacing w:line="240" w:lineRule="auto" w:after="80"/>
        <w:ind w:left="432"/>
      </w:pPr>
      <w:r>
        <w:rPr>
          <w:rFonts w:ascii="Consolas" w:hAnsi="Consolas" w:eastAsia="Consolas"/>
          <w:b w:val="0"/>
          <w:color w:val="333333"/>
          <w:sz w:val="19"/>
        </w:rPr>
        <w:t>https://zm-fang1997.github.io/fmhdb/</w:t>
      </w:r>
    </w:p>
    <w:p>
      <w:pPr>
        <w:spacing w:line="360" w:lineRule="auto" w:after="120"/>
        <w:jc w:val="left"/>
      </w:pPr>
      <w:r>
        <w:rPr>
          <w:rFonts w:ascii="宋体" w:hAnsi="宋体" w:eastAsia="宋体"/>
          <w:b w:val="0"/>
          <w:sz w:val="21"/>
        </w:rPr>
        <w:t>访问要求：推荐使用 Chrome / Edge / Firefox / Safari 最新版本，支持 PC 端与移动端自适应浏览。</w:t>
      </w:r>
    </w:p>
    <w:p>
      <w:pPr>
        <w:pStyle w:val="Heading1"/>
        <w:jc w:val="left"/>
      </w:pPr>
      <w:r>
        <w:rPr>
          <w:rFonts w:ascii="黑体" w:hAnsi="黑体" w:eastAsia="黑体"/>
          <w:b/>
          <w:sz w:val="32"/>
        </w:rPr>
        <w:t>三、平台功能模块</w:t>
      </w:r>
    </w:p>
    <w:p>
      <w:pPr>
        <w:spacing w:line="360" w:lineRule="auto" w:after="120"/>
        <w:ind w:firstLine="504"/>
        <w:jc w:val="left"/>
      </w:pPr>
      <w:r>
        <w:rPr>
          <w:rFonts w:ascii="宋体" w:hAnsi="宋体" w:eastAsia="宋体"/>
          <w:b w:val="0"/>
          <w:sz w:val="21"/>
        </w:rPr>
        <w:t>平台由四大核心模块组成，覆盖从"数据查询"到"组方设计"再到"评估验证"的完整研发闭环：</w:t>
      </w:r>
    </w:p>
    <w:p>
      <w:pPr>
        <w:pStyle w:val="Heading2"/>
        <w:jc w:val="left"/>
      </w:pPr>
      <w:r>
        <w:rPr>
          <w:rFonts w:ascii="黑体" w:hAnsi="黑体" w:eastAsia="黑体"/>
          <w:b/>
          <w:sz w:val="28"/>
        </w:rPr>
        <w:t>3.1 食药物质基本信息</w:t>
      </w:r>
    </w:p>
    <w:p>
      <w:pPr>
        <w:spacing w:line="360" w:lineRule="auto" w:after="120"/>
        <w:ind w:firstLine="504"/>
        <w:jc w:val="left"/>
      </w:pPr>
      <w:r>
        <w:rPr>
          <w:rFonts w:ascii="宋体" w:hAnsi="宋体" w:eastAsia="宋体"/>
          <w:b w:val="0"/>
          <w:sz w:val="21"/>
        </w:rPr>
        <w:t>收录国家 106 种食药物质目录品种，支持分页浏览、关键词检索与详情查看。每种物质的详情页采用 TCMSP 风格的数据呈现格式，左侧展示物质图片与基础信息（编号、中文名、英文名/拉丁名、数据来源），右侧展示成分与靶点概览表、ADME 参数示例表，下方关联展示涉及该物质的文献研究条目，并提供完整数据 Excel 下载入口。</w:t>
      </w:r>
    </w:p>
    <w:p>
      <w:pPr>
        <w:pStyle w:val="Heading2"/>
        <w:jc w:val="left"/>
      </w:pPr>
      <w:r>
        <w:rPr>
          <w:rFonts w:ascii="黑体" w:hAnsi="黑体" w:eastAsia="黑体"/>
          <w:b/>
          <w:sz w:val="28"/>
        </w:rPr>
        <w:t>3.2 功能食品组方设计</w:t>
      </w:r>
    </w:p>
    <w:p>
      <w:pPr>
        <w:spacing w:line="360" w:lineRule="auto" w:after="120"/>
        <w:ind w:firstLine="504"/>
        <w:jc w:val="left"/>
      </w:pPr>
      <w:r>
        <w:rPr>
          <w:rFonts w:ascii="宋体" w:hAnsi="宋体" w:eastAsia="宋体"/>
          <w:b w:val="0"/>
          <w:sz w:val="21"/>
        </w:rPr>
        <w:t>功能导向的智能组方引擎，输入功能需求（如血糖调节、血压调节、睡眠改善等）后，系统通过虚拟筛选（对标 TCMSP ADME 参数）与九维加权评分模型，生成 Top10 推荐组方。九维评分体系涵盖：功能靶点覆盖率（20%）、网络拓扑重要性（8%）、ADME 成药性（15%）、成分协同性（10%）、安全性与配伍禁忌（7%）、口感（15%）、气味（5%）、颜色（5%）、营养（15%）。</w:t>
      </w:r>
    </w:p>
    <w:p>
      <w:pPr>
        <w:pStyle w:val="Heading2"/>
        <w:jc w:val="left"/>
      </w:pPr>
      <w:r>
        <w:rPr>
          <w:rFonts w:ascii="黑体" w:hAnsi="黑体" w:eastAsia="黑体"/>
          <w:b/>
          <w:sz w:val="28"/>
        </w:rPr>
        <w:t>3.3 潜在应用数据挖掘</w:t>
      </w:r>
    </w:p>
    <w:p>
      <w:pPr>
        <w:spacing w:line="360" w:lineRule="auto" w:after="120"/>
        <w:ind w:firstLine="504"/>
        <w:jc w:val="left"/>
      </w:pPr>
      <w:r>
        <w:rPr>
          <w:rFonts w:ascii="宋体" w:hAnsi="宋体" w:eastAsia="宋体"/>
          <w:b w:val="0"/>
          <w:sz w:val="21"/>
        </w:rPr>
        <w:t>基于古今中外文献与实验数据，对 106 种食药物质的价值进行深度挖掘。内置模糊检索、错字纠正与多语言翻译功能，支持按古代文献、现代药理、临床研究、网络预测等来源筛选，并按黄酮类、多酚类、皂苷类、萜类等成分类型进一步过滤。</w:t>
      </w:r>
    </w:p>
    <w:p>
      <w:pPr>
        <w:pStyle w:val="Heading2"/>
        <w:jc w:val="left"/>
      </w:pPr>
      <w:r>
        <w:rPr>
          <w:rFonts w:ascii="黑体" w:hAnsi="黑体" w:eastAsia="黑体"/>
          <w:b/>
          <w:sz w:val="28"/>
        </w:rPr>
        <w:t>3.4 感官预测及营养评估</w:t>
      </w:r>
    </w:p>
    <w:p>
      <w:pPr>
        <w:spacing w:line="360" w:lineRule="auto" w:after="120"/>
        <w:ind w:firstLine="504"/>
        <w:jc w:val="left"/>
      </w:pPr>
      <w:r>
        <w:rPr>
          <w:rFonts w:ascii="宋体" w:hAnsi="宋体" w:eastAsia="宋体"/>
          <w:b w:val="0"/>
          <w:sz w:val="21"/>
        </w:rPr>
        <w:t>基于组方设计结果，对候选组方进行口感、气味、颜色三维感官预测及整体营养价值评估。口感模型基于电子舌数据 + 分子描述符回归，气味模型基于电子鼻数据 + 挥发油指纹，颜色模型基于 CIE-Lab 色差分级，营养评估基于 106 种食药物质营养物质检测数据加权计算。</w:t>
      </w:r>
    </w:p>
    <w:p>
      <w:pPr>
        <w:pStyle w:val="Heading1"/>
        <w:jc w:val="left"/>
      </w:pPr>
      <w:r>
        <w:rPr>
          <w:rFonts w:ascii="黑体" w:hAnsi="黑体" w:eastAsia="黑体"/>
          <w:b/>
          <w:sz w:val="32"/>
        </w:rPr>
        <w:t>四、技术架构与文件结构</w:t>
      </w:r>
    </w:p>
    <w:p>
      <w:pPr>
        <w:spacing w:line="360" w:lineRule="auto" w:after="120"/>
        <w:ind w:firstLine="504"/>
        <w:jc w:val="left"/>
      </w:pPr>
      <w:r>
        <w:rPr>
          <w:rFonts w:ascii="宋体" w:hAnsi="宋体" w:eastAsia="宋体"/>
          <w:b w:val="0"/>
          <w:sz w:val="21"/>
        </w:rPr>
        <w:t>本项目为纯静态网站，无需后端服务器或数据库即可运行，技术栈如下：</w:t>
      </w:r>
    </w:p>
    <w:p>
      <w:pPr>
        <w:pStyle w:val="ListBullet"/>
        <w:spacing w:line="360" w:lineRule="auto" w:after="80"/>
      </w:pPr>
      <w:r>
        <w:rPr>
          <w:rFonts w:ascii="宋体" w:hAnsi="宋体" w:eastAsia="宋体"/>
          <w:b w:val="0"/>
          <w:sz w:val="21"/>
        </w:rPr>
        <w:t>前端框架：原生 HTML5 + CSS3 + JavaScript（ES6+），无第三方框架依赖</w:t>
      </w:r>
    </w:p>
    <w:p>
      <w:pPr>
        <w:pStyle w:val="ListBullet"/>
        <w:spacing w:line="360" w:lineRule="auto" w:after="80"/>
      </w:pPr>
      <w:r>
        <w:rPr>
          <w:rFonts w:ascii="宋体" w:hAnsi="宋体" w:eastAsia="宋体"/>
          <w:b w:val="0"/>
          <w:sz w:val="21"/>
        </w:rPr>
        <w:t>样式方案：CSS Variables 主题系统 + Flex/Grid 响应式布局 + 移动端底部导航适配</w:t>
      </w:r>
    </w:p>
    <w:p>
      <w:pPr>
        <w:pStyle w:val="ListBullet"/>
        <w:spacing w:line="360" w:lineRule="auto" w:after="80"/>
      </w:pPr>
      <w:r>
        <w:rPr>
          <w:rFonts w:ascii="宋体" w:hAnsi="宋体" w:eastAsia="宋体"/>
          <w:b w:val="0"/>
          <w:sz w:val="21"/>
        </w:rPr>
        <w:t>数据存储：前端 JSON 文件（data.js、data/substances.json），便于后续迁移至后端 API</w:t>
      </w:r>
    </w:p>
    <w:p>
      <w:pPr>
        <w:pStyle w:val="ListBullet"/>
        <w:spacing w:line="360" w:lineRule="auto" w:after="80"/>
      </w:pPr>
      <w:r>
        <w:rPr>
          <w:rFonts w:ascii="宋体" w:hAnsi="宋体" w:eastAsia="宋体"/>
          <w:b w:val="0"/>
          <w:sz w:val="21"/>
        </w:rPr>
        <w:t>部署平台：GitHub Pages（自动 HTTPS、CI/CD）</w:t>
      </w:r>
    </w:p>
    <w:p>
      <w:pPr>
        <w:spacing w:line="360" w:lineRule="auto" w:after="120"/>
        <w:jc w:val="left"/>
      </w:pPr>
      <w:r>
        <w:rPr>
          <w:rFonts w:ascii="宋体" w:hAnsi="宋体" w:eastAsia="宋体"/>
          <w:b/>
          <w:sz w:val="21"/>
        </w:rPr>
        <w:t>核心文件结构：</w:t>
      </w:r>
    </w:p>
    <w:p>
      <w:pPr>
        <w:spacing w:line="240" w:lineRule="auto" w:after="80"/>
        <w:ind w:left="432"/>
      </w:pPr>
      <w:r>
        <w:rPr>
          <w:rFonts w:ascii="Consolas" w:hAnsi="Consolas" w:eastAsia="Consolas"/>
          <w:b w:val="0"/>
          <w:color w:val="333333"/>
          <w:sz w:val="19"/>
        </w:rPr>
        <w:t>fmhdb/</w:t>
        <w:br/>
        <w:t>├── index.html          # 主入口（单页应用，集成四大模块）</w:t>
        <w:br/>
        <w:t>├── module1.html        # 食药物质基本信息（独立页面备用）</w:t>
        <w:br/>
        <w:t>├── module2.html        # 功能食品组方设计（独立页面备用）</w:t>
        <w:br/>
        <w:t>├── module3.html        # 潜在应用数据挖掘（独立页面备用）</w:t>
        <w:br/>
        <w:t>├── module4.html        # 感官预测及营养评估（独立页面备用）</w:t>
        <w:br/>
        <w:t>├── data.js             # 核心数据：106种物质列表 + mock文献数据</w:t>
        <w:br/>
        <w:t>├── data/</w:t>
        <w:br/>
        <w:t>│   └── substances.json # 物质图片映射表</w:t>
        <w:br/>
        <w:t>├── data/substances/    # 各物质详细信息 Excel 文件</w:t>
        <w:br/>
        <w:t>├── css/</w:t>
        <w:br/>
        <w:t>│   └── style.css       # 全局样式（含响应式断点）</w:t>
        <w:br/>
        <w:t>└── js/</w:t>
        <w:br/>
        <w:t xml:space="preserve">    └── main.js         # 公共交互逻辑</w:t>
      </w:r>
    </w:p>
    <w:p>
      <w:pPr>
        <w:pStyle w:val="Heading1"/>
        <w:jc w:val="left"/>
      </w:pPr>
      <w:r>
        <w:rPr>
          <w:rFonts w:ascii="黑体" w:hAnsi="黑体" w:eastAsia="黑体"/>
          <w:b/>
          <w:sz w:val="32"/>
        </w:rPr>
        <w:t>五、快速开始（本地运行）</w:t>
      </w:r>
    </w:p>
    <w:p>
      <w:pPr>
        <w:spacing w:line="360" w:lineRule="auto" w:after="120"/>
        <w:ind w:firstLine="504"/>
        <w:jc w:val="left"/>
      </w:pPr>
      <w:r>
        <w:rPr>
          <w:rFonts w:ascii="宋体" w:hAnsi="宋体" w:eastAsia="宋体"/>
          <w:b w:val="0"/>
          <w:sz w:val="21"/>
        </w:rPr>
        <w:t>如需在本地修改或二次开发，按以下步骤操作：</w:t>
      </w:r>
    </w:p>
    <w:p>
      <w:pPr>
        <w:spacing w:line="360" w:lineRule="auto" w:after="120"/>
        <w:jc w:val="left"/>
      </w:pPr>
      <w:r>
        <w:rPr>
          <w:rFonts w:ascii="宋体" w:hAnsi="宋体" w:eastAsia="宋体"/>
          <w:b/>
          <w:sz w:val="21"/>
        </w:rPr>
        <w:t>方式一：直接打开（最简单）</w:t>
      </w:r>
    </w:p>
    <w:p>
      <w:pPr>
        <w:pStyle w:val="ListBullet"/>
        <w:spacing w:line="360" w:lineRule="auto" w:after="80"/>
      </w:pPr>
      <w:r>
        <w:rPr>
          <w:rFonts w:ascii="宋体" w:hAnsi="宋体" w:eastAsia="宋体"/>
          <w:b w:val="0"/>
          <w:sz w:val="21"/>
        </w:rPr>
        <w:t>下载或克隆本仓库到本地</w:t>
      </w:r>
    </w:p>
    <w:p>
      <w:pPr>
        <w:pStyle w:val="ListBullet"/>
        <w:spacing w:line="360" w:lineRule="auto" w:after="80"/>
      </w:pPr>
      <w:r>
        <w:rPr>
          <w:rFonts w:ascii="宋体" w:hAnsi="宋体" w:eastAsia="宋体"/>
          <w:b w:val="0"/>
          <w:sz w:val="21"/>
        </w:rPr>
        <w:t>双击 website/index.html 即可在浏览器中运行</w:t>
      </w:r>
    </w:p>
    <w:p>
      <w:pPr>
        <w:spacing w:line="360" w:lineRule="auto" w:after="120"/>
        <w:jc w:val="left"/>
      </w:pPr>
      <w:r>
        <w:rPr>
          <w:rFonts w:ascii="宋体" w:hAnsi="宋体" w:eastAsia="宋体"/>
          <w:b/>
          <w:sz w:val="21"/>
        </w:rPr>
        <w:t>方式二：使用本地服务器（推荐，避免跨域限制）</w:t>
      </w:r>
    </w:p>
    <w:p>
      <w:pPr>
        <w:spacing w:line="240" w:lineRule="auto" w:after="80"/>
        <w:ind w:left="432"/>
      </w:pPr>
      <w:r>
        <w:rPr>
          <w:rFonts w:ascii="Consolas" w:hAnsi="Consolas" w:eastAsia="Consolas"/>
          <w:b w:val="0"/>
          <w:color w:val="333333"/>
          <w:sz w:val="19"/>
        </w:rPr>
        <w:t># 使用 Python 临时启动本地服务器</w:t>
        <w:br/>
        <w:t>cd website</w:t>
        <w:br/>
        <w:t>python -m http.server 8000</w:t>
        <w:br/>
        <w:t># 浏览器访问 http://localhost:8000</w:t>
      </w:r>
    </w:p>
    <w:p>
      <w:pPr>
        <w:spacing w:line="360" w:lineRule="auto" w:after="120"/>
        <w:jc w:val="left"/>
      </w:pPr>
      <w:r>
        <w:rPr>
          <w:rFonts w:ascii="宋体" w:hAnsi="宋体" w:eastAsia="宋体"/>
          <w:b/>
          <w:sz w:val="21"/>
        </w:rPr>
        <w:t>方式三：使用 VS Code Live Server 插件</w:t>
      </w:r>
    </w:p>
    <w:p>
      <w:pPr>
        <w:pStyle w:val="ListBullet"/>
        <w:spacing w:line="360" w:lineRule="auto" w:after="80"/>
      </w:pPr>
      <w:r>
        <w:rPr>
          <w:rFonts w:ascii="宋体" w:hAnsi="宋体" w:eastAsia="宋体"/>
          <w:b w:val="0"/>
          <w:sz w:val="21"/>
        </w:rPr>
        <w:t>在 VS Code 中安装 Live Server 插件</w:t>
      </w:r>
    </w:p>
    <w:p>
      <w:pPr>
        <w:pStyle w:val="ListBullet"/>
        <w:spacing w:line="360" w:lineRule="auto" w:after="80"/>
      </w:pPr>
      <w:r>
        <w:rPr>
          <w:rFonts w:ascii="宋体" w:hAnsi="宋体" w:eastAsia="宋体"/>
          <w:b w:val="0"/>
          <w:sz w:val="21"/>
        </w:rPr>
        <w:t>右键 index.html → "Open with Live Server"</w:t>
      </w:r>
    </w:p>
    <w:p>
      <w:pPr>
        <w:pStyle w:val="Heading1"/>
        <w:jc w:val="left"/>
      </w:pPr>
      <w:r>
        <w:rPr>
          <w:rFonts w:ascii="黑体" w:hAnsi="黑体" w:eastAsia="黑体"/>
          <w:b/>
          <w:sz w:val="32"/>
        </w:rPr>
        <w:t>六、数据来源与版权声明</w:t>
      </w:r>
    </w:p>
    <w:p>
      <w:pPr>
        <w:spacing w:line="360" w:lineRule="auto" w:after="120"/>
        <w:ind w:firstLine="504"/>
        <w:jc w:val="left"/>
      </w:pPr>
      <w:r>
        <w:rPr>
          <w:rFonts w:ascii="宋体" w:hAnsi="宋体" w:eastAsia="宋体"/>
          <w:b w:val="0"/>
          <w:sz w:val="21"/>
        </w:rPr>
        <w:t>平台数据均来源于公开渠道与课题组自有研究成果，仅供学术交流使用：</w:t>
      </w:r>
    </w:p>
    <w:p>
      <w:pPr>
        <w:pStyle w:val="ListBullet"/>
        <w:spacing w:line="360" w:lineRule="auto" w:after="80"/>
      </w:pPr>
      <w:r>
        <w:rPr>
          <w:rFonts w:ascii="宋体" w:hAnsi="宋体" w:eastAsia="宋体"/>
          <w:b w:val="0"/>
          <w:sz w:val="21"/>
        </w:rPr>
        <w:t>食药物质目录：依据国家卫生健康委员会发布的《既是食品又是中药材的物质目录》整理</w:t>
      </w:r>
    </w:p>
    <w:p>
      <w:pPr>
        <w:pStyle w:val="ListBullet"/>
        <w:spacing w:line="360" w:lineRule="auto" w:after="80"/>
      </w:pPr>
      <w:r>
        <w:rPr>
          <w:rFonts w:ascii="宋体" w:hAnsi="宋体" w:eastAsia="宋体"/>
          <w:b w:val="0"/>
          <w:sz w:val="21"/>
        </w:rPr>
        <w:t>药典文本：参考《中华人民共和国药典》（2020 版）性味归经与功能描述</w:t>
      </w:r>
    </w:p>
    <w:p>
      <w:pPr>
        <w:pStyle w:val="ListBullet"/>
        <w:spacing w:line="360" w:lineRule="auto" w:after="80"/>
      </w:pPr>
      <w:r>
        <w:rPr>
          <w:rFonts w:ascii="宋体" w:hAnsi="宋体" w:eastAsia="宋体"/>
          <w:b w:val="0"/>
          <w:sz w:val="21"/>
        </w:rPr>
        <w:t>文献数据：mockData 中的部分条目为算法生成的模拟数据，用于前端展示与功能验证，后续将逐条替换为真实文献</w:t>
      </w:r>
    </w:p>
    <w:p>
      <w:pPr>
        <w:pStyle w:val="ListBullet"/>
        <w:spacing w:line="360" w:lineRule="auto" w:after="80"/>
      </w:pPr>
      <w:r>
        <w:rPr>
          <w:rFonts w:ascii="宋体" w:hAnsi="宋体" w:eastAsia="宋体"/>
          <w:b w:val="0"/>
          <w:sz w:val="21"/>
        </w:rPr>
        <w:t>实验数据：电子舌、电子鼻、颜色测定、营养物质检测等数据来源于课题组自主实验</w:t>
      </w:r>
    </w:p>
    <w:p>
      <w:pPr>
        <w:spacing w:line="360" w:lineRule="auto" w:after="120"/>
        <w:ind w:firstLine="504"/>
        <w:jc w:val="left"/>
      </w:pPr>
      <w:r>
        <w:rPr>
          <w:rFonts w:ascii="宋体" w:hAnsi="宋体" w:eastAsia="宋体"/>
          <w:b w:val="0"/>
          <w:sz w:val="21"/>
        </w:rPr>
        <w:t>版权声明：本平台代码与数据归中国药科大学中药学院组分结构创新中药实验室所有。未经授权，禁止用于商业用途。引用本平台数据或算法时，请注明出处。</w:t>
      </w:r>
    </w:p>
    <w:p>
      <w:pPr>
        <w:pStyle w:val="Heading1"/>
        <w:jc w:val="left"/>
      </w:pPr>
      <w:r>
        <w:rPr>
          <w:rFonts w:ascii="黑体" w:hAnsi="黑体" w:eastAsia="黑体"/>
          <w:b/>
          <w:sz w:val="32"/>
        </w:rPr>
        <w:t>七、更新日志</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1"/>
              </w:rPr>
              <w:t>日期</w:t>
            </w:r>
          </w:p>
        </w:tc>
        <w:tc>
          <w:tcPr>
            <w:tcW w:type="dxa" w:w="2880"/>
          </w:tcPr>
          <w:p>
            <w:pPr>
              <w:jc w:val="center"/>
            </w:pPr>
            <w:r>
              <w:rPr>
                <w:rFonts w:ascii="宋体" w:hAnsi="宋体" w:eastAsia="宋体"/>
                <w:b/>
                <w:sz w:val="21"/>
              </w:rPr>
              <w:t>版本</w:t>
            </w:r>
          </w:p>
        </w:tc>
        <w:tc>
          <w:tcPr>
            <w:tcW w:type="dxa" w:w="2880"/>
          </w:tcPr>
          <w:p>
            <w:pPr>
              <w:jc w:val="center"/>
            </w:pPr>
            <w:r>
              <w:rPr>
                <w:rFonts w:ascii="宋体" w:hAnsi="宋体" w:eastAsia="宋体"/>
                <w:b/>
                <w:sz w:val="21"/>
              </w:rPr>
              <w:t>更新内容</w:t>
            </w:r>
          </w:p>
        </w:tc>
      </w:tr>
      <w:tr>
        <w:tc>
          <w:tcPr>
            <w:tcW w:type="dxa" w:w="2880"/>
          </w:tcPr>
          <w:p>
            <w:pPr>
              <w:spacing w:line="360" w:lineRule="auto"/>
              <w:jc w:val="center"/>
            </w:pPr>
            <w:r>
              <w:rPr>
                <w:rFonts w:ascii="宋体" w:hAnsi="宋体" w:eastAsia="宋体"/>
                <w:b w:val="0"/>
                <w:sz w:val="21"/>
              </w:rPr>
              <w:t>2026-09-15</w:t>
            </w:r>
          </w:p>
        </w:tc>
        <w:tc>
          <w:tcPr>
            <w:tcW w:type="dxa" w:w="2880"/>
          </w:tcPr>
          <w:p>
            <w:pPr>
              <w:spacing w:line="360" w:lineRule="auto"/>
              <w:jc w:val="center"/>
            </w:pPr>
            <w:r>
              <w:rPr>
                <w:rFonts w:ascii="宋体" w:hAnsi="宋体" w:eastAsia="宋体"/>
                <w:b w:val="0"/>
                <w:sz w:val="21"/>
              </w:rPr>
              <w:t>v1.0.0</w:t>
            </w:r>
          </w:p>
        </w:tc>
        <w:tc>
          <w:tcPr>
            <w:tcW w:type="dxa" w:w="2880"/>
          </w:tcPr>
          <w:p>
            <w:pPr>
              <w:spacing w:line="360" w:lineRule="auto"/>
              <w:jc w:val="center"/>
            </w:pPr>
            <w:r>
              <w:rPr>
                <w:rFonts w:ascii="宋体" w:hAnsi="宋体" w:eastAsia="宋体"/>
                <w:b w:val="0"/>
                <w:sz w:val="21"/>
              </w:rPr>
              <w:t>平台正式上线，完成四大核心模块开发，部署至 GitHub Pages</w:t>
            </w:r>
          </w:p>
        </w:tc>
      </w:tr>
      <w:tr>
        <w:tc>
          <w:tcPr>
            <w:tcW w:type="dxa" w:w="2880"/>
          </w:tcPr>
          <w:p>
            <w:pPr>
              <w:spacing w:line="360" w:lineRule="auto"/>
              <w:jc w:val="center"/>
            </w:pPr>
            <w:r>
              <w:rPr>
                <w:rFonts w:ascii="宋体" w:hAnsi="宋体" w:eastAsia="宋体"/>
                <w:b w:val="0"/>
                <w:sz w:val="21"/>
              </w:rPr>
              <w:t>2026-09-15</w:t>
            </w:r>
          </w:p>
        </w:tc>
        <w:tc>
          <w:tcPr>
            <w:tcW w:type="dxa" w:w="2880"/>
          </w:tcPr>
          <w:p>
            <w:pPr>
              <w:spacing w:line="360" w:lineRule="auto"/>
              <w:jc w:val="center"/>
            </w:pPr>
            <w:r>
              <w:rPr>
                <w:rFonts w:ascii="宋体" w:hAnsi="宋体" w:eastAsia="宋体"/>
                <w:b w:val="0"/>
                <w:sz w:val="21"/>
              </w:rPr>
              <w:t>v1.0.1</w:t>
            </w:r>
          </w:p>
        </w:tc>
        <w:tc>
          <w:tcPr>
            <w:tcW w:type="dxa" w:w="2880"/>
          </w:tcPr>
          <w:p>
            <w:pPr>
              <w:spacing w:line="360" w:lineRule="auto"/>
              <w:jc w:val="center"/>
            </w:pPr>
            <w:r>
              <w:rPr>
                <w:rFonts w:ascii="宋体" w:hAnsi="宋体" w:eastAsia="宋体"/>
                <w:b w:val="0"/>
                <w:sz w:val="21"/>
              </w:rPr>
              <w:t>食药物质详情页由下载链接版升级为网页直观查看版（TCMSP 风格）</w:t>
            </w:r>
          </w:p>
        </w:tc>
      </w:tr>
      <w:tr>
        <w:tc>
          <w:tcPr>
            <w:tcW w:type="dxa" w:w="2880"/>
          </w:tcPr>
          <w:p>
            <w:pPr>
              <w:spacing w:line="360" w:lineRule="auto"/>
              <w:jc w:val="center"/>
            </w:pPr>
            <w:r>
              <w:rPr>
                <w:rFonts w:ascii="宋体" w:hAnsi="宋体" w:eastAsia="宋体"/>
                <w:b w:val="0"/>
                <w:sz w:val="21"/>
              </w:rPr>
              <w:t>2026-09-15</w:t>
            </w:r>
          </w:p>
        </w:tc>
        <w:tc>
          <w:tcPr>
            <w:tcW w:type="dxa" w:w="2880"/>
          </w:tcPr>
          <w:p>
            <w:pPr>
              <w:spacing w:line="360" w:lineRule="auto"/>
              <w:jc w:val="center"/>
            </w:pPr>
            <w:r>
              <w:rPr>
                <w:rFonts w:ascii="宋体" w:hAnsi="宋体" w:eastAsia="宋体"/>
                <w:b w:val="0"/>
                <w:sz w:val="21"/>
              </w:rPr>
              <w:t>v1.0.2</w:t>
            </w:r>
          </w:p>
        </w:tc>
        <w:tc>
          <w:tcPr>
            <w:tcW w:type="dxa" w:w="2880"/>
          </w:tcPr>
          <w:p>
            <w:pPr>
              <w:spacing w:line="360" w:lineRule="auto"/>
              <w:jc w:val="center"/>
            </w:pPr>
            <w:r>
              <w:rPr>
                <w:rFonts w:ascii="宋体" w:hAnsi="宋体" w:eastAsia="宋体"/>
                <w:b w:val="0"/>
                <w:sz w:val="21"/>
              </w:rPr>
              <w:t>全站合规化改造：疾病→功能、患者→消费者、药味→物质</w:t>
            </w:r>
          </w:p>
        </w:tc>
      </w:tr>
    </w:tbl>
    <w:p>
      <w:pPr>
        <w:pStyle w:val="Heading1"/>
        <w:jc w:val="left"/>
      </w:pPr>
      <w:r>
        <w:rPr>
          <w:rFonts w:ascii="黑体" w:hAnsi="黑体" w:eastAsia="黑体"/>
          <w:b/>
          <w:sz w:val="32"/>
        </w:rPr>
        <w:t>八、后续开发计划</w:t>
      </w:r>
    </w:p>
    <w:p>
      <w:pPr>
        <w:pStyle w:val="ListBullet"/>
        <w:spacing w:line="360" w:lineRule="auto" w:after="80"/>
      </w:pPr>
      <w:r>
        <w:rPr>
          <w:rFonts w:ascii="宋体" w:hAnsi="宋体" w:eastAsia="宋体"/>
          <w:b w:val="0"/>
          <w:sz w:val="21"/>
        </w:rPr>
        <w:t>后端迁移：将 data.js 中的 mock 数据迁移至后端数据库（MySQL / MongoDB），提供 RESTful API</w:t>
      </w:r>
    </w:p>
    <w:p>
      <w:pPr>
        <w:pStyle w:val="ListBullet"/>
        <w:spacing w:line="360" w:lineRule="auto" w:after="80"/>
      </w:pPr>
      <w:r>
        <w:rPr>
          <w:rFonts w:ascii="宋体" w:hAnsi="宋体" w:eastAsia="宋体"/>
          <w:b w:val="0"/>
          <w:sz w:val="21"/>
        </w:rPr>
        <w:t>用户系统：完善注册/登录机制，支持组方保存、历史记录、个人收藏</w:t>
      </w:r>
    </w:p>
    <w:p>
      <w:pPr>
        <w:pStyle w:val="ListBullet"/>
        <w:spacing w:line="360" w:lineRule="auto" w:after="80"/>
      </w:pPr>
      <w:r>
        <w:rPr>
          <w:rFonts w:ascii="宋体" w:hAnsi="宋体" w:eastAsia="宋体"/>
          <w:b w:val="0"/>
          <w:sz w:val="21"/>
        </w:rPr>
        <w:t>AI 组方模型：接入课题组自研的大语言模型或网络药理学算法，替代当前随机模拟的组方生成逻辑</w:t>
      </w:r>
    </w:p>
    <w:p>
      <w:pPr>
        <w:pStyle w:val="ListBullet"/>
        <w:spacing w:line="360" w:lineRule="auto" w:after="80"/>
      </w:pPr>
      <w:r>
        <w:rPr>
          <w:rFonts w:ascii="宋体" w:hAnsi="宋体" w:eastAsia="宋体"/>
          <w:b w:val="0"/>
          <w:sz w:val="21"/>
        </w:rPr>
        <w:t>数据补全：逐条补充 106 种食药物质的真实化合物、靶点、性味归经数据</w:t>
      </w:r>
    </w:p>
    <w:p>
      <w:pPr>
        <w:pStyle w:val="ListBullet"/>
        <w:spacing w:line="360" w:lineRule="auto" w:after="80"/>
      </w:pPr>
      <w:r>
        <w:rPr>
          <w:rFonts w:ascii="宋体" w:hAnsi="宋体" w:eastAsia="宋体"/>
          <w:b w:val="0"/>
          <w:sz w:val="21"/>
        </w:rPr>
        <w:t>多语言支持：增加英文界面，便于国际学术交流</w:t>
      </w:r>
    </w:p>
    <w:p>
      <w:pPr>
        <w:pStyle w:val="Heading1"/>
        <w:jc w:val="left"/>
      </w:pPr>
      <w:r>
        <w:rPr>
          <w:rFonts w:ascii="黑体" w:hAnsi="黑体" w:eastAsia="黑体"/>
          <w:b/>
          <w:sz w:val="32"/>
        </w:rPr>
        <w:t>九、联系我们</w:t>
      </w:r>
    </w:p>
    <w:p>
      <w:pPr>
        <w:spacing w:line="360" w:lineRule="auto" w:after="120"/>
        <w:ind w:firstLine="504"/>
        <w:jc w:val="left"/>
      </w:pPr>
      <w:r>
        <w:rPr>
          <w:rFonts w:ascii="宋体" w:hAnsi="宋体" w:eastAsia="宋体"/>
          <w:b w:val="0"/>
          <w:sz w:val="21"/>
        </w:rPr>
        <w:t>本平台由中国药科大学中药学院组分结构创新中药实验室研发与维护。</w:t>
      </w:r>
    </w:p>
    <w:p>
      <w:pPr>
        <w:pStyle w:val="ListBullet"/>
        <w:spacing w:line="360" w:lineRule="auto" w:after="80"/>
      </w:pPr>
      <w:r>
        <w:rPr>
          <w:rFonts w:ascii="宋体" w:hAnsi="宋体" w:eastAsia="宋体"/>
          <w:b w:val="0"/>
          <w:sz w:val="21"/>
        </w:rPr>
        <w:t>单位：中国药科大学中药学院</w:t>
      </w:r>
    </w:p>
    <w:p>
      <w:pPr>
        <w:pStyle w:val="ListBullet"/>
        <w:spacing w:line="360" w:lineRule="auto" w:after="80"/>
      </w:pPr>
      <w:r>
        <w:rPr>
          <w:rFonts w:ascii="宋体" w:hAnsi="宋体" w:eastAsia="宋体"/>
          <w:b w:val="0"/>
          <w:sz w:val="21"/>
        </w:rPr>
        <w:t>地址：南京市江宁区龙眠大道639号</w:t>
      </w:r>
    </w:p>
    <w:p>
      <w:pPr>
        <w:pStyle w:val="ListBullet"/>
        <w:spacing w:line="360" w:lineRule="auto" w:after="80"/>
      </w:pPr>
      <w:r>
        <w:rPr>
          <w:rFonts w:ascii="宋体" w:hAnsi="宋体" w:eastAsia="宋体"/>
          <w:b w:val="0"/>
          <w:sz w:val="21"/>
        </w:rPr>
        <w:t>负责人：贾晓斌教授、封亮教授、杨冰老师</w:t>
      </w:r>
    </w:p>
    <w:p>
      <w:pPr>
        <w:pStyle w:val="ListBullet"/>
        <w:spacing w:line="360" w:lineRule="auto" w:after="80"/>
      </w:pPr>
      <w:r>
        <w:rPr>
          <w:rFonts w:ascii="宋体" w:hAnsi="宋体" w:eastAsia="宋体"/>
          <w:b w:val="0"/>
          <w:sz w:val="21"/>
        </w:rPr>
        <w:t>联系电话：封教授 13951898629 / 方博士 13203810182</w:t>
      </w:r>
    </w:p>
    <w:p>
      <w:pPr>
        <w:pStyle w:val="ListBullet"/>
        <w:spacing w:line="360" w:lineRule="auto" w:after="80"/>
      </w:pPr>
      <w:r>
        <w:rPr>
          <w:rFonts w:ascii="宋体" w:hAnsi="宋体" w:eastAsia="宋体"/>
          <w:b w:val="0"/>
          <w:sz w:val="21"/>
        </w:rPr>
        <w:t>在线访问：https://zm-fang1997.github.io/fmhdb/</w:t>
      </w:r>
    </w:p>
    <w:p>
      <w:pPr>
        <w:spacing w:line="360" w:lineRule="auto" w:after="120"/>
        <w:ind w:firstLine="504"/>
        <w:jc w:val="left"/>
      </w:pPr>
      <w:r>
        <w:rPr>
          <w:rFonts w:ascii="宋体" w:hAnsi="宋体" w:eastAsia="宋体"/>
          <w:b w:val="0"/>
          <w:sz w:val="21"/>
        </w:rPr>
        <w:t>欢迎对本平台提出宝贵意见与建议。如需合作研究、数据共享或技术对接，请通过上述联系方式与我们取得联系。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