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6256">
      <w:pPr>
        <w:pStyle w:val="31"/>
        <w:jc w:val="center"/>
      </w:pPr>
      <w:r>
        <w:rPr>
          <w:rFonts w:ascii="黑体" w:hAnsi="黑体" w:eastAsia="黑体"/>
          <w:b/>
          <w:sz w:val="36"/>
        </w:rPr>
        <w:t>食药物质数据库平台 HTTPS 在线部署方案</w:t>
      </w:r>
    </w:p>
    <w:p w14:paraId="7F1FB553"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1"/>
        </w:rPr>
        <w:t>——基于静态网站托管服务的快速上线路径</w:t>
      </w:r>
      <w:bookmarkStart w:id="0" w:name="_GoBack"/>
      <w:bookmarkEnd w:id="0"/>
    </w:p>
    <w:p w14:paraId="6E468CEA"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1"/>
        </w:rPr>
        <w:t>编制日期：2026年9月</w:t>
      </w:r>
    </w:p>
    <w:p w14:paraId="366D49EF"/>
    <w:p w14:paraId="3DDE9EDD">
      <w:pPr>
        <w:pStyle w:val="3"/>
        <w:jc w:val="left"/>
      </w:pPr>
      <w:r>
        <w:rPr>
          <w:rFonts w:ascii="黑体" w:hAnsi="黑体" w:eastAsia="黑体"/>
          <w:b/>
          <w:sz w:val="32"/>
        </w:rPr>
        <w:t>一、前言</w:t>
      </w:r>
    </w:p>
    <w:p w14:paraId="62C16372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本项目（食药物质功能食品组分结构与组方设计研发系统）目前以纯静态 HTML/CSS/JS 文件形式运行在本地，核心入口为 index.html。若需将其部署为以 https:// 开头的在线网站，供课题组内外访问、汇报或后续迭代展示，本质上属于"静态网站托管"场景。本报告在充分调研 2024–2025 年主流云服务平台的基础上，从“操作难度、费用、国内访问速度、HTTPS 自动化程度”四个维度进行比对，并给出可直接落地的推荐方案与操作清单。</w:t>
      </w:r>
    </w:p>
    <w:p w14:paraId="69A08161">
      <w:pPr>
        <w:pStyle w:val="3"/>
        <w:jc w:val="left"/>
      </w:pPr>
      <w:r>
        <w:rPr>
          <w:rFonts w:ascii="黑体" w:hAnsi="黑体" w:eastAsia="黑体"/>
          <w:b/>
          <w:sz w:val="32"/>
        </w:rPr>
        <w:t>二、核心概念：静态网站托管与 HTTPS</w:t>
      </w:r>
    </w:p>
    <w:p w14:paraId="6C7FCAC2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在选型之前，需厘清两个关键概念：</w:t>
      </w:r>
    </w:p>
    <w:p w14:paraId="0E05DD23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静态网站托管：指平台仅提供 HTML、CSS、JS、图片等静态文件的存储与分发服务，无需购买云服务器或配置数据库。</w:t>
      </w:r>
    </w:p>
    <w:p w14:paraId="75F08C93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HTTPS（SSL/TLS 证书）：用于加密浏览器与服务器之间的通信。2025 年，主流平台均已实现“自动 HTTPS”——即绑定域名后，平台自动向 Let's Encrypt 等机构申请免费证书并自动续期，用户无需手动操作。</w:t>
      </w:r>
    </w:p>
    <w:p w14:paraId="42799FD9">
      <w:pPr>
        <w:pStyle w:val="3"/>
        <w:jc w:val="left"/>
      </w:pPr>
      <w:r>
        <w:rPr>
          <w:rFonts w:ascii="黑体" w:hAnsi="黑体" w:eastAsia="黑体"/>
          <w:b/>
          <w:sz w:val="32"/>
        </w:rPr>
        <w:t>三、主流方案总览对比</w:t>
      </w:r>
    </w:p>
    <w:p w14:paraId="7BDDFFBC"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1"/>
        </w:rPr>
        <w:t>下表列出当前最常用的 6 种部署路径，供快速决策参考：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616"/>
        <w:gridCol w:w="1440"/>
        <w:gridCol w:w="1440"/>
      </w:tblGrid>
      <w:tr w14:paraId="1C4EE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D097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w="1440" w:type="dxa"/>
          </w:tcPr>
          <w:p w14:paraId="5FD66C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费用</w:t>
            </w:r>
          </w:p>
        </w:tc>
        <w:tc>
          <w:tcPr>
            <w:tcW w:w="1440" w:type="dxa"/>
          </w:tcPr>
          <w:p w14:paraId="5112B7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HTTPS</w:t>
            </w:r>
          </w:p>
        </w:tc>
        <w:tc>
          <w:tcPr>
            <w:tcW w:w="1440" w:type="dxa"/>
          </w:tcPr>
          <w:p w14:paraId="3FB48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国内访问</w:t>
            </w:r>
          </w:p>
        </w:tc>
        <w:tc>
          <w:tcPr>
            <w:tcW w:w="1440" w:type="dxa"/>
          </w:tcPr>
          <w:p w14:paraId="5C6685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操作难度</w:t>
            </w:r>
          </w:p>
        </w:tc>
        <w:tc>
          <w:tcPr>
            <w:tcW w:w="1440" w:type="dxa"/>
          </w:tcPr>
          <w:p w14:paraId="1DA73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</w:tr>
      <w:tr w14:paraId="496C7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888183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GitHub Pages</w:t>
            </w:r>
          </w:p>
        </w:tc>
        <w:tc>
          <w:tcPr>
            <w:tcW w:w="1440" w:type="dxa"/>
          </w:tcPr>
          <w:p w14:paraId="2A632ED0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完全免费</w:t>
            </w:r>
          </w:p>
        </w:tc>
        <w:tc>
          <w:tcPr>
            <w:tcW w:w="1440" w:type="dxa"/>
          </w:tcPr>
          <w:p w14:paraId="1CD95C4D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自动颁发/续期</w:t>
            </w:r>
          </w:p>
        </w:tc>
        <w:tc>
          <w:tcPr>
            <w:tcW w:w="1440" w:type="dxa"/>
          </w:tcPr>
          <w:p w14:paraId="2F8E1F3A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较慢</w:t>
            </w: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br w:type="textWrapping"/>
            </w: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（海外节点）</w:t>
            </w:r>
          </w:p>
        </w:tc>
        <w:tc>
          <w:tcPr>
            <w:tcW w:w="1440" w:type="dxa"/>
          </w:tcPr>
          <w:p w14:paraId="6FCC8C3C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⭐ 极简</w:t>
            </w:r>
          </w:p>
        </w:tc>
        <w:tc>
          <w:tcPr>
            <w:tcW w:w="1440" w:type="dxa"/>
          </w:tcPr>
          <w:p w14:paraId="4EFC2757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开源项目、个人学术主页、快速Demo</w:t>
            </w:r>
          </w:p>
        </w:tc>
      </w:tr>
      <w:tr w14:paraId="0AC30A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F60A1E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EdgeOne Pages</w:t>
            </w:r>
          </w:p>
        </w:tc>
        <w:tc>
          <w:tcPr>
            <w:tcW w:w="1440" w:type="dxa"/>
          </w:tcPr>
          <w:p w14:paraId="22AA031D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免费额度充足</w:t>
            </w:r>
          </w:p>
        </w:tc>
        <w:tc>
          <w:tcPr>
            <w:tcW w:w="1440" w:type="dxa"/>
          </w:tcPr>
          <w:p w14:paraId="32A9B3EE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 SSL</w:t>
            </w:r>
          </w:p>
        </w:tc>
        <w:tc>
          <w:tcPr>
            <w:tcW w:w="1440" w:type="dxa"/>
          </w:tcPr>
          <w:p w14:paraId="06307EB8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快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（国内边缘节点）</w:t>
            </w:r>
          </w:p>
        </w:tc>
        <w:tc>
          <w:tcPr>
            <w:tcW w:w="1440" w:type="dxa"/>
          </w:tcPr>
          <w:p w14:paraId="5B194AD7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w="1440" w:type="dxa"/>
          </w:tcPr>
          <w:p w14:paraId="40DB6DB8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国内用户、需快速上线、免备案</w:t>
            </w:r>
          </w:p>
        </w:tc>
      </w:tr>
      <w:tr w14:paraId="40307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711689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CloudBase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静态托管</w:t>
            </w:r>
          </w:p>
        </w:tc>
        <w:tc>
          <w:tcPr>
            <w:tcW w:w="1440" w:type="dxa"/>
          </w:tcPr>
          <w:p w14:paraId="648B6653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有免费额度</w:t>
            </w:r>
          </w:p>
        </w:tc>
        <w:tc>
          <w:tcPr>
            <w:tcW w:w="1440" w:type="dxa"/>
          </w:tcPr>
          <w:p w14:paraId="6B5DB5AC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支持免费证书</w:t>
            </w:r>
          </w:p>
        </w:tc>
        <w:tc>
          <w:tcPr>
            <w:tcW w:w="1440" w:type="dxa"/>
          </w:tcPr>
          <w:p w14:paraId="5EB463FE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w="1440" w:type="dxa"/>
          </w:tcPr>
          <w:p w14:paraId="14CB63A9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⭐⭐ 简单</w:t>
            </w:r>
          </w:p>
        </w:tc>
        <w:tc>
          <w:tcPr>
            <w:tcW w:w="1440" w:type="dxa"/>
          </w:tcPr>
          <w:p w14:paraId="574B9F03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国内业务、微信生态联动</w:t>
            </w:r>
          </w:p>
        </w:tc>
      </w:tr>
      <w:tr w14:paraId="28F09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A068D9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Netlify</w:t>
            </w:r>
          </w:p>
        </w:tc>
        <w:tc>
          <w:tcPr>
            <w:tcW w:w="1440" w:type="dxa"/>
          </w:tcPr>
          <w:p w14:paraId="58225009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  <w:tc>
          <w:tcPr>
            <w:tcW w:w="1440" w:type="dxa"/>
          </w:tcPr>
          <w:p w14:paraId="401857F8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自动通配符证书</w:t>
            </w:r>
          </w:p>
        </w:tc>
        <w:tc>
          <w:tcPr>
            <w:tcW w:w="1440" w:type="dxa"/>
          </w:tcPr>
          <w:p w14:paraId="03733F92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</w:t>
            </w:r>
          </w:p>
        </w:tc>
        <w:tc>
          <w:tcPr>
            <w:tcW w:w="1440" w:type="dxa"/>
          </w:tcPr>
          <w:p w14:paraId="6B05659D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w="1440" w:type="dxa"/>
          </w:tcPr>
          <w:p w14:paraId="7CB442D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海外用户、需要表单处理</w:t>
            </w:r>
          </w:p>
        </w:tc>
      </w:tr>
      <w:tr w14:paraId="67B0AC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1A120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Vercel</w:t>
            </w:r>
          </w:p>
        </w:tc>
        <w:tc>
          <w:tcPr>
            <w:tcW w:w="1440" w:type="dxa"/>
          </w:tcPr>
          <w:p w14:paraId="2D82BCFF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  <w:tc>
          <w:tcPr>
            <w:tcW w:w="1440" w:type="dxa"/>
          </w:tcPr>
          <w:p w14:paraId="77C8D08F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自动证书管理</w:t>
            </w:r>
          </w:p>
        </w:tc>
        <w:tc>
          <w:tcPr>
            <w:tcW w:w="1440" w:type="dxa"/>
          </w:tcPr>
          <w:p w14:paraId="78A8044A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（*.vercel.app 偶发不稳定）</w:t>
            </w:r>
          </w:p>
        </w:tc>
        <w:tc>
          <w:tcPr>
            <w:tcW w:w="1440" w:type="dxa"/>
          </w:tcPr>
          <w:p w14:paraId="355CF892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w="1440" w:type="dxa"/>
          </w:tcPr>
          <w:p w14:paraId="5E1888C1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前端框架项目、海外演示</w:t>
            </w:r>
          </w:p>
        </w:tc>
      </w:tr>
      <w:tr w14:paraId="78B22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6EEC10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OSS + CDN</w:t>
            </w:r>
          </w:p>
        </w:tc>
        <w:tc>
          <w:tcPr>
            <w:tcW w:w="1440" w:type="dxa"/>
          </w:tcPr>
          <w:p w14:paraId="0E15550E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按量计费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（存储+流量+请求）</w:t>
            </w:r>
          </w:p>
        </w:tc>
        <w:tc>
          <w:tcPr>
            <w:tcW w:w="1440" w:type="dxa"/>
          </w:tcPr>
          <w:p w14:paraId="06AE03CD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需配置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CDN 证书</w:t>
            </w:r>
          </w:p>
        </w:tc>
        <w:tc>
          <w:tcPr>
            <w:tcW w:w="1440" w:type="dxa"/>
          </w:tcPr>
          <w:p w14:paraId="16B51BF0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极快</w:t>
            </w:r>
          </w:p>
        </w:tc>
        <w:tc>
          <w:tcPr>
            <w:tcW w:w="1440" w:type="dxa"/>
          </w:tcPr>
          <w:p w14:paraId="48C118F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⭐⭐⭐ 较复杂</w:t>
            </w:r>
          </w:p>
        </w:tc>
        <w:tc>
          <w:tcPr>
            <w:tcW w:w="1440" w:type="dxa"/>
          </w:tcPr>
          <w:p w14:paraId="56D98F4F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企业官网、大流量、正式生产环境</w:t>
            </w:r>
          </w:p>
        </w:tc>
      </w:tr>
    </w:tbl>
    <w:p w14:paraId="55821EA1">
      <w:pPr>
        <w:spacing w:after="120" w:line="360" w:lineRule="auto"/>
        <w:jc w:val="left"/>
      </w:pPr>
      <w:r>
        <w:rPr>
          <w:rFonts w:ascii="宋体" w:hAnsi="宋体" w:eastAsia="宋体"/>
          <w:b w:val="0"/>
          <w:sz w:val="21"/>
        </w:rPr>
        <w:t>注：以上“免费”均指平台对个人/ Hobby 计划的基础免费额度；若后续流量显著增长，可考虑升级付费计划。</w:t>
      </w:r>
    </w:p>
    <w:p w14:paraId="0C55443F">
      <w:pPr>
        <w:pStyle w:val="3"/>
        <w:jc w:val="left"/>
      </w:pPr>
      <w:r>
        <w:rPr>
          <w:rFonts w:ascii="黑体" w:hAnsi="黑体" w:eastAsia="黑体"/>
          <w:b/>
          <w:sz w:val="32"/>
        </w:rPr>
        <w:t>四、针对本项目的推荐方案</w:t>
      </w:r>
    </w:p>
    <w:p w14:paraId="53AD5F6C">
      <w:pPr>
        <w:pStyle w:val="4"/>
        <w:jc w:val="left"/>
      </w:pPr>
      <w:r>
        <w:rPr>
          <w:rFonts w:ascii="黑体" w:hAnsi="黑体" w:eastAsia="黑体"/>
          <w:b/>
          <w:bCs/>
          <w:color w:val="C00000"/>
          <w:sz w:val="28"/>
          <w:highlight w:val="yellow"/>
        </w:rPr>
        <w:t>方案一（首推）：GitHub Pages —— 5 分钟极速上线</w:t>
      </w:r>
    </w:p>
    <w:p w14:paraId="2C4CA86D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若您的首要目标是“最快、零成本地让网站跑起来”，GitHub Pages 是最优选择。它背靠微软（GitHub），稳定性强，且与代码版本管理天然一体。</w:t>
      </w:r>
    </w:p>
    <w:p w14:paraId="6ED06ED1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 w14:paraId="749C9B9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完全免费，无需信用卡，仓库公开即可使用。</w:t>
      </w:r>
    </w:p>
    <w:p w14:paraId="0B78741C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自动 HTTPS：开启 Pages 后，平台自动颁发 Let's Encrypt 证书并强制 HTTPS，无需任何手动配置。</w:t>
      </w:r>
    </w:p>
    <w:p w14:paraId="270E8E6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支持自定义域名：可在仓库设置中绑定课题组域名（如 ffdp.cpu.edu.cn），证书同样自动管理。</w:t>
      </w:r>
    </w:p>
    <w:p w14:paraId="19327F13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内置 CI/CD：每次 git push 后自动重新部署，代码更新与网站同步。</w:t>
      </w:r>
    </w:p>
    <w:p w14:paraId="72EAFAC7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 w14:paraId="4666C72E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服务器位于海外，国内未翻墙环境下访问速度较慢（约 2–5 秒首屏加载）。</w:t>
      </w:r>
    </w:p>
    <w:p w14:paraId="72A9A59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仓库需设为 Public（私有仓库需付费升级）。</w:t>
      </w:r>
    </w:p>
    <w:p w14:paraId="3985C6D9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 w14:paraId="05F09EA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注册 GitHub 账号 → 新建仓库 → 上传 website/ 目录下所有文件 → 进入 Settings &gt; Pages → Source 选择 main 分支 / (root) 或 /docs → 保存后约 1–2 分钟即可通过 https://用户名.github.io/仓库名 访问。</w:t>
      </w:r>
    </w:p>
    <w:p w14:paraId="231C9DEF">
      <w:pPr>
        <w:pStyle w:val="4"/>
        <w:jc w:val="left"/>
      </w:pPr>
      <w:r>
        <w:rPr>
          <w:rFonts w:ascii="黑体" w:hAnsi="黑体" w:eastAsia="黑体"/>
          <w:b/>
          <w:sz w:val="28"/>
        </w:rPr>
        <w:t>方案二：腾讯云 EdgeOne Pages —— 国内访问友好的免费方案</w:t>
      </w:r>
    </w:p>
    <w:p w14:paraId="1BECD325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若您的汇报对象、评审专家或潜在合作方主要在国内，且希望获得比 GitHub Pages 更流畅的访问体验，腾讯云于 2024 年推出的 EdgeOne Pages 是极具性价比的替代方案。</w:t>
      </w:r>
    </w:p>
    <w:p w14:paraId="53487254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 w14:paraId="1F8E6469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免费额度对个人/学术项目基本够用。</w:t>
      </w:r>
    </w:p>
    <w:p w14:paraId="20309728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依托腾讯云国内边缘节点，国内访问延迟显著低于纯海外平台。</w:t>
      </w:r>
    </w:p>
    <w:p w14:paraId="751FEF89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自动 SSL：绑定域名后自动颁发并续期 HTTPS 证书。</w:t>
      </w:r>
    </w:p>
    <w:p w14:paraId="0FBF0C62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支持 Git 自动部署：绑定 GitHub 仓库后，push 代码即自动构建。</w:t>
      </w:r>
    </w:p>
    <w:p w14:paraId="79577850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 w14:paraId="31BA4E8A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若使用自定义域名（如 .cn 域名），仍需按工信部规定完成 ICP 备案。</w:t>
      </w:r>
    </w:p>
    <w:p w14:paraId="7829827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平台推出时间较短，文档生态不如 GitHub Pages 成熟。</w:t>
      </w:r>
    </w:p>
    <w:p w14:paraId="47B9B656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 w14:paraId="73E2463E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访问 console.tencentcloud.com/edgeone/pages → 使用微信/QQ/邮箱注册并实名认证 → 绑定 GitHub 仓库 → 选择项目（framework 选“Other/Static”）→ 点击部署 → 约 2 分钟后获得 https://随机前缀.edgeone.app 域名。</w:t>
      </w:r>
    </w:p>
    <w:p w14:paraId="4D9838F2">
      <w:pPr>
        <w:pStyle w:val="4"/>
        <w:jc w:val="left"/>
      </w:pPr>
      <w:r>
        <w:rPr>
          <w:rFonts w:ascii="黑体" w:hAnsi="黑体" w:eastAsia="黑体"/>
          <w:b/>
          <w:sz w:val="28"/>
        </w:rPr>
        <w:t>方案三：Netlify / Vercel —— 海外平台双雄</w:t>
      </w:r>
    </w:p>
    <w:p w14:paraId="2AD3593E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这两个平台是国际开发者社区部署静态网站的事实标准，功能极其丰富，但在国内访问稳定性上略逊一筹。</w:t>
      </w:r>
    </w:p>
    <w:p w14:paraId="01E2EA20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 w14:paraId="7D8F0413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拖拽上传：无需 Git 仓库，直接把 website/ 文件夹拖入浏览器即可完成部署。</w:t>
      </w:r>
    </w:p>
    <w:p w14:paraId="594A7370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自动 HTTPS、分支预览、表单处理、Serverless Functions 等功能一应俱全。</w:t>
      </w:r>
    </w:p>
    <w:p w14:paraId="59D415FA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 w14:paraId="2B829613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Vercel 的默认域名 *.vercel.app 在国内存在间歇性访问受阻的情况；Netlify 的默认域名 *.netlify.app 相对稳定，但速度仍一般。</w:t>
      </w:r>
    </w:p>
    <w:p w14:paraId="3D3CF6B0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建议绑定自定义域名（如海外注册的 .com 域名）以提升稳定性。</w:t>
      </w:r>
    </w:p>
    <w:p w14:paraId="73766B65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 w14:paraId="7C51DEE4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以 Netlify 为例：注册账号 → 进入 Sites → Drag and drop 上传 website/ 文件夹 → 约 1 分钟后获得 https://随机字符.netlify.app。</w:t>
      </w:r>
    </w:p>
    <w:p w14:paraId="5CA0C642">
      <w:pPr>
        <w:pStyle w:val="4"/>
        <w:jc w:val="left"/>
      </w:pPr>
      <w:r>
        <w:rPr>
          <w:rFonts w:ascii="黑体" w:hAnsi="黑体" w:eastAsia="黑体"/>
          <w:b/>
          <w:sz w:val="28"/>
        </w:rPr>
        <w:t>方案四：阿里云 OSS + CDN —— 企业级国内部署</w:t>
      </w:r>
    </w:p>
    <w:p w14:paraId="261218D5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若本项目后续有商业化转化、大流量推广或正式科研成果发布的需求，建议采用国内云厂商的对象存储（OSS）配合 CDN 加速方案。</w:t>
      </w:r>
    </w:p>
    <w:p w14:paraId="0A4C68F7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 w14:paraId="56A66DBB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国内访问速度极快，SLA 保障高。</w:t>
      </w:r>
    </w:p>
    <w:p w14:paraId="0FD8586A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可按需配置缓存策略、防盗链、访问日志等企业级功能。</w:t>
      </w:r>
    </w:p>
    <w:p w14:paraId="0DDD1330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 w14:paraId="5840A222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需付费：包含存储费、CDN 流量费、HTTPS 请求费、回源流量费，月均成本约 10–50 元（视访问量而定）。</w:t>
      </w:r>
    </w:p>
    <w:p w14:paraId="232F640A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配置链路长：需分别开通 OSS、购买域名、ICP 备案、配置 CDN、绑定 SSL 证书，全流程约 3–7 个工作日。</w:t>
      </w:r>
    </w:p>
    <w:p w14:paraId="4D61B994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无内置 Git 自动部署，需手动上传或通过 GitHub Actions 同步。</w:t>
      </w:r>
    </w:p>
    <w:p w14:paraId="28BD8A01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 w14:paraId="15225A34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开通阿里云 OSS → 创建 Bucket 并开启“静态网站托管” → 上传文件 → 购买域名并完成 ICP 备案 → 开通全站加速 DCDN → 在 DCDN 中配置 HTTPS 免费证书 → 绑定域名并添加 CNAME 解析 → 完成。</w:t>
      </w:r>
    </w:p>
    <w:p w14:paraId="55E7CB82">
      <w:pPr>
        <w:pStyle w:val="3"/>
        <w:jc w:val="left"/>
      </w:pPr>
      <w:r>
        <w:rPr>
          <w:rFonts w:ascii="黑体" w:hAnsi="黑体" w:eastAsia="黑体"/>
          <w:b/>
          <w:sz w:val="32"/>
        </w:rPr>
        <w:t>五、域名购买与 ICP 备案说明</w:t>
      </w:r>
    </w:p>
    <w:p w14:paraId="2E6F790D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若您仅使用平台提供的二级域名（如 xxx.github.io、xxx.edgeone.app），则无需购买域名，也无需备案。但若希望使用更专业的自定义域名（如 ffdp-cpu.com 或 ffdp.cpu.edu.cn），则需了解以下规则：</w:t>
      </w:r>
    </w:p>
    <w:p w14:paraId="1EA2873C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1. 域名购买渠道</w:t>
      </w:r>
    </w:p>
    <w:p w14:paraId="704D185F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国内注册商：阿里云万网、腾讯云 DNSPod、华为云，价格约 30–80 元/年（.cn / .com.cn 域名）。</w:t>
      </w:r>
    </w:p>
    <w:p w14:paraId="244EF266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海外注册商：Namecheap、Google Domains、Cloudflare Registrar，价格约 10–15 美元/年（.com 域名）。</w:t>
      </w:r>
    </w:p>
    <w:p w14:paraId="117EC69A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2. ICP 备案规则（中国大陆法律法规）</w:t>
      </w:r>
    </w:p>
    <w:p w14:paraId="3C5B6DF8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若域名解析到国内服务器/国内 CDN 节点（如阿里云 OSS、腾讯云 COS、EdgeOne Pages 自定义域名），必须进行 ICP 备案，周期约 7–20 个工作日。</w:t>
      </w:r>
    </w:p>
    <w:p w14:paraId="6BFBCA97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若域名解析到海外平台（如 GitHub Pages、Netlify、Vercel），则无需备案。</w:t>
      </w:r>
    </w:p>
    <w:p w14:paraId="759E9AAA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学术建议：如仅需小范围汇报与评审，可优先使用平台默认二级域名，完全规避备案流程；如确需自定义域名且面向国内公众，建议通过学校网络中心申请二级域名（如 xxx.cpu.edu.cn），通常由学校统一备案，个人流程大幅简化。</w:t>
      </w:r>
    </w:p>
    <w:p w14:paraId="11A4BDE6">
      <w:pPr>
        <w:pStyle w:val="3"/>
        <w:jc w:val="left"/>
      </w:pPr>
      <w:r>
        <w:rPr>
          <w:rFonts w:ascii="黑体" w:hAnsi="黑体" w:eastAsia="黑体"/>
          <w:b/>
          <w:sz w:val="32"/>
        </w:rPr>
        <w:t>六、分阶段实施建议</w:t>
      </w:r>
    </w:p>
    <w:p w14:paraId="69F99E1C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结合学术项目的实际需求，建议按以下三阶段推进：</w:t>
      </w:r>
    </w:p>
    <w:p w14:paraId="3BF6FD62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第一阶段：快速上线（本周内，零成本）</w:t>
      </w:r>
    </w:p>
    <w:p w14:paraId="3F52840A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选择 GitHub Pages 或腾讯云 EdgeOne Pages。</w:t>
      </w:r>
    </w:p>
    <w:p w14:paraId="275E5D5D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使用平台默认的 HTTPS 二级域名。</w:t>
      </w:r>
    </w:p>
    <w:p w14:paraId="13250FE2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目标：让导师、评审专家能够通过链接直接访问网站，验证功能与交互。</w:t>
      </w:r>
    </w:p>
    <w:p w14:paraId="4FFD0ACA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第二阶段：国内加速与品牌美化（1–2 个月内）</w:t>
      </w:r>
    </w:p>
    <w:p w14:paraId="04F15340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若访问反馈以国内用户为主，将托管平台迁移至腾讯云 CloudBase / EdgeOne Pages。</w:t>
      </w:r>
    </w:p>
    <w:p w14:paraId="64379D12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申请课题组专属域名（建议通过学校申请 cpu.edu.cn 二级域名，或使用 .cn 域名并完成备案）。</w:t>
      </w:r>
    </w:p>
    <w:p w14:paraId="54D26ED9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配置自定义域名 HTTPS，替换所有页面中的本地绝对路径为相对路径。</w:t>
      </w:r>
    </w:p>
    <w:p w14:paraId="40312075">
      <w:pPr>
        <w:spacing w:after="120" w:line="360" w:lineRule="auto"/>
        <w:jc w:val="left"/>
      </w:pPr>
      <w:r>
        <w:rPr>
          <w:rFonts w:ascii="宋体" w:hAnsi="宋体" w:eastAsia="宋体"/>
          <w:b/>
          <w:sz w:val="21"/>
        </w:rPr>
        <w:t>第三阶段：正式运营与持续集成（长期）</w:t>
      </w:r>
    </w:p>
    <w:p w14:paraId="08ABF69F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若平台需要承载高并发访问（如课程教学、公众查询），升级至阿里云 OSS + DCDN 或腾讯云 COS + CDN。</w:t>
      </w:r>
    </w:p>
    <w:p w14:paraId="0065C88B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接入 GitHub Actions 实现“代码提交 → 自动构建 → 自动部署到国内云”的完整 DevOps 链路。</w:t>
      </w:r>
    </w:p>
    <w:p w14:paraId="792D0BA9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定期备份 data.js 中的核心数据，防止误操作导致数据丢失。</w:t>
      </w:r>
    </w:p>
    <w:p w14:paraId="3EBA79A7">
      <w:pPr>
        <w:pStyle w:val="3"/>
        <w:jc w:val="left"/>
      </w:pPr>
      <w:r>
        <w:rPr>
          <w:rFonts w:ascii="黑体" w:hAnsi="黑体" w:eastAsia="黑体"/>
          <w:b/>
          <w:sz w:val="32"/>
        </w:rPr>
        <w:t>七、针对本项目的特别注意事项</w:t>
      </w:r>
    </w:p>
    <w:p w14:paraId="2B1D531E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路径问题：当前 index.html 中部分资源引用使用了相对路径（如 ../ysty1/图片信息/xxx.png）。部署前请确保所有静态资源（图片、CSS、JS）均在 website/ 目录内或可通过相对路径正确访问；若存在跨目录引用，建议统一整理到 website/assets/ 下，避免线上 404。</w:t>
      </w:r>
    </w:p>
    <w:p w14:paraId="2AC8EFEC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数据安全：data.js 中包含了 mockData 模拟数据，目前为前端明文加载。若后续涉及真实实验数据或隐私信息，需将敏感接口迁移至后端 API，避免直接暴露在前端脚本中。</w:t>
      </w:r>
    </w:p>
    <w:p w14:paraId="540A1515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浏览器兼容性：当前代码使用了较多现代 CSS（grid、flex、CSS 变量）与 ES6 语法，在 Chrome/Edge/Firefox/Safari 新版中表现良好；如需支持 IE11，需额外引入 polyfill 或降级处理。</w:t>
      </w:r>
    </w:p>
    <w:p w14:paraId="2818E20B">
      <w:pPr>
        <w:pStyle w:val="16"/>
        <w:spacing w:after="80" w:line="360" w:lineRule="auto"/>
      </w:pPr>
      <w:r>
        <w:rPr>
          <w:rFonts w:ascii="宋体" w:hAnsi="宋体" w:eastAsia="宋体"/>
          <w:b w:val="0"/>
          <w:sz w:val="21"/>
        </w:rPr>
        <w:t>移动端适配：代码已包含移动端底部导航栏（mobile-nav）与响应式布局（@media），部署后建议在不同尺寸手机上进行实测。</w:t>
      </w:r>
    </w:p>
    <w:p w14:paraId="59971BE5">
      <w:pPr>
        <w:pStyle w:val="3"/>
        <w:jc w:val="left"/>
      </w:pPr>
      <w:r>
        <w:rPr>
          <w:rFonts w:ascii="黑体" w:hAnsi="黑体" w:eastAsia="黑体"/>
          <w:b/>
          <w:sz w:val="32"/>
        </w:rPr>
        <w:t>八、费用预估汇总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93E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3DF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w="2160" w:type="dxa"/>
          </w:tcPr>
          <w:p w14:paraId="27E55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首年费用</w:t>
            </w:r>
          </w:p>
        </w:tc>
        <w:tc>
          <w:tcPr>
            <w:tcW w:w="2160" w:type="dxa"/>
          </w:tcPr>
          <w:p w14:paraId="380359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续费（年）</w:t>
            </w:r>
          </w:p>
        </w:tc>
        <w:tc>
          <w:tcPr>
            <w:tcW w:w="2160" w:type="dxa"/>
          </w:tcPr>
          <w:p w14:paraId="570635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2DFA4A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4EE083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GitHub Pages（默认域名）</w:t>
            </w:r>
          </w:p>
        </w:tc>
        <w:tc>
          <w:tcPr>
            <w:tcW w:w="2160" w:type="dxa"/>
          </w:tcPr>
          <w:p w14:paraId="55241D60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0 元</w:t>
            </w:r>
          </w:p>
        </w:tc>
        <w:tc>
          <w:tcPr>
            <w:tcW w:w="2160" w:type="dxa"/>
          </w:tcPr>
          <w:p w14:paraId="64E2478B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0 元</w:t>
            </w:r>
          </w:p>
        </w:tc>
        <w:tc>
          <w:tcPr>
            <w:tcW w:w="2160" w:type="dxa"/>
          </w:tcPr>
          <w:p w14:paraId="44464A92">
            <w:pPr>
              <w:spacing w:after="0" w:line="360" w:lineRule="auto"/>
              <w:jc w:val="center"/>
              <w:rPr>
                <w:b/>
                <w:bCs/>
                <w:color w:val="C00000"/>
                <w:highlight w:val="yellow"/>
              </w:rPr>
            </w:pPr>
            <w:r>
              <w:rPr>
                <w:rFonts w:ascii="宋体" w:hAnsi="宋体" w:eastAsia="宋体"/>
                <w:b/>
                <w:bCs/>
                <w:color w:val="C00000"/>
                <w:sz w:val="20"/>
                <w:highlight w:val="yellow"/>
              </w:rPr>
              <w:t>完全免费</w:t>
            </w:r>
          </w:p>
        </w:tc>
      </w:tr>
      <w:tr w14:paraId="7F0226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BE7623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 EdgeOne Pages（默认域名）</w:t>
            </w:r>
          </w:p>
        </w:tc>
        <w:tc>
          <w:tcPr>
            <w:tcW w:w="2160" w:type="dxa"/>
          </w:tcPr>
          <w:p w14:paraId="62DD2E22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w="2160" w:type="dxa"/>
          </w:tcPr>
          <w:p w14:paraId="1A888D48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w="2160" w:type="dxa"/>
          </w:tcPr>
          <w:p w14:paraId="37857911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个人免费额度内</w:t>
            </w:r>
          </w:p>
        </w:tc>
      </w:tr>
      <w:tr w14:paraId="4615C2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BE2096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Netlify / Vercel（默认域名）</w:t>
            </w:r>
          </w:p>
        </w:tc>
        <w:tc>
          <w:tcPr>
            <w:tcW w:w="2160" w:type="dxa"/>
          </w:tcPr>
          <w:p w14:paraId="2EBAE5A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w="2160" w:type="dxa"/>
          </w:tcPr>
          <w:p w14:paraId="63186477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w="2160" w:type="dxa"/>
          </w:tcPr>
          <w:p w14:paraId="6374F175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</w:tr>
      <w:tr w14:paraId="47252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4262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 .cn 域名</w:t>
            </w:r>
          </w:p>
        </w:tc>
        <w:tc>
          <w:tcPr>
            <w:tcW w:w="2160" w:type="dxa"/>
          </w:tcPr>
          <w:p w14:paraId="04617B38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30–50 元</w:t>
            </w:r>
          </w:p>
        </w:tc>
        <w:tc>
          <w:tcPr>
            <w:tcW w:w="2160" w:type="dxa"/>
          </w:tcPr>
          <w:p w14:paraId="27ECC204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30–50 元</w:t>
            </w:r>
          </w:p>
        </w:tc>
        <w:tc>
          <w:tcPr>
            <w:tcW w:w="2160" w:type="dxa"/>
          </w:tcPr>
          <w:p w14:paraId="1416F15B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阿里云/腾讯云新用户首年常有优惠</w:t>
            </w:r>
          </w:p>
        </w:tc>
      </w:tr>
      <w:tr w14:paraId="7DDE57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45677A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 OSS + CDN（小流量）</w:t>
            </w:r>
          </w:p>
        </w:tc>
        <w:tc>
          <w:tcPr>
            <w:tcW w:w="2160" w:type="dxa"/>
          </w:tcPr>
          <w:p w14:paraId="6669522C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0–10 元/月</w:t>
            </w:r>
          </w:p>
        </w:tc>
        <w:tc>
          <w:tcPr>
            <w:tcW w:w="2160" w:type="dxa"/>
          </w:tcPr>
          <w:p w14:paraId="51ABCC60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10–50 元/月</w:t>
            </w:r>
          </w:p>
        </w:tc>
        <w:tc>
          <w:tcPr>
            <w:tcW w:w="2160" w:type="dxa"/>
          </w:tcPr>
          <w:p w14:paraId="618B6F67">
            <w:pPr>
              <w:spacing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按量计费，访问量决定成本</w:t>
            </w:r>
          </w:p>
        </w:tc>
      </w:tr>
    </w:tbl>
    <w:p w14:paraId="3ADB3B0E">
      <w:pPr>
        <w:pStyle w:val="3"/>
        <w:jc w:val="left"/>
      </w:pPr>
      <w:r>
        <w:rPr>
          <w:rFonts w:ascii="黑体" w:hAnsi="黑体" w:eastAsia="黑体"/>
          <w:b/>
          <w:sz w:val="32"/>
        </w:rPr>
        <w:t>九、结论</w:t>
      </w:r>
    </w:p>
    <w:p w14:paraId="4F611DDF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对于“食药物质功能食品组分结构与组方设计研发系统”这类学术型静态网站，建议采用“两步走”策略：第一步使用 GitHub Pages 或腾讯云 EdgeOne Pages 在本周内完成免费上线，获得可对外展示的 https:// 链接；第二步根据实际访问场景与学校信息化政策，决定是否购买域名、完成备案并迁移至国内云厂商的 OSS+CDN 架构。整个第一阶段的操作门槛极低，无需服务器运维知识，预计耗时 30 分钟以内即可完成。</w:t>
      </w:r>
    </w:p>
    <w:p w14:paraId="28707338">
      <w:pPr>
        <w:spacing w:after="120" w:line="360" w:lineRule="auto"/>
        <w:ind w:firstLine="504"/>
        <w:jc w:val="left"/>
      </w:pPr>
      <w:r>
        <w:rPr>
          <w:rFonts w:ascii="宋体" w:hAnsi="宋体" w:eastAsia="宋体"/>
          <w:b w:val="0"/>
          <w:sz w:val="21"/>
        </w:rPr>
        <w:t>如需进一步协助（如编写 GitHub Actions 自动部署脚本、配置腾讯云 CDN、或申请学校二级域名），请随时告知。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A7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2907</Words>
  <Characters>3898</Characters>
  <Lines>0</Lines>
  <Paragraphs>0</Paragraphs>
  <TotalTime>110</TotalTime>
  <ScaleCrop>false</ScaleCrop>
  <LinksUpToDate>false</LinksUpToDate>
  <CharactersWithSpaces>4204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天圆地方</cp:lastModifiedBy>
  <dcterms:modified xsi:type="dcterms:W3CDTF">2026-09-15T13:32:45Z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eyJoZGlkIjoiNDc4NmZkY2YyMTdiYmU0ZWY1ODU0YTlmY2M1MmYzOGYiLCJ1c2VySWQiOiIzMDk5NTY1OTMifQ==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ED21E49BB069496797C158FE69FF3106_12</vt:lpwstr>
  </property>
</Properties>
</file>