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Times New Roman" w:hAnsi="Times New Roman" w:eastAsia="Times New Roman" w:cs="Times New Roman"/>
          <w:b/>
          <w:sz w:val="32"/>
        </w:rPr>
        <w:t>LLM-assisted Multi-layer Scenario Safety Constraint Identification module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Construction of the EOS-STPA model for lane-change scenarios</w:t>
      </w:r>
    </w:p>
    <w:p>
      <w:pPr>
        <w:spacing w:after="100" w:line="252" w:lineRule="auto"/>
        <w:jc w:val="both"/>
      </w:pPr>
      <w:r>
        <w:rPr>
          <w:rFonts w:ascii="Times New Roman" w:hAnsi="Times New Roman" w:eastAsia="Times New Roman" w:cs="Times New Roman"/>
          <w:sz w:val="19"/>
        </w:rPr>
        <w:t>Based on the three-layer ICM/SRM/CSM model, the system-level losses and scenario-level hazard events are defined by experts, as listed in Tables 1 and 2, respectively.</w:t>
      </w:r>
    </w:p>
    <w:p>
      <w:pPr>
        <w:keepNext/>
        <w:spacing w:before="120" w:after="20"/>
      </w:pPr>
      <w:r>
        <w:rPr>
          <w:rFonts w:ascii="Times New Roman" w:hAnsi="Times New Roman" w:eastAsia="Times New Roman" w:cs="Times New Roman"/>
          <w:b/>
          <w:sz w:val="20"/>
        </w:rPr>
        <w:t>Table 1</w:t>
      </w:r>
    </w:p>
    <w:p>
      <w:pPr>
        <w:keepNext/>
        <w:spacing w:after="60"/>
      </w:pPr>
      <w:r>
        <w:rPr>
          <w:rFonts w:ascii="Times New Roman" w:hAnsi="Times New Roman" w:eastAsia="Times New Roman" w:cs="Times New Roman"/>
          <w:i/>
          <w:sz w:val="20"/>
        </w:rPr>
        <w:t>Definitions of losses for lane-change scenarios.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2100"/>
        <w:gridCol w:w="4100"/>
        <w:gridCol w:w="8344"/>
      </w:tblGrid>
      <w:tr>
        <w:trPr>
          <w:cantSplit/>
          <w:trHeight w:hRule="auto"/>
          <w:tblHeader w:val="true"/>
        </w:trPr>
        <w:tc>
          <w:tcPr>
            <w:tcW w:type="dxa" w:w="2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Loss ID</w:t>
            </w:r>
          </w:p>
        </w:tc>
        <w:tc>
          <w:tcPr>
            <w:tcW w:type="dxa" w:w="4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Description</w:t>
            </w:r>
          </w:p>
        </w:tc>
        <w:tc>
          <w:tcPr>
            <w:tcW w:type="dxa" w:w="83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Interpretation</w:t>
            </w:r>
          </w:p>
        </w:tc>
      </w:tr>
      <w:tr>
        <w:trPr>
          <w:cantSplit/>
          <w:trHeight w:hRule="auto"/>
        </w:trPr>
        <w:tc>
          <w:tcPr>
            <w:tcW w:type="dxa" w:w="2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L-1</w:t>
            </w:r>
          </w:p>
        </w:tc>
        <w:tc>
          <w:tcPr>
            <w:tcW w:type="dxa" w:w="4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Personal injury</w:t>
            </w:r>
          </w:p>
        </w:tc>
        <w:tc>
          <w:tcPr>
            <w:tcW w:type="dxa" w:w="83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Personal injury or fatality</w:t>
            </w:r>
          </w:p>
        </w:tc>
      </w:tr>
      <w:tr>
        <w:trPr>
          <w:cantSplit/>
          <w:trHeight w:hRule="auto"/>
        </w:trPr>
        <w:tc>
          <w:tcPr>
            <w:tcW w:type="dxa" w:w="2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L-2</w:t>
            </w:r>
          </w:p>
        </w:tc>
        <w:tc>
          <w:tcPr>
            <w:tcW w:type="dxa" w:w="4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Vehicle losses</w:t>
            </w:r>
          </w:p>
        </w:tc>
        <w:tc>
          <w:tcPr>
            <w:tcW w:type="dxa" w:w="83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Vehicle damage or loss</w:t>
            </w:r>
          </w:p>
        </w:tc>
      </w:tr>
      <w:tr>
        <w:trPr>
          <w:cantSplit/>
          <w:trHeight w:hRule="auto"/>
        </w:trPr>
        <w:tc>
          <w:tcPr>
            <w:tcW w:type="dxa" w:w="2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L-3</w:t>
            </w:r>
          </w:p>
        </w:tc>
        <w:tc>
          <w:tcPr>
            <w:tcW w:type="dxa" w:w="41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Mission failed</w:t>
            </w:r>
          </w:p>
        </w:tc>
        <w:tc>
          <w:tcPr>
            <w:tcW w:type="dxa" w:w="83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Mission failure</w:t>
            </w:r>
          </w:p>
        </w:tc>
      </w:tr>
    </w:tbl>
    <w:p>
      <w:pPr>
        <w:spacing w:after="0"/>
      </w:pPr>
    </w:p>
    <w:p>
      <w:pPr>
        <w:keepNext/>
        <w:spacing w:before="120" w:after="20"/>
      </w:pPr>
      <w:r>
        <w:rPr>
          <w:rFonts w:ascii="Times New Roman" w:hAnsi="Times New Roman" w:eastAsia="Times New Roman" w:cs="Times New Roman"/>
          <w:b/>
          <w:sz w:val="20"/>
        </w:rPr>
        <w:t>Table 2</w:t>
      </w:r>
    </w:p>
    <w:p>
      <w:pPr>
        <w:keepNext/>
        <w:spacing w:after="60"/>
      </w:pPr>
      <w:r>
        <w:rPr>
          <w:rFonts w:ascii="Times New Roman" w:hAnsi="Times New Roman" w:eastAsia="Times New Roman" w:cs="Times New Roman"/>
          <w:i/>
          <w:sz w:val="20"/>
        </w:rPr>
        <w:t>System-level hazards for lane-change scenarios and their related losses.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800"/>
        <w:gridCol w:w="8500"/>
        <w:gridCol w:w="4244"/>
      </w:tblGrid>
      <w:tr>
        <w:trPr>
          <w:cantSplit/>
          <w:trHeight w:hRule="auto"/>
          <w:tblHeader w:val="true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Hazard ID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Description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Related Losses</w:t>
            </w:r>
          </w:p>
        </w:tc>
      </w:tr>
      <w:tr>
        <w:trPr>
          <w:cantSplit/>
          <w:trHeight w:hRule="auto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H-1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Collision with target-lane vehicle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L-1, L-2, L-3</w:t>
            </w:r>
          </w:p>
        </w:tc>
      </w:tr>
      <w:tr>
        <w:trPr>
          <w:cantSplit/>
          <w:trHeight w:hRule="auto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H-2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Collision with obstacles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L-1, L-2, L-3</w:t>
            </w:r>
          </w:p>
        </w:tc>
      </w:tr>
      <w:tr>
        <w:trPr>
          <w:cantSplit/>
          <w:trHeight w:hRule="auto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H-3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Driving out of lane or entering unintended lane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L-3</w:t>
            </w:r>
          </w:p>
        </w:tc>
      </w:tr>
      <w:tr>
        <w:trPr>
          <w:cantSplit/>
          <w:trHeight w:hRule="auto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H-4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Rear-ended by vehicle in current/target lane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L-1, L-2, L-3</w:t>
            </w:r>
          </w:p>
        </w:tc>
      </w:tr>
      <w:tr>
        <w:trPr>
          <w:cantSplit/>
          <w:trHeight w:hRule="auto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H-5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Collision with facilities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L-1, L-2, L-3</w:t>
            </w:r>
          </w:p>
        </w:tc>
      </w:tr>
      <w:tr>
        <w:trPr>
          <w:cantSplit/>
          <w:trHeight w:hRule="auto"/>
        </w:trPr>
        <w:tc>
          <w:tcPr>
            <w:tcW w:type="dxa" w:w="18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H-6</w:t>
            </w:r>
          </w:p>
        </w:tc>
        <w:tc>
          <w:tcPr>
            <w:tcW w:type="dxa" w:w="8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Collision with other vehicles (e.g., motorcycles, etc.)</w:t>
            </w:r>
          </w:p>
        </w:tc>
        <w:tc>
          <w:tcPr>
            <w:tcW w:type="dxa" w:w="42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L-1, L-2, L-3</w:t>
            </w:r>
          </w:p>
        </w:tc>
      </w:tr>
    </w:tbl>
    <w:p>
      <w:pPr>
        <w:spacing w:after="0"/>
      </w:pPr>
    </w:p>
    <w:p>
      <w:pPr>
        <w:spacing w:after="100" w:line="252" w:lineRule="auto"/>
        <w:jc w:val="both"/>
      </w:pPr>
      <w:r>
        <w:rPr>
          <w:rFonts w:ascii="Times New Roman" w:hAnsi="Times New Roman" w:eastAsia="Times New Roman" w:cs="Times New Roman"/>
          <w:sz w:val="19"/>
        </w:rPr>
        <w:t>Based on the predefined system-level losses and hazard events, an expert-led EOS-STPA analysis was conducted for autonomous lane-change scenarios. A set of scenario-specific UCAs and their corresponding SSCs were thereby identified, as summarized in Tables 3 and 4.</w:t>
      </w:r>
    </w:p>
    <w:p>
      <w:pPr>
        <w:keepNext/>
        <w:spacing w:before="120" w:after="20"/>
      </w:pPr>
      <w:r>
        <w:rPr>
          <w:rFonts w:ascii="Times New Roman" w:hAnsi="Times New Roman" w:eastAsia="Times New Roman" w:cs="Times New Roman"/>
          <w:b/>
          <w:sz w:val="20"/>
        </w:rPr>
        <w:t>Table 3</w:t>
      </w:r>
    </w:p>
    <w:p>
      <w:pPr>
        <w:keepNext/>
        <w:spacing w:after="60"/>
      </w:pPr>
      <w:r>
        <w:rPr>
          <w:rFonts w:ascii="Times New Roman" w:hAnsi="Times New Roman" w:eastAsia="Times New Roman" w:cs="Times New Roman"/>
          <w:i/>
          <w:sz w:val="20"/>
        </w:rPr>
        <w:t>Baseline UCAs identified by expert-led EOS-STPA analysis for lane-change scenarios (predicates and guidewords are italicized).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200"/>
        <w:gridCol w:w="10500"/>
        <w:gridCol w:w="2844"/>
      </w:tblGrid>
      <w:tr>
        <w:trPr>
          <w:cantSplit/>
          <w:trHeight w:hRule="auto"/>
          <w:tblHeader w:val="true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UCA ID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Related Hazards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Environment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bad weather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leading to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obstructed vision.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H-2, H-3, H-4, H-5,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UCA-2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Sensor feedback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unable to recognize obstacles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in any context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H-2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UCA-3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Road level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complex geometric structures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in any context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H-2, H-3, H-4, H-5,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UCA-4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Road level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blurred lane boundaries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in any context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H-3, H-5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UCA-5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Traffic infrastructure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a late red light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braking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required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UCA-6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Traffic infrastructure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does not provide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a red light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 braking is required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UCA-7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Traffic infrastructure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an early green light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braking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should be maintained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UCA-8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Traffic infrastructure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guidance information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an incorrect order.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H-2, H-3, H-4, H-5,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UCA-9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Traffic infrastructure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does not provide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guidance information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environment perception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unavailable or incorrect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H-3, H-5,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UCA-10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Traffic infrastructure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does not provide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facility information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environment perception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unavailable or incorrect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H-2, H-3, H-5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UCA-11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Incorrect relative distance information to target-lane vehicles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detected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H-3, H-4,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UCA-12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No information of target-lane vehicles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detected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H-3, H-4,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UCA-13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Wrong information of target-lane vehicles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detected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H-3, H-4,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UCA-14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HV initiates steering for lane change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the turn signal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not activated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H-3, H-4,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UCA-15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Target-lane vehicles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do not provide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feedback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steering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initiated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H-3, H-4, H-6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UCA-16</w:t>
            </w:r>
          </w:p>
        </w:tc>
        <w:tc>
          <w:tcPr>
            <w:tcW w:type="dxa" w:w="105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Target-lane vehicles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provide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incorrect feedback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steering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is initiated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284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H-1, H-3, H-4, H-6</w:t>
            </w:r>
          </w:p>
        </w:tc>
      </w:tr>
    </w:tbl>
    <w:p>
      <w:pPr>
        <w:spacing w:after="0"/>
      </w:pPr>
    </w:p>
    <w:p>
      <w:pPr>
        <w:keepNext/>
        <w:spacing w:before="120" w:after="20"/>
      </w:pPr>
      <w:r>
        <w:rPr>
          <w:rFonts w:ascii="Times New Roman" w:hAnsi="Times New Roman" w:eastAsia="Times New Roman" w:cs="Times New Roman"/>
          <w:b/>
          <w:sz w:val="20"/>
        </w:rPr>
        <w:t>Table 4</w:t>
      </w:r>
    </w:p>
    <w:p>
      <w:pPr>
        <w:keepNext/>
        <w:spacing w:after="60"/>
      </w:pPr>
      <w:r>
        <w:rPr>
          <w:rFonts w:ascii="Times New Roman" w:hAnsi="Times New Roman" w:eastAsia="Times New Roman" w:cs="Times New Roman"/>
          <w:i/>
          <w:sz w:val="20"/>
        </w:rPr>
        <w:t>Baseline SSCs derived from expert-identified UCAs using EOS-STPA.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200"/>
        <w:gridCol w:w="11150"/>
        <w:gridCol w:w="2194"/>
      </w:tblGrid>
      <w:tr>
        <w:trPr>
          <w:cantSplit/>
          <w:trHeight w:hRule="auto"/>
          <w:tblHeader w:val="true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SSC ID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Scenario Safety Constraint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Related UCA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be vision-obstructed or unable to recognize objects when adverse weather conditions are present.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SSC-2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be unable to recognize obstacles.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UCA-2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SSC-3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exceed cognitive limits when complex road geometries are present.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UCA-3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SSC-4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be unable to recognize lane boundaries when road boundaries are blurred.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UCA-4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SSC-5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Vehicle action shall be braking when a late red light is provided by traffic infrastructure.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UCA-5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SSC-6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Vehicle action shall be braking when a red light is provided by traffic infrastructure.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UCA-6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SSC-7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Vehicle action shall not be acceleration when an early green light is provided and braking should be maintained.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UCA-7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SSC-8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HV shall enter a safe state when guidance information is provided in an incorrect order.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UCA-8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SSC-9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be unavailable or incorrect when traffic infrastructure does not provide guidance information.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UCA-9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SSC-10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be unavailable or incorrect when traffic infrastructure does not provide facility information.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UCA-10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SSC-11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provide incorrect distance information when the turn signal is activated.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UCA-11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SSC-12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fail to detect target-lane vehicle information when the turn signal is activated.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UCA-12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SSC-13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provide incorrect target-lane vehicle information when the turn signal is activated.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UCA-13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SSC-14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Vehicle action shall not be steering when the turn signal is not activated.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UCA-14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SSC-15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fail to detect target-lane vehicles' responses when steering is initiated.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UCA-15</w:t>
            </w:r>
          </w:p>
        </w:tc>
      </w:tr>
      <w:tr>
        <w:trPr>
          <w:cantSplit/>
          <w:trHeight w:hRule="auto"/>
        </w:trPr>
        <w:tc>
          <w:tcPr>
            <w:tcW w:type="dxa" w:w="12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SSC-16</w:t>
            </w:r>
          </w:p>
        </w:tc>
        <w:tc>
          <w:tcPr>
            <w:tcW w:type="dxa" w:w="111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Sensor feedback shall not provide incorrect target-lane vehicles' responses when steering is initiated.</w:t>
            </w:r>
          </w:p>
        </w:tc>
        <w:tc>
          <w:tcPr>
            <w:tcW w:type="dxa" w:w="21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UCA-16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LLM-assisted SSC identification process</w:t>
      </w:r>
    </w:p>
    <w:p>
      <w:pPr>
        <w:keepNext/>
        <w:spacing w:after="100" w:line="252" w:lineRule="auto"/>
        <w:jc w:val="both"/>
      </w:pPr>
      <w:r>
        <w:rPr>
          <w:rFonts w:ascii="Times New Roman" w:hAnsi="Times New Roman" w:eastAsia="Times New Roman" w:cs="Times New Roman"/>
          <w:sz w:val="19"/>
        </w:rPr>
        <w:t>Finally, the experts merge the LLM-generated SSCs with the baseline SSCs to form the final set of SSCs for lane-change scenarios. The retained results are summarized in Table 5.</w:t>
      </w:r>
    </w:p>
    <w:p>
      <w:pPr>
        <w:keepNext/>
        <w:spacing w:before="120" w:after="20"/>
      </w:pPr>
      <w:r>
        <w:rPr>
          <w:rFonts w:ascii="Times New Roman" w:hAnsi="Times New Roman" w:eastAsia="Times New Roman" w:cs="Times New Roman"/>
          <w:b/>
          <w:sz w:val="20"/>
        </w:rPr>
        <w:t>Table 5</w:t>
      </w:r>
    </w:p>
    <w:p>
      <w:pPr>
        <w:keepNext/>
        <w:spacing w:after="60"/>
      </w:pPr>
      <w:r>
        <w:rPr>
          <w:rFonts w:ascii="Times New Roman" w:hAnsi="Times New Roman" w:eastAsia="Times New Roman" w:cs="Times New Roman"/>
          <w:i/>
          <w:sz w:val="20"/>
        </w:rPr>
        <w:t>LLM candidate UCAs, expert screening results, and newly derived SSCs.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blGrid>
        <w:gridCol w:w="1000"/>
        <w:gridCol w:w="3650"/>
        <w:gridCol w:w="1600"/>
        <w:gridCol w:w="2300"/>
        <w:gridCol w:w="1300"/>
        <w:gridCol w:w="4694"/>
      </w:tblGrid>
      <w:tr>
        <w:trPr>
          <w:cantSplit/>
          <w:trHeight w:hRule="auto"/>
          <w:tblHeader w:val="true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>UCA ID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>LLM Candidate UCA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>Related Hazards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>Expert decision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>Renumbered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 xml:space="preserve"> UCA ID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5"/>
              </w:rPr>
              <w:t>Derived SSC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UCA-17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fails to maintain sufficient perception accuracy for target lane, obstacles, traffic participants and lane markings in any context.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[H-1][H-2][H-3][H-4][H-5][H-6]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Discard (too generic / overlapped)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UCA-18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continues lane change when environment perception is degraded by adverse weather or low visibility.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[H-1][H-2][H-3][H-4][H-5][H-6]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Retain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UCA-17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SSC-17 HV shall not initiate lane change when environment perception is degraded by adverse weather or low visibility. [UCA-17]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UCA-19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does not detect obstacles in the target lane during lane change.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[H-1][H-2][H-6]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Discard (covered by baseline / redundant)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UCA-20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Lane-change decision module authorizes lane change when the target lane is unsafe.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[H-1][H-2][H-3][H-4][H-5][H-6]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Retain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UCA-18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SSC-18 Lane-change decision module shall not authorize lane change when the target lane is unsafe. [UCA-18]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UCA-21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triggers emergency braking during lane change without ensuring rear and lateral safety gaps.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[H-1][H-3][H-4][H-6]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Retain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UCA-19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SSC-19 HV shall ensure rear and lateral safety gaps before triggering emergency braking during lane change. [UCA-19]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UCA-22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initiates lane change when traffic signals or road signs indicate lane change is prohibited or unsafe.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[H-1][H-5][H-6]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Discard (out of current focus / overlapped)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UCA-23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bases lane-change decision on outdated, delayed or missing traffic infrastructure information.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[H-1][H-3][H-5][H-6]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Discard (covered by baseline infrastructure UCAs)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UCA-24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changes lane without maintaining a safe gap to rear vehicles in the current or target lane.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[H-1][H-3][H-4][H-6]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Retain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UCA-20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SSC-20 HV shall not initiate lane change when safe gaps to rear vehicles in the current or target lane are not maintained. [UCA-20]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UCA-25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performs lane change when lane markings are not reliably detected.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[H-1][H-3][H-6]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Discard (redundant with baseline boundary/perception issues)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</w:tr>
      <w:tr>
        <w:trPr>
          <w:cantSplit/>
          <w:trHeight w:hRule="auto"/>
        </w:trPr>
        <w:tc>
          <w:tcPr>
            <w:tcW w:type="dxa" w:w="10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UCA-26</w:t>
            </w:r>
          </w:p>
        </w:tc>
        <w:tc>
          <w:tcPr>
            <w:tcW w:type="dxa" w:w="36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HV continues lane change when sudden illumination changes cause unreliable perception of lane and obstacles.</w:t>
            </w:r>
          </w:p>
        </w:tc>
        <w:tc>
          <w:tcPr>
            <w:tcW w:type="dxa" w:w="16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[H-1][H-2][H-3][H-5][H-6]</w:t>
            </w:r>
          </w:p>
        </w:tc>
        <w:tc>
          <w:tcPr>
            <w:tcW w:type="dxa" w:w="2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Discard (covered by perception degradation family)</w:t>
            </w:r>
          </w:p>
        </w:tc>
        <w:tc>
          <w:tcPr>
            <w:tcW w:type="dxa" w:w="130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  <w:tc>
          <w:tcPr>
            <w:tcW w:type="dxa" w:w="46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5"/>
              </w:rPr>
              <w:t>–</w:t>
            </w:r>
          </w:p>
        </w:tc>
      </w:tr>
    </w:tbl>
    <w:p>
      <w:pPr>
        <w:spacing w:after="0"/>
      </w:pP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