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sdt>
        <w:sdtPr>
          <w:alias w:val="首页被测系统名称"/>
          <w:tag w:val="report.cover.system_name"/>
        </w:sdtPr>
        <w:sdtContent>
          <w:r>
            <w:rPr>
              <w:rFonts w:ascii="黑体" w:eastAsia="黑体" w:hAnsi="黑体"/>
              <w:b/>
              <w:sz w:val="48"/>
              <w:szCs w:val="52"/>
            </w:rPr>
            <w:t>【被测系统名称】</w:t>
          </w:r>
        </w:sdtContent>
      </w:sdt>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中互金认证有限公司受【被测单位】委托，于【测评开始日期】至【测评结束日期】，依据GB/T 39786—2021《信息安全技术 信息系统密码应用基本要求》的第三级别要求，对【被测单位】的【被测系统】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43206—2023《信息安全技术 信息系统密码应用测评要求》</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43207—2023《信息安全技术 信息系统密码应用设计指南》</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0116—2021《信息系统密码应用测评过程指南》</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bookmarkStart w:id="9165" w:name="report_additional_reference_standards"/>
      <w:bookmarkEnd w:id="9165"/>
      <w:pPr>
        <w:pStyle w:val="afffff0"/>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sidR="001C4AB7">
        <w:rPr>
          <w:rStyle w:val="affffb"/>
        </w:rPr>
      </w:r>
      <w:r>
        <w:rPr>
          <w:rFonts w:ascii="Times New Roman" w:hAnsi="Times New Roman" w:hint="eastAsia"/>
          <w:color w:val="000000" w:themeColor="text1"/>
          <w:kern w:val="2"/>
          <w:sz w:val="24"/>
          <w:szCs w:val="21"/>
        </w:rPr>
        <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6.1pt;height:510.35pt">
            <v:imagedata r:id="rId25" o:title=""/>
          </v:shape>
        </w:pict>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测评准备阶段时间"/>
          <w:tag w:val="report.assessment.preparation_period"/>
        </w:sdtPr>
        <w:sdtContent>
          <w:r>
            <w:rPr>
              <w:rFonts w:hint="eastAsia"/>
            </w:rPr>
            <w:t>【开始日期】至【结束日期】</w:t>
          </w:r>
        </w:sdtContent>
      </w:sdt>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方案编制阶段时间"/>
          <w:tag w:val="report.assessment.plan_period"/>
        </w:sdtPr>
        <w:sdtContent>
          <w:r>
            <w:rPr>
              <w:rFonts w:hint="eastAsia"/>
            </w:rPr>
            <w:t>【开始日期】至【结束日期】</w:t>
          </w:r>
        </w:sdtContent>
      </w:sdt>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阶段时间"/>
          <w:tag w:val="report.assessment.period"/>
        </w:sdtPr>
        <w:sdtContent>
          <w:r>
            <w:rPr>
              <w:rFonts w:hint="eastAsia"/>
            </w:rPr>
            <w:t>【开始日期】至【结束日期】</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分析与报告编制阶段时间"/>
          <w:tag w:val="report.assessment.report_period"/>
        </w:sdtPr>
        <w:sdtContent>
          <w:r>
            <w:rPr>
              <w:rFonts w:hint="eastAsia"/>
            </w:rPr>
            <w:t>【开始日期】至【结束日期】</w:t>
          </w:r>
        </w:sdtContent>
      </w:sdt>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sdt>
        <w:sdtPr>
          <w:alias w:val="报告总份数"/>
          <w:tag w:val="report.distribution.total_copies"/>
        </w:sdtPr>
        <w:sdtContent>
          <w:r>
            <w:rPr>
              <w:rFonts w:ascii="Times New Roman" w:hAnsi="Times New Roman"/>
              <w:szCs w:val="24"/>
            </w:rPr>
            <w:t>【总份数】</w:t>
          </w:r>
        </w:sdtContent>
      </w:sdt>
      <w:r>
        <w:rPr>
          <w:rFonts w:ascii="Times New Roman" w:hAnsi="Times New Roman"/>
          <w:szCs w:val="24"/>
        </w:rPr>
        <w:t>份，其中</w:t>
      </w:r>
      <w:sdt>
        <w:sdtPr>
          <w:alias w:val="密码管理部门份数"/>
          <w:tag w:val="report.distribution.regulator_copies"/>
        </w:sdtPr>
        <w:sdtContent>
          <w:r>
            <w:rPr>
              <w:rFonts w:ascii="Times New Roman" w:hAnsi="Times New Roman"/>
              <w:szCs w:val="24"/>
            </w:rPr>
            <w:t>【密码管理部门份数】</w:t>
          </w:r>
        </w:sdtContent>
      </w:sdt>
      <w:r>
        <w:rPr>
          <w:rFonts w:ascii="Times New Roman" w:hAnsi="Times New Roman"/>
          <w:szCs w:val="24"/>
        </w:rPr>
        <w:t>份提交密码管理部门，</w:t>
      </w:r>
      <w:sdt>
        <w:sdtPr>
          <w:alias w:val="委托单位份数"/>
          <w:tag w:val="report.distribution.client_copies"/>
        </w:sdtPr>
        <w:sdtContent>
          <w:r>
            <w:rPr>
              <w:rFonts w:ascii="Times New Roman" w:hAnsi="Times New Roman"/>
              <w:szCs w:val="24"/>
            </w:rPr>
            <w:t>【委托单位份数】</w:t>
          </w:r>
        </w:sdtContent>
      </w:sdt>
      <w:r>
        <w:rPr>
          <w:rFonts w:ascii="Times New Roman" w:hAnsi="Times New Roman"/>
          <w:szCs w:val="24"/>
        </w:rPr>
        <w:t>份提交委托单位，</w:t>
      </w:r>
      <w:sdt>
        <w:sdtPr>
          <w:alias w:val="密评机构留存份数"/>
          <w:tag w:val="report.distribution.assessment_copies"/>
        </w:sdtPr>
        <w:sdtContent>
          <w:r>
            <w:rPr>
              <w:rFonts w:ascii="Times New Roman" w:hAnsi="Times New Roman"/>
              <w:szCs w:val="24"/>
            </w:rPr>
            <w:t>【密评机构留存份数】</w:t>
          </w:r>
        </w:sdtContent>
      </w:sdt>
      <w:r>
        <w:rPr>
          <w:rFonts w:ascii="Times New Roman" w:hAnsi="Times New Roman"/>
          <w:szCs w:val="24"/>
        </w:rPr>
        <w:t>份由密评机构留存。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rPr>
          <w:i w:val="0"/>
          <w:iCs w:val="0"/>
        </w:rPr>
      </w:pPr>
      <w:r>
        <w:rPr>
          <w:i w:val="0"/>
          <w:iCs w:val="0"/>
        </w:rPr>
        <w:t>根据《商用密码应用安全性评估高风险判定指引》</w:t>
      </w:r>
      <w:sdt>
        <w:sdtPr>
          <w:alias w:val="高风险判定描述"/>
          <w:tag w:val="report.risk.high_risk_judgement"/>
        </w:sdtPr>
        <w:sdtContent>
          <w:r>
            <w:rPr>
              <w:i w:val="0"/>
              <w:iCs w:val="0"/>
            </w:rPr>
            <w:t>【高风险判定】</w:t>
          </w:r>
        </w:sdtContent>
      </w:sdt>
      <w:r>
        <w:rPr>
          <w:i w:val="0"/>
          <w:iCs w:val="0"/>
        </w:rPr>
        <w:t>。经风险分析，系统存在高风险【高风险项数量】项，中风险【中风险项数量】项，低风险【低风险项数量】项，具体见</w:t>
      </w:r>
      <w:r>
        <w:rPr>
          <w:i w:val="0"/>
          <w:iCs w:val="0"/>
        </w:rPr>
        <w:fldChar w:fldCharType="begin"/>
      </w:r>
      <w:r>
        <w:rPr>
          <w:i w:val="0"/>
          <w:iCs w:val="0"/>
        </w:rPr>
        <w:instrText xml:space="preserve"> REF _Ref54276704 \h  \* MERGEFORMAT </w:instrText>
      </w:r>
      <w:r>
        <w:rPr>
          <w:i w:val="0"/>
          <w:iCs w:val="0"/>
        </w:rPr>
        <w:fldChar w:fldCharType="separate"/>
      </w:r>
      <w:r w:rsidR="002B367A" w:rsidRPr="002B367A">
        <w:rPr>
          <w:rFonts w:hint="eastAsia"/>
          <w:i w:val="0"/>
          <w:iCs w:val="0"/>
        </w:rPr>
        <w:t>表</w:t>
      </w:r>
      <w:r w:rsidR="002B367A" w:rsidRPr="002B367A">
        <w:rPr>
          <w:i w:val="0"/>
          <w:iCs w:val="0"/>
        </w:rPr>
        <w:t>6</w:t>
      </w:r>
      <w:r w:rsidR="002B367A" w:rsidRPr="002B367A">
        <w:rPr>
          <w:i w:val="0"/>
          <w:iCs w:val="0"/>
        </w:rPr>
        <w:noBreakHyphen/>
        <w:t>1</w:t>
      </w:r>
      <w:r>
        <w:rPr>
          <w:i w:val="0"/>
          <w:iCs w:val="0"/>
        </w:rPr>
        <w:fldChar w:fldCharType="end"/>
      </w:r>
      <w:r>
        <w:rPr>
          <w:rFonts w:hint="eastAsia"/>
          <w:i w:val="0"/>
          <w:iCs w:val="0"/>
        </w:rPr>
        <w:t>：</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i w:val="0"/>
          <w:iCs w:val="0"/>
        </w:rPr>
      </w:pPr>
      <w:r>
        <w:rPr>
          <w:rFonts w:ascii="Times New Roman" w:hAnsi="Times New Roman"/>
          <w:szCs w:val="24"/>
          <w:i w:val="0"/>
          <w:iCs w:val="0"/>
        </w:rPr>
        <w:t>通过对【被测单位】的【被测系统】的物理和环境安全、网络和通信安全、设备和计算安全、应用和数据安全、管理制度、人员管理、建设运行和应急处置等方面的测评，该系统综合得分为【综合得分】分，系统密码应用面临【风险等级】风险，【符合/基本符合/不符合】GB/T 39786—2021《信息安全技术 信息系统密码应用基本要求》的第三级别要求。</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Pr>
          <w:rFonts w:ascii="Times New Roman" w:hAnsi="Times New Roman"/>
          <w:szCs w:val="24"/>
          <w:i w:val="0"/>
          <w:iCs w:val="0"/>
        </w:rPr>
        <w:t xml:space="preserve"/>
      </w:r>
      <w:r w:rsidR="00971B73">
        <w:rPr>
          <w:sz w:val="21"/>
          <w:i w:val="0"/>
          <w:iCs w:val="0"/>
        </w:rPr>
        <w:t/>
      </w:r>
      <w:r>
        <w:rPr>
          <w:rFonts w:ascii="Times New Roman" w:hAnsi="Times New Roman"/>
          <w:szCs w:val="24"/>
          <w:i w:val="0"/>
          <w:iCs w:val="0"/>
        </w:rPr>
        <w:t/>
      </w:r>
      <w:r>
        <w:rPr>
          <w:rFonts w:ascii="Times New Roman" w:hAnsi="Times New Roman" w:hint="eastAsia"/>
          <w:color w:val="000000" w:themeColor="text1"/>
          <w:szCs w:val="24"/>
          <w:i w:val="0"/>
          <w:iCs w:val="0"/>
        </w:rPr>
        <w:t/>
      </w:r>
      <w:r>
        <w:rPr>
          <w:rFonts w:ascii="Times New Roman" w:hAnsi="Times New Roman" w:hint="eastAsia"/>
          <w:color w:val="000000" w:themeColor="text1"/>
          <w:szCs w:val="24"/>
          <w:i w:val="0"/>
          <w:iCs w:val="0"/>
        </w:rPr>
        <w:t xml:space="preserve"/>
      </w:r>
      <w:r>
        <w:rPr>
          <w:rFonts w:ascii="Times New Roman" w:hAnsi="Times New Roman" w:hint="eastAsia"/>
          <w:color w:val="000000" w:themeColor="text1"/>
          <w:szCs w:val="24"/>
          <w:i w:val="0"/>
          <w:iCs w:val="0"/>
        </w:rPr>
        <w:t/>
      </w:r>
      <w:r>
        <w:rPr>
          <w:rFonts w:ascii="Times New Roman" w:hAnsi="Times New Roman"/>
          <w:szCs w:val="24"/>
          <w:i w:val="0"/>
          <w:iCs w:val="0"/>
        </w:rPr>
        <w:t/>
      </w:r>
      <w:r w:rsidR="00845E40" w:rsidRPr="00845E40">
        <w:rPr>
          <w:rFonts w:ascii="Times New Roman" w:hAnsi="Times New Roman" w:hint="eastAsia"/>
          <w:szCs w:val="24"/>
          <w:i w:val="0"/>
          <w:iCs w:val="0"/>
        </w:rPr>
        <w:t/>
      </w:r>
      <w:r>
        <w:rPr>
          <w:rFonts w:ascii="Times New Roman" w:hAnsi="Times New Roman"/>
          <w:szCs w:val="24"/>
          <w:i w:val="0"/>
          <w:iCs w:val="0"/>
        </w:rPr>
        <w:t/>
      </w:r>
      <w:r>
        <w:rPr>
          <w:rStyle w:val="affffc"/>
          <w:rFonts w:ascii="Times New Roman" w:hAnsi="Times New Roman"/>
          <w:szCs w:val="24"/>
          <w:i w:val="0"/>
          <w:iCs w:val="0"/>
        </w:rPr>
        <w:footnoteReference w:id="5"/>
      </w:r>
      <w:r>
        <w:rPr>
          <w:rFonts w:ascii="Times New Roman" w:hAnsi="Times New Roman" w:hint="eastAsia"/>
          <w:szCs w:val="24"/>
          <w:i w:val="0"/>
          <w:iCs w:val="0"/>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