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b/>
          <w:bCs/>
          <w:color w:val="1F3A5F"/>
          <w:sz w:val="26"/>
          <w:szCs w:val="26"/>
        </w:rPr>
        <w:t xml:space="preserve">SISTEMA DE IDENTIFICACIÓN DE AVES RAPACES POR SILUETA Y COMPORTAMIENTO DE VUELO UTILIZANDO INTELIGENCIA ARTIFICIAL Y DISEÑO DE LENGUAJE DE SEÑAS PARA SU COMUNICACIÓN Y RECONOCIMIENTO</w:t>
      </w:r>
    </w:p>
    <w:p>
      <w:r>
        <w:t xml:space="preserve"/>
      </w:r>
    </w:p>
    <w:p>
      <w:r>
        <w:t xml:space="preserve"/>
      </w:r>
    </w:p>
    <w:p>
      <w:pPr>
        <w:jc w:val="center"/>
      </w:pPr>
      <w:r>
        <w:rPr>
          <w:b/>
          <w:bCs/>
          <w:color w:val="2E5985"/>
          <w:sz w:val="40"/>
          <w:szCs w:val="40"/>
        </w:rPr>
        <w:t xml:space="preserve">CAPÍTULO 3</w:t>
      </w:r>
    </w:p>
    <w:p>
      <w:r>
        <w:t xml:space="preserve"/>
      </w:r>
    </w:p>
    <w:p>
      <w:pPr>
        <w:jc w:val="center"/>
      </w:pPr>
      <w:r>
        <w:rPr>
          <w:b/>
          <w:bCs/>
          <w:color w:val="2E5985"/>
          <w:sz w:val="36"/>
          <w:szCs w:val="36"/>
        </w:rPr>
        <w:t xml:space="preserve">METODOLOGÍA</w:t>
      </w:r>
    </w:p>
    <w:p>
      <w:r>
        <w:t xml:space="preserve"/>
      </w:r>
    </w:p>
    <w:p>
      <w:r>
        <w:t xml:space="preserve"/>
      </w:r>
    </w:p>
    <w:p>
      <w:r>
        <w:t xml:space="preserve"/>
      </w:r>
    </w:p>
    <w:p>
      <w:r>
        <w:t xml:space="preserve"/>
      </w:r>
    </w:p>
    <w:p>
      <w:r>
        <w:t xml:space="preserve"/>
      </w:r>
    </w:p>
    <w:p>
      <w:r>
        <w:t xml:space="preserve"/>
      </w:r>
    </w:p>
    <w:p>
      <w:pPr>
        <w:jc w:val="center"/>
      </w:pPr>
      <w:r>
        <w:rPr>
          <w:sz w:val="26"/>
          <w:szCs w:val="26"/>
        </w:rPr>
        <w:t xml:space="preserve">Brian Fernández Báez</w:t>
      </w:r>
    </w:p>
    <w:p>
      <w:pPr>
        <w:jc w:val="center"/>
      </w:pPr>
      <w:r>
        <w:rPr>
          <w:i/>
          <w:iCs/>
          <w:sz w:val="24"/>
          <w:szCs w:val="24"/>
        </w:rPr>
        <w:t xml:space="preserve">Tesis de Maestría</w:t>
      </w:r>
    </w:p>
    <w:p>
      <w:r>
        <w:t xml:space="preserve"/>
      </w:r>
    </w:p>
    <w:p>
      <w:pPr>
        <w:jc w:val="center"/>
      </w:pPr>
      <w:r>
        <w:rPr>
          <w:sz w:val="24"/>
          <w:szCs w:val="24"/>
        </w:rPr>
        <w:t xml:space="preserve">Mayo de 2026</w:t>
      </w:r>
    </w:p>
    <w:p>
      <w:r>
        <w:br w:type="page"/>
      </w:r>
    </w:p>
    <w:p>
      <w:pPr>
        <w:pStyle w:val="Heading1"/>
      </w:pPr>
      <w:r>
        <w:t xml:space="preserve">3. Metodología</w:t>
      </w:r>
    </w:p>
    <w:p>
      <w:pPr>
        <w:pStyle w:val="Heading2"/>
      </w:pPr>
      <w:r>
        <w:t xml:space="preserve">3.1 Diseño de investigación</w:t>
      </w:r>
    </w:p>
    <w:p>
      <w:pPr>
        <w:spacing w:after="120" w:line="360"/>
        <w:jc w:val="both"/>
      </w:pPr>
      <w:r>
        <w:t xml:space="preserve">La presente investigación adopta un diseño cuantitativo y experimental, complementado con un componente cualitativo participativo en el módulo de lengua de señas. El componente cuantitativo se estructura como un estudio comparativo entre cuatro arquitecturas de redes neuronales convolucionales evaluadas sobre el mismo dataset balanceado, siguiendo los principios de reproducibilidad de Pineau et al. (2021) y el manifiesto de Replicability in Machine Learning (Goodman et al., 2016). El componente cualitativo se materializa en un proceso de co-diseño iterativo del catálogo de señas con la comunidad sorda mediante talleres y validación con cuestionario tipo Likert.</w:t>
      </w:r>
    </w:p>
    <w:p>
      <w:pPr>
        <w:pStyle w:val="Heading2"/>
      </w:pPr>
      <w:r>
        <w:t xml:space="preserve">3.2 Selección de especies</w:t>
      </w:r>
    </w:p>
    <w:p>
      <w:pPr>
        <w:spacing w:after="120" w:line="360"/>
        <w:jc w:val="both"/>
      </w:pPr>
      <w:r>
        <w:t xml:space="preserve">El catálogo cubre las 53 especies de rapaces diurnas documentadas en México según la AOS Check-list (64th Supplement, 2023; 65th Supplement, 2024), distribuidas en cuatro familias: Cathartidae (4 especies), Pandionidae (1), Accipitridae (38) y Falconidae (10). Se aplican las reclasificaciones AOS 2023 (Accipiter cooperii → Astur cooperii; Accipiter gentilis → Astur atricapillus; Buteo nitidus → Buteo plagiatus). La lista completa, con estatus IUCN y NOM-059-SEMARNAT-2010, está documentada en el archivo LISTA_OFICIAL_RAPACES_MEXICO.md del repositorio.</w:t>
      </w:r>
    </w:p>
    <w:p>
      <w:pPr>
        <w:pStyle w:val="Heading2"/>
      </w:pPr>
      <w:r>
        <w:t xml:space="preserve">3.3 Construcción del dataset</w:t>
      </w:r>
    </w:p>
    <w:p>
      <w:pPr>
        <w:pStyle w:val="Heading3"/>
      </w:pPr>
      <w:r>
        <w:t xml:space="preserve">3.3.1 Fuentes</w:t>
      </w:r>
    </w:p>
    <w:p>
      <w:pPr>
        <w:spacing w:after="120" w:line="360"/>
        <w:jc w:val="both"/>
      </w:pPr>
      <w:r>
        <w:t xml:space="preserve">Las imágenes se obtienen de tres fuentes públicas con licencias compatibles con uso académico abierto (Creative Commons CC0, CC-BY, CC-BY-SA):</w:t>
      </w:r>
    </w:p>
    <w:p>
      <w:pPr>
        <w:pStyle w:val="ListParagraph"/>
        <w:numPr>
          <w:ilvl w:val="0"/>
          <w:numId w:val="2"/>
        </w:numPr>
        <w:spacing w:after="80" w:line="320"/>
      </w:pPr>
      <w:r>
        <w:t xml:space="preserve">iNaturalist — API pública, filtrado por research-grade y licencia. Pasamos por código todas las observaciones del taxon en México y descargamos hasta 200 imágenes por especie. Para taxones recientemente reclasificados (Daptrius, Astur, Pseudastur, Geranoaetus, Rupornis) consultamos también sinónimos antiguos (Ibycter americanus, Accipiter cooperii, Leucopternis albicollis, etc.) porque iNaturalist aún no adopta todos los nombres AOS 2024.</w:t>
      </w:r>
    </w:p>
    <w:p>
      <w:pPr>
        <w:pStyle w:val="ListParagraph"/>
        <w:numPr>
          <w:ilvl w:val="0"/>
          <w:numId w:val="2"/>
        </w:numPr>
        <w:spacing w:after="80" w:line="320"/>
      </w:pPr>
      <w:r>
        <w:t xml:space="preserve">Macaulay Library / eBird — biblioteca multimedia del Cornell Lab of Ornithology, accesible mediante la eBird API 2.0 con clave personal. Útil para especies subrepresentadas en iNaturalist (Harpia harpyja, Morphnus guianensis, Falco deiroleucus).</w:t>
      </w:r>
    </w:p>
    <w:p>
      <w:pPr>
        <w:pStyle w:val="ListParagraph"/>
        <w:numPr>
          <w:ilvl w:val="0"/>
          <w:numId w:val="2"/>
        </w:numPr>
        <w:spacing w:after="80" w:line="320"/>
      </w:pPr>
      <w:r>
        <w:t xml:space="preserve">CONABIO — Sistema Nacional de Información sobre Biodiversidad de México, fuente complementaria para verificación taxonómica y distribución.</w:t>
      </w:r>
    </w:p>
    <w:p>
      <w:pPr>
        <w:pStyle w:val="Heading3"/>
      </w:pPr>
      <w:r>
        <w:t xml:space="preserve">3.3.2 Curación automática</w:t>
      </w:r>
    </w:p>
    <w:p>
      <w:pPr>
        <w:spacing w:after="120" w:line="360"/>
        <w:jc w:val="both"/>
      </w:pPr>
      <w:r>
        <w:t xml:space="preserve">Cada imagen se procesa mediante el script curate.py, que calcula resolución (lado mayor en píxeles), brillo promedio, contraste (desviación estándar), sharpness (varianza del Laplaciano para detectar blur), aspect ratio y hash perceptual (para detectar duplicados). Cada imagen recibe un score 0-100 y se clasifica en KEEP, REVIEW o DISCARD. Las imágenes REVIEW pasan a inspección manual; las DISCARD se archivan en una subcarpeta _review/ sin perderse.</w:t>
      </w:r>
    </w:p>
    <w:p>
      <w:pPr>
        <w:pStyle w:val="Heading3"/>
      </w:pPr>
      <w:r>
        <w:t xml:space="preserve">3.3.3 Doble anotación y Cohen's kappa</w:t>
      </w:r>
    </w:p>
    <w:p>
      <w:pPr>
        <w:spacing w:after="120" w:line="360"/>
        <w:jc w:val="both"/>
      </w:pPr>
      <w:r>
        <w:t xml:space="preserve">Las imágenes con score intermedio (REVIEW) y un 10 % aleatorio del KEEP se someten a doble anotación por dos personas independientes mediante la CLI annotate.py. Se calcula el coeficiente Cohen's kappa para medir la concordancia inter-anotador. Sólo se conservan en el dataset final las imágenes con concordancia entre anotadores; el umbral mínimo aceptado es κ ≥ 0,85, considerado 'casi perfecto' por Landis &amp; Koch (1977).</w:t>
      </w:r>
    </w:p>
    <w:p>
      <w:pPr>
        <w:pStyle w:val="Heading3"/>
      </w:pPr>
      <w:r>
        <w:t xml:space="preserve">3.3.4 Partición train/val/test</w:t>
      </w:r>
    </w:p>
    <w:p>
      <w:pPr>
        <w:spacing w:after="120" w:line="360"/>
        <w:jc w:val="both"/>
      </w:pPr>
      <w:r>
        <w:t xml:space="preserve">El dataset se particiona en 70 % entrenamiento, 15 % validación y 15 % prueba, estratificado por especie y reproducible mediante seed (= 42). El script split_dataset.py respeta asignaciones previas para preservar consistencia entre experimentos iterativos.</w:t>
      </w:r>
    </w:p>
    <w:p>
      <w:pPr>
        <w:pStyle w:val="Heading2"/>
      </w:pPr>
      <w:r>
        <w:t xml:space="preserve">3.4 Énfasis en silueta y comportamiento de vuelo</w:t>
      </w:r>
    </w:p>
    <w:p>
      <w:pPr>
        <w:pStyle w:val="Heading3"/>
      </w:pPr>
      <w:r>
        <w:t xml:space="preserve">3.4.1 Justificación del enfoque por silueta</w:t>
      </w:r>
    </w:p>
    <w:p>
      <w:pPr>
        <w:spacing w:after="120" w:line="360"/>
        <w:jc w:val="both"/>
      </w:pPr>
      <w:r>
        <w:t xml:space="preserve">A diferencia de los sistemas comerciales (Merlin Bird ID, iNaturalist Computer Vision) que entrenan con imágenes de aves perchadas con plumaje visible, este sistema entrena explícitamente sobre la silueta en vuelo. Los caracteres diagnósticos típicos para rapaces — relación cuerda/envergadura, forma de la punta del ala (digitada vs puntiaguda), forma de la cola (cuadrada, redondeada, ahorquillada), curvatura del borde de fuga y proporción cabeza/cuerpo — son visibles incluso a contraluz, condición en la que el plumaje queda en silueta. Para reforzar este aprendizaje, durante el entrenamiento aplicamos data augmentation que reduce parcialmente la información cromática: jitter de saturación de hasta 0,4, conversión aleatoria a escala de grises con probabilidad 0,2 y RandomErasing sobre regiones de plumaje (CutMix preferido por preservar la forma global).</w:t>
      </w:r>
    </w:p>
    <w:p>
      <w:pPr>
        <w:pStyle w:val="Heading3"/>
      </w:pPr>
      <w:r>
        <w:t xml:space="preserve">3.4.2 Módulo de comportamiento de vuelo (video corto)</w:t>
      </w:r>
    </w:p>
    <w:p>
      <w:pPr>
        <w:spacing w:after="120" w:line="360"/>
        <w:jc w:val="both"/>
      </w:pPr>
      <w:r>
        <w:t xml:space="preserve">El módulo complementario opera sobre videos cortos (≤ 30 s) y produce un descriptor estructurado del comportamiento. El pipeline es el siguiente:</w:t>
      </w:r>
    </w:p>
    <w:p>
      <w:pPr>
        <w:pStyle w:val="ListParagraph"/>
        <w:numPr>
          <w:ilvl w:val="0"/>
          <w:numId w:val="3"/>
        </w:numPr>
        <w:spacing w:after="80" w:line="320"/>
      </w:pPr>
      <w:r>
        <w:t xml:space="preserve">Extracción de frames a 1 fps (≈ 30 frames por clip).</w:t>
      </w:r>
    </w:p>
    <w:p>
      <w:pPr>
        <w:pStyle w:val="ListParagraph"/>
        <w:numPr>
          <w:ilvl w:val="0"/>
          <w:numId w:val="3"/>
        </w:numPr>
        <w:spacing w:after="80" w:line="320"/>
      </w:pPr>
      <w:r>
        <w:t xml:space="preserve">Detección por Faster R-CNN (FasterRCNN_ResNet50_FPN preentrenado en COCO) restringido a la clase 'bird' con umbral de confianza 0,5.</w:t>
      </w:r>
    </w:p>
    <w:p>
      <w:pPr>
        <w:pStyle w:val="ListParagraph"/>
        <w:numPr>
          <w:ilvl w:val="0"/>
          <w:numId w:val="3"/>
        </w:numPr>
        <w:spacing w:after="80" w:line="320"/>
      </w:pPr>
      <w:r>
        <w:t xml:space="preserve">Crop con margen del 5 % alrededor de cada bounding box; clasificación del crop con la CNN entrenada en imagen.</w:t>
      </w:r>
    </w:p>
    <w:p>
      <w:pPr>
        <w:pStyle w:val="ListParagraph"/>
        <w:numPr>
          <w:ilvl w:val="0"/>
          <w:numId w:val="3"/>
        </w:numPr>
        <w:spacing w:after="80" w:line="320"/>
      </w:pPr>
      <w:r>
        <w:t xml:space="preserve">Agregación temporal: agregación por voto mayoritario y promedio de probabilidades sobre los frames del mismo individuo (cuando es posible asociarlos por proximidad espacial entre frames consecutivos).</w:t>
      </w:r>
    </w:p>
    <w:p>
      <w:pPr>
        <w:pStyle w:val="ListParagraph"/>
        <w:numPr>
          <w:ilvl w:val="0"/>
          <w:numId w:val="3"/>
        </w:numPr>
        <w:spacing w:after="80" w:line="320"/>
      </w:pPr>
      <w:r>
        <w:t xml:space="preserve">Cálculo de descriptores: frecuencia de aleteo (FFT sobre la altura del bounding box), tasa de ganancia de altitud (estimada por cambio de escala del bbox), número de individuos en el clip y tipo de formación (kettle, par, solo).</w:t>
      </w:r>
    </w:p>
    <w:p>
      <w:pPr>
        <w:pStyle w:val="ListParagraph"/>
        <w:numPr>
          <w:ilvl w:val="0"/>
          <w:numId w:val="3"/>
        </w:numPr>
        <w:spacing w:after="80" w:line="320"/>
      </w:pPr>
      <w:r>
        <w:t xml:space="preserve">Clasificación del modo de vuelo en cinco categorías: planeo (soaring), flap-glide, hovering, vuelo activo (active flapping), stoop. Este clasificador secundario (CNN-LSTM ligero sobre 16 frames) opera como prior bayesiano que refina la salida del clasificador de imagen.</w:t>
      </w:r>
    </w:p>
    <w:p>
      <w:pPr>
        <w:pStyle w:val="Heading2"/>
      </w:pPr>
      <w:r>
        <w:t xml:space="preserve">3.5 Arquitecturas evaluadas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2200"/>
        <w:gridCol w:w="2160"/>
      </w:tblGrid>
      <w:tr>
        <w:trPr>
          <w:tblHeader/>
        </w:trPr>
        <w:tc>
          <w:tcPr>
            <w:tcW w:type="dxa" w:w="12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Arquitectura</w:t>
            </w:r>
          </w:p>
        </w:tc>
        <w:tc>
          <w:tcPr>
            <w:tcW w:type="dxa" w:w="19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Parámetros (M)</w:t>
            </w:r>
          </w:p>
        </w:tc>
        <w:tc>
          <w:tcPr>
            <w:tcW w:type="dxa" w:w="19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Input size</w:t>
            </w:r>
          </w:p>
        </w:tc>
        <w:tc>
          <w:tcPr>
            <w:tcW w:type="dxa" w:w="220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Ventaja</w:t>
            </w:r>
          </w:p>
        </w:tc>
        <w:tc>
          <w:tcPr>
            <w:tcW w:type="dxa" w:w="2160"/>
            <w:tcBorders>
              <w:top w:val="single" w:color="B0B0B0" w:sz="6"/>
              <w:left w:val="single" w:color="B0B0B0" w:sz="6"/>
              <w:bottom w:val="single" w:color="B0B0B0" w:sz="6"/>
              <w:right w:val="single" w:color="B0B0B0" w:sz="6"/>
            </w:tcBorders>
            <w:shd w:fill="1F3A5F" w:val="clear"/>
            <w:tcMar>
              <w:top w:type="dxa" w:w="100"/>
              <w:left w:type="dxa" w:w="140"/>
              <w:bottom w:type="dxa" w:w="100"/>
              <w:right w:type="dxa" w:w="140"/>
            </w:tcMar>
          </w:tcPr>
          <w:p>
            <w:pPr>
              <w:jc w:val="center"/>
            </w:pPr>
            <w:r>
              <w:rPr>
                <w:b/>
                <w:bCs/>
                <w:color w:val="FFFFFF"/>
                <w:sz w:val="22"/>
                <w:szCs w:val="22"/>
              </w:rPr>
              <w:t xml:space="preserve">Limitación</w:t>
            </w:r>
          </w:p>
        </w:tc>
      </w:tr>
      <w:tr>
        <w:tc>
          <w:tcPr>
            <w:tcW w:type="dxa" w:w="12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ResNet-50</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25,6</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224×224</w:t>
            </w:r>
          </w:p>
        </w:tc>
        <w:tc>
          <w:tcPr>
            <w:tcW w:type="dxa" w:w="22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Baseline robusto, transfer learning maduro</w:t>
            </w:r>
          </w:p>
        </w:tc>
        <w:tc>
          <w:tcPr>
            <w:tcW w:type="dxa" w:w="21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Resoluciones limitadas, ~25 M parámetros</w:t>
            </w:r>
          </w:p>
        </w:tc>
      </w:tr>
      <w:tr>
        <w:tc>
          <w:tcPr>
            <w:tcW w:type="dxa" w:w="12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EfficientNet-B3</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12,2</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300×300</w:t>
            </w:r>
          </w:p>
        </w:tc>
        <w:tc>
          <w:tcPr>
            <w:tcW w:type="dxa" w:w="22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Mejor exactitud-por-parámetro</w:t>
            </w:r>
          </w:p>
        </w:tc>
        <w:tc>
          <w:tcPr>
            <w:tcW w:type="dxa" w:w="21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Más sensible a hiperparámetros</w:t>
            </w:r>
          </w:p>
        </w:tc>
      </w:tr>
      <w:tr>
        <w:tc>
          <w:tcPr>
            <w:tcW w:type="dxa" w:w="12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MobileNetV3-Large</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5,5</w:t>
            </w:r>
          </w:p>
        </w:tc>
        <w:tc>
          <w:tcPr>
            <w:tcW w:type="dxa" w:w="19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224×224</w:t>
            </w:r>
          </w:p>
        </w:tc>
        <w:tc>
          <w:tcPr>
            <w:tcW w:type="dxa" w:w="220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Lightweight, ideal para inferencia móvil</w:t>
            </w:r>
          </w:p>
        </w:tc>
        <w:tc>
          <w:tcPr>
            <w:tcW w:type="dxa" w:w="2160"/>
            <w:tcBorders>
              <w:top w:val="single" w:color="B0B0B0" w:sz="6"/>
              <w:left w:val="single" w:color="B0B0B0" w:sz="6"/>
              <w:bottom w:val="single" w:color="B0B0B0" w:sz="6"/>
              <w:right w:val="single" w:color="B0B0B0" w:sz="6"/>
            </w:tcBorders>
            <w:tcMar>
              <w:top w:type="dxa" w:w="80"/>
              <w:left w:type="dxa" w:w="120"/>
              <w:bottom w:type="dxa" w:w="80"/>
              <w:right w:type="dxa" w:w="120"/>
            </w:tcMar>
          </w:tcPr>
          <w:p>
            <w:pPr>
              <w:jc w:val="left"/>
            </w:pPr>
            <w:r>
              <w:rPr>
                <w:b w:val="false"/>
                <w:bCs w:val="false"/>
                <w:i w:val="false"/>
                <w:iCs w:val="false"/>
                <w:sz w:val="22"/>
                <w:szCs w:val="22"/>
              </w:rPr>
              <w:t xml:space="preserve">Capacidad menor para clases similares</w:t>
            </w:r>
          </w:p>
        </w:tc>
      </w:tr>
      <w:tr>
        <w:tc>
          <w:tcPr>
            <w:tcW w:type="dxa" w:w="12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ConvNeXt-Tiny</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29,0</w:t>
            </w:r>
          </w:p>
        </w:tc>
        <w:tc>
          <w:tcPr>
            <w:tcW w:type="dxa" w:w="19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232×232</w:t>
            </w:r>
          </w:p>
        </w:tc>
        <w:tc>
          <w:tcPr>
            <w:tcW w:type="dxa" w:w="220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Estado-del-arte 2022, próximo a transformers</w:t>
            </w:r>
          </w:p>
        </w:tc>
        <w:tc>
          <w:tcPr>
            <w:tcW w:type="dxa" w:w="2160"/>
            <w:tcBorders>
              <w:top w:val="single" w:color="B0B0B0" w:sz="6"/>
              <w:left w:val="single" w:color="B0B0B0" w:sz="6"/>
              <w:bottom w:val="single" w:color="B0B0B0" w:sz="6"/>
              <w:right w:val="single" w:color="B0B0B0" w:sz="6"/>
            </w:tcBorders>
            <w:shd w:fill="F2F4F7" w:val="clear"/>
            <w:tcMar>
              <w:top w:type="dxa" w:w="80"/>
              <w:left w:type="dxa" w:w="120"/>
              <w:bottom w:type="dxa" w:w="80"/>
              <w:right w:type="dxa" w:w="120"/>
            </w:tcMar>
          </w:tcPr>
          <w:p>
            <w:pPr>
              <w:jc w:val="left"/>
            </w:pPr>
            <w:r>
              <w:rPr>
                <w:b w:val="false"/>
                <w:bCs w:val="false"/>
                <w:i w:val="false"/>
                <w:iCs w:val="false"/>
                <w:sz w:val="22"/>
                <w:szCs w:val="22"/>
              </w:rPr>
              <w:t xml:space="preserve">VRAM mayor en entrenamiento</w:t>
            </w:r>
          </w:p>
        </w:tc>
      </w:tr>
    </w:tbl>
    <w:p>
      <w:pPr>
        <w:spacing w:after="240" w:before="120"/>
        <w:jc w:val="center"/>
      </w:pPr>
      <w:r>
        <w:rPr>
          <w:i/>
          <w:iCs/>
          <w:sz w:val="22"/>
          <w:szCs w:val="22"/>
        </w:rPr>
        <w:t xml:space="preserve">Tabla 3.1 — Arquitecturas CNN comparadas. Todas reciben transfer learning desde pesos ImageNet.</w:t>
      </w:r>
    </w:p>
    <w:p>
      <w:pPr>
        <w:pStyle w:val="Heading2"/>
      </w:pPr>
      <w:r>
        <w:t xml:space="preserve">3.6 Esquema de entrenamiento</w:t>
      </w:r>
    </w:p>
    <w:p>
      <w:pPr>
        <w:spacing w:after="120" w:line="360"/>
        <w:jc w:val="both"/>
      </w:pPr>
      <w:r>
        <w:t xml:space="preserve">Se aplica una estrategia en dos etapas siguiendo las buenas prácticas de transfer learning sobre datasets pequeños (Howard &amp; Ruder, 2018; Kornblith et al., 2019):</w:t>
      </w:r>
    </w:p>
    <w:p>
      <w:pPr>
        <w:pStyle w:val="ListParagraph"/>
        <w:numPr>
          <w:ilvl w:val="0"/>
          <w:numId w:val="2"/>
        </w:numPr>
        <w:spacing w:after="80" w:line="320"/>
      </w:pPr>
      <w:r>
        <w:t xml:space="preserve">Etapa 1 — Feature extraction (10 epochs). Backbone congelado, sólo se entrena la cabeza clasificadora. Optimizador Adam, lr = 1e-3. Su propósito es estabilizar la cabeza antes de descongelar pesos sensibles del backbone.</w:t>
      </w:r>
    </w:p>
    <w:p>
      <w:pPr>
        <w:pStyle w:val="ListParagraph"/>
        <w:numPr>
          <w:ilvl w:val="0"/>
          <w:numId w:val="2"/>
        </w:numPr>
        <w:spacing w:after="80" w:line="320"/>
      </w:pPr>
      <w:r>
        <w:t xml:space="preserve">Etapa 2 — Fine-tuning (hasta 80 epochs con early stopping). Backbone descongelado, lr = 1e-4 con AdamW (weight decay = 5e-4), scheduler cosine annealing con 3 epochs de warmup, label smoothing 0,1, mixup α = 0,2 y CutMix α = 1,0. Early stopping con paciencia 15 epochs sobre val_acc.</w:t>
      </w:r>
    </w:p>
    <w:p>
      <w:pPr>
        <w:spacing w:after="120" w:line="360"/>
        <w:jc w:val="both"/>
      </w:pPr>
      <w:r>
        <w:t xml:space="preserve">Para mitigar el desbalance entre clases (Cathartes aura con &gt; 1000 imágenes vs. Harpia harpyja con ~ 60) se aplica cross-entropy ponderada con pesos w_i = N / (C · n_i), donde N es el tamaño total del train, C el número de clases (53) y n_i el número de muestras de la clase i. Se activa también AMP (Automatic Mixed Precision) y gradient accumulation con paso 2 para entrenar en una GPU RTX 3050 4 GB con batch efectivo equivalente a 32.</w:t>
      </w:r>
    </w:p>
    <w:p>
      <w:pPr>
        <w:pStyle w:val="Heading2"/>
      </w:pPr>
      <w:r>
        <w:t xml:space="preserve">3.7 Métricas y validación</w:t>
      </w:r>
    </w:p>
    <w:p>
      <w:pPr>
        <w:spacing w:after="120" w:line="360"/>
        <w:jc w:val="both"/>
      </w:pPr>
      <w:r>
        <w:t xml:space="preserve">Se reportan: accuracy global, F1-macro, F1 por especie, precision/recall por especie, matriz de confusión 53×53, y AUC de la matriz binaria (one-vs-rest) para cada clase. La interpretabilidad del modelo se valida mediante Gradient-weighted Class Activation Mapping (Grad-CAM, Selvaraju et al., 2020) aplicado al último bloque convolucional. Se inspecciona manualmente la atención del modelo sobre al menos 20 imágenes por clase, verificando que el mapa Grad-CAM destaque la silueta del ave y no elementos del fondo (cielo, árboles).</w:t>
      </w:r>
    </w:p>
    <w:p>
      <w:pPr>
        <w:pStyle w:val="Heading2"/>
      </w:pPr>
      <w:r>
        <w:t xml:space="preserve">3.8 Componente social: catálogo de señas en International Sign</w:t>
      </w:r>
    </w:p>
    <w:p>
      <w:pPr>
        <w:pStyle w:val="Heading3"/>
      </w:pPr>
      <w:r>
        <w:t xml:space="preserve">3.8.1 Co-diseño con la comunidad sorda</w:t>
      </w:r>
    </w:p>
    <w:p>
      <w:pPr>
        <w:spacing w:after="120" w:line="360"/>
        <w:jc w:val="both"/>
      </w:pPr>
      <w:r>
        <w:t xml:space="preserve">Cada una de las 53 señas se diseña en tres iteraciones: (i) propuesta inicial del investigador basada en rasgos morfológicos diagnósticos (cresta, cola, color, comportamiento), (ii) revisión y refinamiento en taller con grupo focal de personas sordas usuarias de IS, y (iii) validación cuantitativa con escala Likert sobre claridad, naturalidad y memorabilidad (umbral mínimo 4,0 sobre 5). La metodología sigue los principios de co-creación del Manifiesto de la World Federation of the Deaf (2019) y los criterios para diseño de léxico técnico de López-Núñez et al. (2018).</w:t>
      </w:r>
    </w:p>
    <w:p>
      <w:pPr>
        <w:pStyle w:val="Heading3"/>
      </w:pPr>
      <w:r>
        <w:t xml:space="preserve">3.8.2 Test de retención</w:t>
      </w:r>
    </w:p>
    <w:p>
      <w:pPr>
        <w:spacing w:after="120" w:line="360"/>
        <w:jc w:val="both"/>
      </w:pPr>
      <w:r>
        <w:t xml:space="preserve">Tras una pausa de 10 minutos al final de cada sesión de validación, se aplica un test de retención: se proyectan videos aleatorios de 14 de las señas evaluadas y el participante indica a qué especie corresponden. La proporción correcta entrega una métrica adicional de memorabilidad complementaria al ítem Likert.</w:t>
      </w:r>
    </w:p>
    <w:p>
      <w:pPr>
        <w:pStyle w:val="Heading2"/>
      </w:pPr>
      <w:r>
        <w:t xml:space="preserve">3.9 Despliegue del sistema</w:t>
      </w:r>
    </w:p>
    <w:p>
      <w:pPr>
        <w:spacing w:after="120" w:line="360"/>
        <w:jc w:val="both"/>
      </w:pPr>
      <w:r>
        <w:t xml:space="preserve">El sistema final se despliega como aplicación web Flask (app_flask/app.py) basada en el patrón GUI del proyecto hermano raptor_australia: drag-drop de imagen y video, salida con top-3 candidatos, mapa Grad-CAM, ficha enriquecida estilo Merlin Bird ID (distribución, dieta, comportamiento, migración, IUCN/NOM-059, longitud, envergadura, diagnóstico, dato curioso), video de la seña IS, formulario de observación citizen-science con coordenadas opcionales y exportación Darwin Core lista para upload a iNaturalist o GBIF. Un módulo de feedback registra correcciones del usuario y permite retraining incremental cuando se acumulan al menos 50 correcciones (active learning).</w:t>
      </w:r>
    </w:p>
    <w:p>
      <w:pPr>
        <w:pStyle w:val="Heading2"/>
      </w:pPr>
      <w:r>
        <w:t xml:space="preserve">3.10 Reproducibilidad</w:t>
      </w:r>
    </w:p>
    <w:p>
      <w:pPr>
        <w:spacing w:after="120" w:line="360"/>
        <w:jc w:val="both"/>
      </w:pPr>
      <w:r>
        <w:t xml:space="preserve">Se garantiza reproducibilidad mediante: (i) seed = 42 en torch, numpy y random; (ii) torch.backends.cudnn.deterministic = True; (iii) lista exacta de paquetes versionada en environment.yml; (iv) hash SHA-256 de cada imagen registrado en datos/annotations/; (v) commits etiquetados (tags) en el repositorio github.com/ZOMBIECRAFTIAN/raptors-cnn correspondientes a cada experimento; (vi) liberación de pesos, código y catálogo de señas bajo licencia MIT (código) y CC-BY (datos y señas).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Página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Capítulo 3 — Metodología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5985"/>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59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 — Metodología</dc:title>
  <dc:creator>Brian Fernández Báez</dc:creator>
  <dc:description>Tesis sobre identificación de aves rapaces de México por silueta y comportamiento de vuelo mediante IA + International Sign</dc:description>
  <cp:lastModifiedBy>Un-named</cp:lastModifiedBy>
  <cp:revision>1</cp:revision>
  <dcterms:created xsi:type="dcterms:W3CDTF">2026-05-20T11:55:51.273Z</dcterms:created>
  <dcterms:modified xsi:type="dcterms:W3CDTF">2026-05-20T11:55:51.273Z</dcterms:modified>
</cp:coreProperties>
</file>

<file path=docProps/custom.xml><?xml version="1.0" encoding="utf-8"?>
<Properties xmlns="http://schemas.openxmlformats.org/officeDocument/2006/custom-properties" xmlns:vt="http://schemas.openxmlformats.org/officeDocument/2006/docPropsVTypes"/>
</file>