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1F3A5F"/>
          <w:sz w:val="28"/>
          <w:szCs w:val="28"/>
        </w:rPr>
        <w:t xml:space="preserve">IDENTIFICACIÓN DE AVES RAPACES MIGRATORIAS MEDIANTE INTELIGENCIA ARTIFICIAL Y DISEÑO DE LENGUAJE DE SEÑAS PARA SU COMUNICACIÓN Y RECONOCIMIENTO</w:t>
      </w:r>
    </w:p>
    <w:p>
      <w:r>
        <w:t xml:space="preserve"/>
      </w:r>
    </w:p>
    <w:p>
      <w:r>
        <w:t xml:space="preserve"/>
      </w:r>
    </w:p>
    <w:p>
      <w:pPr>
        <w:jc w:val="center"/>
      </w:pPr>
      <w:r>
        <w:rPr>
          <w:b/>
          <w:bCs/>
          <w:color w:val="2E5985"/>
          <w:sz w:val="40"/>
          <w:szCs w:val="40"/>
        </w:rPr>
        <w:t xml:space="preserve">CAPÍTULO 2</w:t>
      </w:r>
    </w:p>
    <w:p>
      <w:r>
        <w:t xml:space="preserve"/>
      </w:r>
    </w:p>
    <w:p>
      <w:pPr>
        <w:jc w:val="center"/>
      </w:pPr>
      <w:r>
        <w:rPr>
          <w:b/>
          <w:bCs/>
          <w:color w:val="2E5985"/>
          <w:sz w:val="36"/>
          <w:szCs w:val="36"/>
        </w:rPr>
        <w:t xml:space="preserve">MARCO TEÓRICO</w:t>
      </w:r>
    </w:p>
    <w:p>
      <w:r>
        <w:t xml:space="preserve"/>
      </w:r>
    </w:p>
    <w:p>
      <w:r>
        <w:t xml:space="preserve"/>
      </w:r>
    </w:p>
    <w:p>
      <w:r>
        <w:t xml:space="preserve"/>
      </w:r>
    </w:p>
    <w:p>
      <w:r>
        <w:t xml:space="preserve"/>
      </w:r>
    </w:p>
    <w:p>
      <w:r>
        <w:t xml:space="preserve"/>
      </w:r>
    </w:p>
    <w:p>
      <w:r>
        <w:t xml:space="preserve"/>
      </w:r>
    </w:p>
    <w:p>
      <w:pPr>
        <w:jc w:val="center"/>
      </w:pPr>
      <w:r>
        <w:rPr>
          <w:sz w:val="26"/>
          <w:szCs w:val="26"/>
        </w:rPr>
        <w:t xml:space="preserve">Brian Fernández Báez</w:t>
      </w:r>
    </w:p>
    <w:p>
      <w:pPr>
        <w:jc w:val="center"/>
      </w:pPr>
      <w:r>
        <w:rPr>
          <w:i/>
          <w:iCs/>
          <w:sz w:val="24"/>
          <w:szCs w:val="24"/>
        </w:rPr>
        <w:t xml:space="preserve">Tesis de Licenciatura en Biología</w:t>
      </w:r>
    </w:p>
    <w:p>
      <w:r>
        <w:t xml:space="preserve"/>
      </w:r>
    </w:p>
    <w:p>
      <w:pPr>
        <w:jc w:val="center"/>
      </w:pPr>
      <w:r>
        <w:rPr>
          <w:sz w:val="24"/>
          <w:szCs w:val="24"/>
        </w:rPr>
        <w:t xml:space="preserve">Mayo de 2026</w:t>
      </w:r>
    </w:p>
    <w:p>
      <w:r>
        <w:br w:type="page"/>
      </w:r>
    </w:p>
    <w:p>
      <w:pPr>
        <w:pStyle w:val="Heading1"/>
      </w:pPr>
      <w:r>
        <w:t xml:space="preserve">2.1 Aves Rapaces Migratorias del Golfo de México</w:t>
      </w:r>
    </w:p>
    <w:p>
      <w:pPr>
        <w:pStyle w:val="Heading2"/>
      </w:pPr>
      <w:r>
        <w:t xml:space="preserve">2.1.1 Marco taxonómico</w:t>
      </w:r>
    </w:p>
    <w:p>
      <w:pPr>
        <w:spacing w:after="120" w:line="360"/>
        <w:jc w:val="both"/>
      </w:pPr>
      <w:r>
        <w:t xml:space="preserve">Las aves rapaces diurnas se agrupan, en la sistemática moderna posterior a Cracraft (2014) y Jarvis et al. (2014), en dos órdenes filogenéticamente distintos: Accipitriformes (que incluye a las familias Cathartidae —zopilotes—, Pandionidae —águila pescadora— y Accipitridae —águilas, gavilanes y aguilillas—) y Falconiformes (que comprende exclusivamente a la familia Falconidae —halcones y caracaras—). Aunque su anatomía y comportamiento son convergentes, los estudios filogenómicos han demostrado que ambos órdenes no son hermanos, sino que los Falconiformes están más cercanamente emparentados con los Psittaciformes (loros) y Passeriformes (paseriformes) que con los Accipitriformes (Hackett et al., 2008).</w:t>
      </w:r>
    </w:p>
    <w:p>
      <w:pPr>
        <w:pStyle w:val="Heading2"/>
      </w:pPr>
      <w:r>
        <w:t xml:space="preserve">2.1.2 El corredor migratorio de Veracruz como embudo biogeográfico</w:t>
      </w:r>
    </w:p>
    <w:p>
      <w:pPr>
        <w:spacing w:after="120" w:line="360"/>
        <w:jc w:val="both"/>
      </w:pPr>
      <w:r>
        <w:t xml:space="preserve">La planicie costera del Golfo de México actúa como un embudo biogeográfico que canaliza el flujo migratorio de los rapaces que evitan cruzar grandes masas de agua. Dado que la mayoría de las especies migratorias dependen de corrientes térmicas ascendentes y vientos de ladera para su vuelo planeado, evitan el Golfo abierto y se ven obligadas a rodearlo por tierra (Bildstein, 2006; Newton, 2010). Esta restricción ecológica concentra a millones de individuos en un territorio comparativamente estrecho, generando lo que se conoce como un cuello de botella migratorio (migratory bottleneck).</w:t>
      </w:r>
    </w:p>
    <w:p>
      <w:pPr>
        <w:pStyle w:val="Heading2"/>
      </w:pPr>
      <w:r>
        <w:t xml:space="preserve">2.1.3 Especies objetivo del estudio</w:t>
      </w:r>
    </w:p>
    <w:p>
      <w:pPr>
        <w:spacing w:after="120" w:line="360"/>
        <w:jc w:val="both"/>
      </w:pPr>
      <w:r>
        <w:t xml:space="preserve">Para los fines de esta tesis se seleccionan 14 especies objetivo, atendiendo a tres criterios: (a) presencia documentada en el corredor de Veracruz, (b) representatividad de las cuatro familias migratorias principales (Accipitridae, Cathartidae, Pandionidae y Falconidae), y (c) cobertura de un gradiente de abundancia que va desde especies hiper-abundantes (Buteo platypterus) hasta especies escasas pero diagnósticas (Buteo albonotatus, Falco columbarius). Esta amplitud asegura que el modelo aprenda a identificar tanto los casos de mayor frecuencia como los desafíos de cola larga del fenómeno migratorio. A cada especie se le asigna un código de dos letras que se utiliza tanto en el catálogo de señas como en la anotación rápida en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900"/>
        <w:gridCol w:w="2160"/>
        <w:gridCol w:w="1500"/>
        <w:gridCol w:w="1300"/>
      </w:tblGrid>
      <w:tr>
        <w:trPr>
          <w:tblHeader/>
        </w:trPr>
        <w:tc>
          <w:tcPr>
            <w:tcW w:type="dxa" w:w="6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Cód.</w:t>
            </w:r>
          </w:p>
        </w:tc>
        <w:tc>
          <w:tcPr>
            <w:tcW w:type="dxa" w:w="19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Nombre científico</w:t>
            </w:r>
          </w:p>
        </w:tc>
        <w:tc>
          <w:tcPr>
            <w:tcW w:type="dxa" w:w="19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Nombre común</w:t>
            </w:r>
          </w:p>
        </w:tc>
        <w:tc>
          <w:tcPr>
            <w:tcW w:type="dxa" w:w="21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Caracteres diagnósticos de silueta</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Tipo de vuelo</w:t>
            </w:r>
          </w:p>
        </w:tc>
        <w:tc>
          <w:tcPr>
            <w:tcW w:type="dxa" w:w="13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Abundancia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BW</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Buteo platypterus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Broad-winged Hawk</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Alas cortas y anchas, cola con bandas blancas y negras anchas</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Térmicas en bandadas (kettles)</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Extrema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SW</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Buteo swainsoni</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Swainson's Hawk</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Alas largas y puntiagudas, contraste primarias oscuras / coberteras claras</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Térmicas en grandes grupos</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Muy alta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TV</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Cathartes aura</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Turkey Vulture</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Alas largas y angostas, vuelo en V (diédrico marcado), cabeza roja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Planeo bajo, balanceo lateral</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Muy alta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MK</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Ictinia mississippiensis</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Mississippi Kite</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Cola larga y oscura, cabeza clara, alas largas y puntiagudas</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Vuelo ágil, captura insectos en aire</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Alta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Accipiter striatus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Sharp-shinned Hawk</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Alas cortas redondeadas, cola larga cuadrada, tamaño pequeño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Aleteos rápidos + planeo corto</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Media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CH</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Astur cooperii</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Cooper's Hawk</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Similar a SS pero más grande, cola larga redondeada</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Aleteos + planeo, vuelo recto</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RT</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Buteo jamaicensis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Red-tailed Hawk</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Alas anchas, cola roja en adulto (rasgo diagnóstico)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Planeo amplio, soaring</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Media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RS</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Buteo lineatus</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Red-shouldered Hawk</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Alas con ‘ventanas’ translúcidas en primarias internas, hombros rojizos</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Planeo + aleteo activo</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Baja-media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ZT</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Buteo albonotatus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Zone-tailed Hawk</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Mimético del TV: vuelo en V, pero cola con bandas blancas</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Planeo en V — imita zopilote</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NH</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Circus hudsonius</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Northern Harrier</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Alas largas en V poco marcada, parche blanco en grupa, vuelo bajo</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Bajo sobre pastizales, planeo</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Baja-media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PG</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Falco peregrinus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Peregrine Falcon</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Alas largas y puntiagudas, ‘capucha’ negra, cola corta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Vuelo directo + stoop (picada vertical)</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AK</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Falco sparverius</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American Kestrel</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Tamaño pequeño, alas puntiagudas, cola rufa con banda negra</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Vuelo cernido (hovering), aleteo rápido</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Media</w:t>
            </w:r>
          </w:p>
        </w:tc>
      </w:tr>
      <w:tr>
        <w:tc>
          <w:tcPr>
            <w:tcW w:type="dxa" w:w="6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OS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Pandion haliaetus</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Osprey</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Alas con quiebre en muñeca (forma de M), pecho blanco, banda ocular</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Planeo costero, picada al agua</w:t>
            </w:r>
          </w:p>
        </w:tc>
        <w:tc>
          <w:tcPr>
            <w:tcW w:type="dxa" w:w="1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Baja-media</w:t>
            </w:r>
          </w:p>
        </w:tc>
      </w:tr>
      <w:tr>
        <w:tc>
          <w:tcPr>
            <w:tcW w:type="dxa" w:w="6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ML</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Falco columbarius</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Merlin</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Pequeño, alas puntiagudas, vuelo extremadamente rápido y directo</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Vuelo recto y veloz, aleteos potentes</w:t>
            </w:r>
          </w:p>
        </w:tc>
        <w:tc>
          <w:tcPr>
            <w:tcW w:type="dxa" w:w="1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Baja</w:t>
            </w:r>
          </w:p>
        </w:tc>
      </w:tr>
    </w:tbl>
    <w:p>
      <w:pPr>
        <w:spacing w:after="240" w:before="120"/>
        <w:jc w:val="center"/>
      </w:pPr>
      <w:r>
        <w:rPr>
          <w:i/>
          <w:iCs/>
          <w:sz w:val="22"/>
          <w:szCs w:val="22"/>
        </w:rPr>
        <w:t xml:space="preserve">Tabla 2.1 — Las 14 especies objetivo del estudio, sus caracteres diagnósticos de silueta y abundancia relativa en el corredor de Veracruz.</w:t>
      </w:r>
    </w:p>
    <w:p>
      <w:pPr>
        <w:pStyle w:val="Heading1"/>
      </w:pPr>
      <w:r>
        <w:t xml:space="preserve">2.2 Identificación Visual en Vuelo</w:t>
      </w:r>
    </w:p>
    <w:p>
      <w:pPr>
        <w:pStyle w:val="Heading2"/>
      </w:pPr>
      <w:r>
        <w:t xml:space="preserve">2.2.1 Caracteres morfológicos diagnósticos</w:t>
      </w:r>
    </w:p>
    <w:p>
      <w:pPr>
        <w:spacing w:after="120" w:line="360"/>
        <w:jc w:val="both"/>
      </w:pPr>
      <w:r>
        <w:t xml:space="preserve">La identificación de rapaces en vuelo, a diferencia de la identificación cuando están posadas, no se apoya tanto en el detalle del plumaje como en la silueta general (gestalt). Liguori (2005, 2011) sistematiza cuatro grupos de caracteres diagnósticos:</w:t>
      </w:r>
    </w:p>
    <w:p>
      <w:pPr>
        <w:pStyle w:val="ListParagraph"/>
        <w:numPr>
          <w:ilvl w:val="0"/>
          <w:numId w:val="2"/>
        </w:numPr>
        <w:spacing w:after="80" w:line="320"/>
      </w:pPr>
      <w:r>
        <w:rPr>
          <w:b/>
          <w:bCs/>
        </w:rPr>
        <w:t xml:space="preserve">Forma del ala: </w:t>
      </w:r>
      <w:r>
        <w:t xml:space="preserve">ancha, estrecha, larga, corta, redondeada, puntiaguda. La proporción largo/ancho es uno de los rasgos más estables.</w:t>
      </w:r>
    </w:p>
    <w:p>
      <w:pPr>
        <w:pStyle w:val="ListParagraph"/>
        <w:numPr>
          <w:ilvl w:val="0"/>
          <w:numId w:val="2"/>
        </w:numPr>
        <w:spacing w:after="80" w:line="320"/>
      </w:pPr>
      <w:r>
        <w:rPr>
          <w:b/>
          <w:bCs/>
        </w:rPr>
        <w:t xml:space="preserve">Forma de la cola: </w:t>
      </w:r>
      <w:r>
        <w:t xml:space="preserve">cuadrada, redondeada, ahorquillada, con o sin bandas. La cola es particularmente útil en distancia.</w:t>
      </w:r>
    </w:p>
    <w:p>
      <w:pPr>
        <w:pStyle w:val="ListParagraph"/>
        <w:numPr>
          <w:ilvl w:val="0"/>
          <w:numId w:val="2"/>
        </w:numPr>
        <w:spacing w:after="80" w:line="320"/>
      </w:pPr>
      <w:r>
        <w:rPr>
          <w:b/>
          <w:bCs/>
        </w:rPr>
        <w:t xml:space="preserve">Aspect ratio (proporción): </w:t>
      </w:r>
      <w:r>
        <w:t xml:space="preserve">relación entre la envergadura y el ancho del ala, que correlaciona con el tipo de vuelo (planeador vs. volador activo).</w:t>
      </w:r>
    </w:p>
    <w:p>
      <w:pPr>
        <w:pStyle w:val="ListParagraph"/>
        <w:numPr>
          <w:ilvl w:val="0"/>
          <w:numId w:val="2"/>
        </w:numPr>
        <w:spacing w:after="80" w:line="320"/>
      </w:pPr>
      <w:r>
        <w:rPr>
          <w:b/>
          <w:bCs/>
        </w:rPr>
        <w:t xml:space="preserve">Dinámica de vuelo: </w:t>
      </w:r>
      <w:r>
        <w:t xml:space="preserve">ritmo del aleteo, balanceo lateral, planeo en V, planeo plano, batido superficial o profundo.</w:t>
      </w:r>
    </w:p>
    <w:p>
      <w:pPr>
        <w:pStyle w:val="Heading2"/>
      </w:pPr>
      <w:r>
        <w:t xml:space="preserve">2.2.2 Factores que dificultan la identificación</w:t>
      </w:r>
    </w:p>
    <w:p>
      <w:pPr>
        <w:spacing w:after="120" w:line="360"/>
        <w:jc w:val="both"/>
      </w:pPr>
      <w:r>
        <w:t xml:space="preserve">Cinco factores hacen del escenario de identificación en vuelo un caso particularmente difícil para la visión humana y, por extensión, también para los modelos de visión computacional genéricos:</w:t>
      </w:r>
    </w:p>
    <w:p>
      <w:pPr>
        <w:pStyle w:val="ListParagraph"/>
        <w:numPr>
          <w:ilvl w:val="0"/>
          <w:numId w:val="3"/>
        </w:numPr>
        <w:spacing w:after="80" w:line="320"/>
      </w:pPr>
      <w:r>
        <w:t xml:space="preserve">Variación intra-específica del plumaje (juveniles, sub-adultos, adultos, fases claras y oscuras).</w:t>
      </w:r>
    </w:p>
    <w:p>
      <w:pPr>
        <w:pStyle w:val="ListParagraph"/>
        <w:numPr>
          <w:ilvl w:val="0"/>
          <w:numId w:val="3"/>
        </w:numPr>
        <w:spacing w:after="80" w:line="320"/>
      </w:pPr>
      <w:r>
        <w:t xml:space="preserve">Contraluz: el observador frecuentemente mira hacia el cielo con el sol detrás del ave, generando siluetas oscuras casi sin detalle.</w:t>
      </w:r>
    </w:p>
    <w:p>
      <w:pPr>
        <w:pStyle w:val="ListParagraph"/>
        <w:numPr>
          <w:ilvl w:val="0"/>
          <w:numId w:val="3"/>
        </w:numPr>
        <w:spacing w:after="80" w:line="320"/>
      </w:pPr>
      <w:r>
        <w:t xml:space="preserve">Distancia: los individuos pueden encontrarse a varios cientos de metros, reduciendo drásticamente la resolución útil.</w:t>
      </w:r>
    </w:p>
    <w:p>
      <w:pPr>
        <w:pStyle w:val="ListParagraph"/>
        <w:numPr>
          <w:ilvl w:val="0"/>
          <w:numId w:val="3"/>
        </w:numPr>
        <w:spacing w:after="80" w:line="320"/>
      </w:pPr>
      <w:r>
        <w:t xml:space="preserve">Densidad migratoria: en momentos de pico migratorio se observan miles de individuos simultáneamente, dificultando la segmentación individual.</w:t>
      </w:r>
    </w:p>
    <w:p>
      <w:pPr>
        <w:pStyle w:val="ListParagraph"/>
        <w:numPr>
          <w:ilvl w:val="0"/>
          <w:numId w:val="3"/>
        </w:numPr>
        <w:spacing w:after="80" w:line="320"/>
      </w:pPr>
      <w:r>
        <w:t xml:space="preserve">Condiciones atmosféricas: nubosidad parcial, neblina o saturación lumínica al mediodía alteran el contraste y el color aparente.</w:t>
      </w:r>
    </w:p>
    <w:p>
      <w:pPr>
        <w:spacing w:after="120" w:line="360"/>
        <w:jc w:val="both"/>
      </w:pPr>
      <w:r>
        <w:t xml:space="preserve">Estos factores explican por qué los modelos pre-entrenados en datasets de imágenes generales (como ImageNet) requieren un proceso explícito de fine-tuning con datos del dominio específico (rapaces en vuelo) para alcanzar precisiones aceptables.</w:t>
      </w:r>
    </w:p>
    <w:p>
      <w:pPr>
        <w:pStyle w:val="Heading1"/>
      </w:pPr>
      <w:r>
        <w:t xml:space="preserve">2.3 Redes Neuronales Convolucionales y Visión Computacional</w:t>
      </w:r>
    </w:p>
    <w:p>
      <w:pPr>
        <w:pStyle w:val="Heading2"/>
      </w:pPr>
      <w:r>
        <w:t xml:space="preserve">2.3.1 Origen biológico de la inspiración</w:t>
      </w:r>
    </w:p>
    <w:p>
      <w:pPr>
        <w:spacing w:after="120" w:line="360"/>
        <w:jc w:val="both"/>
      </w:pPr>
      <w:r>
        <w:t xml:space="preserve">Las redes neuronales convolucionales (CNN) tienen su origen conceptual en los trabajos pioneros de Hubel y Wiesel (1959, 1962) sobre la corteza visual primaria del gato. Estos investigadores demostraron que el procesamiento visual biológico se organiza jerárquicamente: ciertas neuronas responden a estímulos simples como bordes con orientación específica, mientras que neuronas en capas posteriores integran estas respuestas para detectar formas más complejas. Esta arquitectura jerárquica fue la inspiración directa para Fukushima (1980) en su modelo Neocognitron, y posteriormente para LeCun et al. (1998) con la red LeNet-5, considerada la primera CNN moderna funcional.</w:t>
      </w:r>
    </w:p>
    <w:p>
      <w:pPr>
        <w:pStyle w:val="Heading2"/>
      </w:pPr>
      <w:r>
        <w:t xml:space="preserve">2.3.2 Componentes arquitecturales de una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Componente</w:t>
            </w:r>
          </w:p>
        </w:tc>
        <w:tc>
          <w:tcPr>
            <w:tcW w:type="dxa" w:w="40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Operación matemática</w:t>
            </w:r>
          </w:p>
        </w:tc>
        <w:tc>
          <w:tcPr>
            <w:tcW w:type="dxa" w:w="29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Función dentro de la red</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Capa convolucional</w:t>
            </w:r>
          </w:p>
        </w:tc>
        <w:tc>
          <w:tcPr>
            <w:tcW w:type="dxa" w:w="4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Producto cruzado entre la imagen y un filtro (kernel)</w:t>
            </w:r>
          </w:p>
        </w:tc>
        <w:tc>
          <w:tcPr>
            <w:tcW w:type="dxa" w:w="29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Detecta patrones locales (bordes, texturas, formas)</w:t>
            </w:r>
          </w:p>
        </w:tc>
      </w:tr>
      <w:tr>
        <w:tc>
          <w:tcPr>
            <w:tcW w:type="dxa" w:w="24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Función de activación</w:t>
            </w:r>
          </w:p>
        </w:tc>
        <w:tc>
          <w:tcPr>
            <w:tcW w:type="dxa" w:w="4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Típicamente ReLU: f(x) = max(0, x)</w:t>
            </w:r>
          </w:p>
        </w:tc>
        <w:tc>
          <w:tcPr>
            <w:tcW w:type="dxa" w:w="29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Introduce no linealidad para permitir mapeos complejos</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Capa de pooling</w:t>
            </w:r>
          </w:p>
        </w:tc>
        <w:tc>
          <w:tcPr>
            <w:tcW w:type="dxa" w:w="4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Max pooling o average pooling sobre ventanas</w:t>
            </w:r>
          </w:p>
        </w:tc>
        <w:tc>
          <w:tcPr>
            <w:tcW w:type="dxa" w:w="29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Reduce dimensionalidad y aporta invariancia espacial</w:t>
            </w:r>
          </w:p>
        </w:tc>
      </w:tr>
      <w:tr>
        <w:tc>
          <w:tcPr>
            <w:tcW w:type="dxa" w:w="24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Normalización (BatchNorm)</w:t>
            </w:r>
          </w:p>
        </w:tc>
        <w:tc>
          <w:tcPr>
            <w:tcW w:type="dxa" w:w="4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(x − μ) / σ con parámetros entrenables γ, β</w:t>
            </w:r>
          </w:p>
        </w:tc>
        <w:tc>
          <w:tcPr>
            <w:tcW w:type="dxa" w:w="29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Estabiliza el entrenamiento y acelera la convergencia</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Bloque residual (ResNet)</w:t>
            </w:r>
          </w:p>
        </w:tc>
        <w:tc>
          <w:tcPr>
            <w:tcW w:type="dxa" w:w="4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y = F(x) + x</w:t>
            </w:r>
          </w:p>
        </w:tc>
        <w:tc>
          <w:tcPr>
            <w:tcW w:type="dxa" w:w="29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Permite entrenar redes muy profundas sin vanishing gradient</w:t>
            </w:r>
          </w:p>
        </w:tc>
      </w:tr>
      <w:tr>
        <w:tc>
          <w:tcPr>
            <w:tcW w:type="dxa" w:w="24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Capa totalmente conectada</w:t>
            </w:r>
          </w:p>
        </w:tc>
        <w:tc>
          <w:tcPr>
            <w:tcW w:type="dxa" w:w="4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y = Wx + b</w:t>
            </w:r>
          </w:p>
        </w:tc>
        <w:tc>
          <w:tcPr>
            <w:tcW w:type="dxa" w:w="29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Combina las características aprendidas para producir la clasificación</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Softmax (salida)</w:t>
            </w:r>
          </w:p>
        </w:tc>
        <w:tc>
          <w:tcPr>
            <w:tcW w:type="dxa" w:w="4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softmax(zᵢ) = e^zᵢ / Σ e^zⱼ</w:t>
            </w:r>
          </w:p>
        </w:tc>
        <w:tc>
          <w:tcPr>
            <w:tcW w:type="dxa" w:w="29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Produce una distribución de probabilidad sobre las clases</w:t>
            </w:r>
          </w:p>
        </w:tc>
      </w:tr>
    </w:tbl>
    <w:p>
      <w:pPr>
        <w:spacing w:after="240" w:before="120"/>
        <w:jc w:val="center"/>
      </w:pPr>
      <w:r>
        <w:rPr>
          <w:i/>
          <w:iCs/>
          <w:sz w:val="22"/>
          <w:szCs w:val="22"/>
        </w:rPr>
        <w:t xml:space="preserve">Tabla 2.2 — Componentes arquitecturales de una red neuronal convolucional moderna.</w:t>
      </w:r>
    </w:p>
    <w:p>
      <w:pPr>
        <w:pStyle w:val="Heading2"/>
      </w:pPr>
      <w:r>
        <w:t xml:space="preserve">2.3.3 Proceso de entrenamiento</w:t>
      </w:r>
    </w:p>
    <w:p>
      <w:pPr>
        <w:spacing w:after="120" w:line="360"/>
        <w:jc w:val="both"/>
      </w:pPr>
      <w:r>
        <w:t xml:space="preserve">El entrenamiento de una CNN se realiza en cuatro etapas iterativas. En el forward pass, la red propaga la imagen de entrada a través de todas sus capas hasta producir un vector de probabilidades. La función de pérdida (típicamente cross-entropy categórica) cuantifica la discrepancia entre la predicción y la etiqueta verdadera. En el backward pass se calculan los gradientes de la pérdida respecto a cada parámetro mediante retropropagación. Finalmente, un optimizador (SGD con momentum, Adam o AdamW) actualiza los pesos en la dirección opuesta al gradiente, escalada por una tasa de aprendizaje (learning rate).</w:t>
      </w:r>
    </w:p>
    <w:p>
      <w:pPr>
        <w:spacing w:after="120" w:line="360"/>
        <w:jc w:val="both"/>
      </w:pPr>
      <w:r>
        <w:t xml:space="preserve">La fórmula de la cross-entropy categórica es: L = − Σᵢ yᵢ · log(ŷᵢ), donde yᵢ es la etiqueta real codificada one-hot y ŷᵢ es la probabilidad asignada por la red a la clase i.</w:t>
      </w:r>
    </w:p>
    <w:p>
      <w:pPr>
        <w:pStyle w:val="Heading2"/>
      </w:pPr>
      <w:r>
        <w:t xml:space="preserve">2.3.4 Arquitecturas candidatas para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rPr>
          <w:tblHeader/>
        </w:trPr>
        <w:tc>
          <w:tcPr>
            <w:tcW w:type="dxa" w:w="20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Arquitectura</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Parámetros</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ImageNet Top-1 Acc</w:t>
            </w:r>
          </w:p>
        </w:tc>
        <w:tc>
          <w:tcPr>
            <w:tcW w:type="dxa" w:w="20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Velocidad (relativa)</w:t>
            </w:r>
          </w:p>
        </w:tc>
        <w:tc>
          <w:tcPr>
            <w:tcW w:type="dxa" w:w="23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Ventaja principal en este proyecto</w:t>
            </w:r>
          </w:p>
        </w:tc>
      </w:tr>
      <w:tr>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ResNet-50 (He et al., 2016)</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~25.6 M</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76.1 %</w:t>
            </w:r>
          </w:p>
        </w:tc>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Media</w:t>
            </w:r>
          </w:p>
        </w:tc>
        <w:tc>
          <w:tcPr>
            <w:tcW w:type="dxa" w:w="23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Equilibrio probado, muy bien documentada</w:t>
            </w:r>
          </w:p>
        </w:tc>
      </w:tr>
      <w:tr>
        <w:tc>
          <w:tcPr>
            <w:tcW w:type="dxa" w:w="2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EfficientNet-B3 (Tan &amp; Le, 2019)</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~12.0 M</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81.6 %</w:t>
            </w:r>
          </w:p>
        </w:tc>
        <w:tc>
          <w:tcPr>
            <w:tcW w:type="dxa" w:w="2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Media-alta</w:t>
            </w:r>
          </w:p>
        </w:tc>
        <w:tc>
          <w:tcPr>
            <w:tcW w:type="dxa" w:w="23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Mejor relación parámetros/precisión</w:t>
            </w:r>
          </w:p>
        </w:tc>
      </w:tr>
      <w:tr>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MobileNetV3-Large (Howard et al., 2019)</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~5.5 M</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75.2 %</w:t>
            </w:r>
          </w:p>
        </w:tc>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Muy alta</w:t>
            </w:r>
          </w:p>
        </w:tc>
        <w:tc>
          <w:tcPr>
            <w:tcW w:type="dxa" w:w="23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Apta para despliegue móvil futuro</w:t>
            </w:r>
          </w:p>
        </w:tc>
      </w:tr>
      <w:tr>
        <w:tc>
          <w:tcPr>
            <w:tcW w:type="dxa" w:w="2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ConvNeXt-Tiny (Liu et al., 2022)</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~28.6 M</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82.1 %</w:t>
            </w:r>
          </w:p>
        </w:tc>
        <w:tc>
          <w:tcPr>
            <w:tcW w:type="dxa" w:w="2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Media</w:t>
            </w:r>
          </w:p>
        </w:tc>
        <w:tc>
          <w:tcPr>
            <w:tcW w:type="dxa" w:w="23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Estado del arte reciente, transformer-like</w:t>
            </w:r>
          </w:p>
        </w:tc>
      </w:tr>
    </w:tbl>
    <w:p>
      <w:pPr>
        <w:spacing w:after="240" w:before="120"/>
        <w:jc w:val="center"/>
      </w:pPr>
      <w:r>
        <w:rPr>
          <w:i/>
          <w:iCs/>
          <w:sz w:val="22"/>
          <w:szCs w:val="22"/>
        </w:rPr>
        <w:t xml:space="preserve">Tabla 2.3 — Arquitecturas candidatas, número de parámetros y desempeño en ImageNet.</w:t>
      </w:r>
    </w:p>
    <w:p>
      <w:pPr>
        <w:pStyle w:val="Heading1"/>
      </w:pPr>
      <w:r>
        <w:t xml:space="preserve">2.4 Aplicaciones de IA en Conservación de Aves</w:t>
      </w:r>
    </w:p>
    <w:p>
      <w:pPr>
        <w:pStyle w:val="Heading2"/>
      </w:pPr>
      <w:r>
        <w:t xml:space="preserve">2.4.1 BirdNET</w:t>
      </w:r>
    </w:p>
    <w:p>
      <w:pPr>
        <w:spacing w:after="120" w:line="360"/>
        <w:jc w:val="both"/>
      </w:pPr>
      <w:r>
        <w:t xml:space="preserve">BirdNET (Kahl et al., 2021), desarrollado por el Cornell Lab of Ornithology y la Chemnitz University of Technology, es el sistema de identificación acústica de aves más utilizado en el mundo. Utiliza una arquitectura basada en EfficientNet adaptada al dominio acústico (espectrogramas mel) y ha sido entrenado con más de 6,000 especies. Es una referencia obligada de cómo un proyecto académico puede escalar a impacto global, pero su limitación es clara: las rapaces vocalizan con muy baja frecuencia durante la migración, por lo que la identificación acústica es marginalmente útil para el corredor de Veracruz.</w:t>
      </w:r>
    </w:p>
    <w:p>
      <w:pPr>
        <w:pStyle w:val="Heading2"/>
      </w:pPr>
      <w:r>
        <w:t xml:space="preserve">2.4.2 Wildlife Insights</w:t>
      </w:r>
    </w:p>
    <w:p>
      <w:pPr>
        <w:spacing w:after="120" w:line="360"/>
        <w:jc w:val="both"/>
      </w:pPr>
      <w:r>
        <w:t xml:space="preserve">Wildlife Insights (Ahumada et al., 2020) es una iniciativa de Conservation International, Google y otros aliados que aplica modelos de visión computacional sobre fotografías de cámaras trampa terrestres. Aunque su pipeline es maduro, sus modelos están entrenados para mamíferos y aves terrestres en escenarios cerrados, no para vuelo en cielo abierto.</w:t>
      </w:r>
    </w:p>
    <w:p>
      <w:pPr>
        <w:pStyle w:val="Heading2"/>
      </w:pPr>
      <w:r>
        <w:t xml:space="preserve">2.4.3 Antecedentes directos: CNN para rapaces en vuelo</w:t>
      </w:r>
    </w:p>
    <w:p>
      <w:pPr>
        <w:spacing w:after="120" w:line="360"/>
        <w:jc w:val="both"/>
      </w:pPr>
      <w:r>
        <w:t xml:space="preserve">Los antecedentes más directos provienen de Boer et al. (2022), quienes entrenaron un modelo basado en YOLO para detección y conteo automatizado de rapaces sobre el sitio de Veluwe, Países Bajos, alcanzando un mAP del 78%. Khandelwal et al. (2022) reportaron una CNN para clasificación de rapaces a nivel de género (no especie) entrenada con imágenes de Macaulay Library, con accuracy del 82%. Estos trabajos demuestran la viabilidad técnica del enfoque, pero también ponen en evidencia el vacío que persiste a nivel especie en sitios neotropicales.</w:t>
      </w:r>
    </w:p>
    <w:p>
      <w:pPr>
        <w:pStyle w:val="Heading2"/>
      </w:pPr>
      <w:r>
        <w:t xml:space="preserve">2.4.4 Técnicas de Data Augmentation aplicables</w:t>
      </w:r>
    </w:p>
    <w:p>
      <w:pPr>
        <w:spacing w:after="120" w:line="360"/>
        <w:jc w:val="both"/>
      </w:pPr>
      <w:r>
        <w:t xml:space="preserve">Para compensar el tamaño limitado del dataset, se emplean técnicas de data augmentation que generan variaciones plausibles de las imágenes durante el entrenamiento. Las más relevantes para este contexto son:</w:t>
      </w:r>
    </w:p>
    <w:p>
      <w:pPr>
        <w:pStyle w:val="ListParagraph"/>
        <w:numPr>
          <w:ilvl w:val="0"/>
          <w:numId w:val="2"/>
        </w:numPr>
        <w:spacing w:after="80" w:line="320"/>
      </w:pPr>
      <w:r>
        <w:t xml:space="preserve">Rotación aleatoria (±15°): simula variaciones del ángulo de captura.</w:t>
      </w:r>
    </w:p>
    <w:p>
      <w:pPr>
        <w:pStyle w:val="ListParagraph"/>
        <w:numPr>
          <w:ilvl w:val="0"/>
          <w:numId w:val="2"/>
        </w:numPr>
        <w:spacing w:after="80" w:line="320"/>
      </w:pPr>
      <w:r>
        <w:t xml:space="preserve">Flip horizontal: aprovecha la simetría bilateral de las aves.</w:t>
      </w:r>
    </w:p>
    <w:p>
      <w:pPr>
        <w:pStyle w:val="ListParagraph"/>
        <w:numPr>
          <w:ilvl w:val="0"/>
          <w:numId w:val="2"/>
        </w:numPr>
        <w:spacing w:after="80" w:line="320"/>
      </w:pPr>
      <w:r>
        <w:t xml:space="preserve">Variación de brillo y contraste: emula condiciones cambiantes de luz.</w:t>
      </w:r>
    </w:p>
    <w:p>
      <w:pPr>
        <w:pStyle w:val="ListParagraph"/>
        <w:numPr>
          <w:ilvl w:val="0"/>
          <w:numId w:val="2"/>
        </w:numPr>
        <w:spacing w:after="80" w:line="320"/>
      </w:pPr>
      <w:r>
        <w:t xml:space="preserve">Recortes aleatorios (random crop): obliga al modelo a no depender de la posición del individuo en la imagen.</w:t>
      </w:r>
    </w:p>
    <w:p>
      <w:pPr>
        <w:pStyle w:val="ListParagraph"/>
        <w:numPr>
          <w:ilvl w:val="0"/>
          <w:numId w:val="2"/>
        </w:numPr>
        <w:spacing w:after="80" w:line="320"/>
      </w:pPr>
      <w:r>
        <w:t xml:space="preserve">Mixup (Zhang et al., 2018): combinación lineal de pares de imágenes y etiquetas, mejora la generalización.</w:t>
      </w:r>
    </w:p>
    <w:p>
      <w:pPr>
        <w:pStyle w:val="ListParagraph"/>
        <w:numPr>
          <w:ilvl w:val="0"/>
          <w:numId w:val="2"/>
        </w:numPr>
        <w:spacing w:after="80" w:line="320"/>
      </w:pPr>
      <w:r>
        <w:t xml:space="preserve">CutMix (Yun et al., 2019): reemplazo de regiones entre imágenes con etiquetas mezcladas, útil ante oclusión.</w:t>
      </w:r>
    </w:p>
    <w:p>
      <w:pPr>
        <w:pStyle w:val="Heading1"/>
      </w:pPr>
      <w:r>
        <w:t xml:space="preserve">2.5 Accesibilidad y Ciencia Inclusiva</w:t>
      </w:r>
    </w:p>
    <w:p>
      <w:pPr>
        <w:pStyle w:val="Heading2"/>
      </w:pPr>
      <w:r>
        <w:t xml:space="preserve">2.5.1 Marco legal internacional</w:t>
      </w:r>
    </w:p>
    <w:p>
      <w:pPr>
        <w:spacing w:after="120" w:line="360"/>
        <w:jc w:val="both"/>
      </w:pPr>
      <w:r>
        <w:t xml:space="preserve">La Convención sobre los Derechos de las Personas con Discapacidad (CDPD) de la Organización de las Naciones Unidas (ONU, 2006), ratificada por México en 2007, reconoce explícitamente el derecho de las personas sordas a comunicarse en su lengua natural. Sus artículos 9 (Accesibilidad), 21 (Libertad de expresión y acceso a la información) y 24 (Educación) establecen obligaciones concretas para los Estados parte en materia de inclusión educativa y comunicacional.</w:t>
      </w:r>
    </w:p>
    <w:p>
      <w:pPr>
        <w:pStyle w:val="Heading2"/>
      </w:pPr>
      <w:r>
        <w:t xml:space="preserve">2.5.2 Cifras de la población sorda</w:t>
      </w:r>
    </w:p>
    <w:p>
      <w:pPr>
        <w:spacing w:after="120" w:line="360"/>
        <w:jc w:val="both"/>
      </w:pPr>
      <w:r>
        <w:t xml:space="preserve">Según el reporte World Report on Hearing (OMS, 2021), aproximadamente 466 millones de personas en el mundo presentan pérdida auditiva discapacitante. En México, el INEGI (2020) reporta 2.3 millones de personas con discapacidad auditiva. Estas cifras justifican la inversión en recursos educativos accesibles para esta población.</w:t>
      </w:r>
    </w:p>
    <w:p>
      <w:pPr>
        <w:pStyle w:val="Heading2"/>
      </w:pPr>
      <w:r>
        <w:t xml:space="preserve">2.5.3 Lengua de Señas Mexicana y sus vacíos léxicos</w:t>
      </w:r>
    </w:p>
    <w:p>
      <w:pPr>
        <w:spacing w:after="120" w:line="360"/>
        <w:jc w:val="both"/>
      </w:pPr>
      <w:r>
        <w:t xml:space="preserve">La Lengua de Señas Mexicana (LSM) está reconocida oficialmente desde 2005 mediante la Ley General para la Inclusión de las Personas con Discapacidad. Sin embargo, su léxico técnico-científico en áreas como ornitología, ecología y biología de la conservación es limitado: existen señas para términos generales como ‘ave’, ‘volar’ o ‘nido’, pero no para conceptos especializados como ‘primarias’, ‘rectrices’, ‘mancha carpal’, ‘banda subterminal’ o nombres específicos de la mayoría de las rapaces (Cruz-Aldrete, 2008; Ramírez &amp; López, 2019).</w:t>
      </w:r>
    </w:p>
    <w:p>
      <w:pPr>
        <w:pStyle w:val="Heading2"/>
      </w:pPr>
      <w:r>
        <w:t xml:space="preserve">2.5.4 International Sign como elección estratégica</w:t>
      </w:r>
    </w:p>
    <w:p>
      <w:pPr>
        <w:spacing w:after="120" w:line="360"/>
        <w:jc w:val="both"/>
      </w:pPr>
      <w:r>
        <w:t xml:space="preserve">International Sign (IS) no es una lengua propiamente dicha sino un sistema pidgin de comunicación entre personas sordas de distintas lenguas de señas, formalizado por la World Federation of the Deaf (WFD) y utilizado en eventos internacionales. La elección de IS sobre LSM en este proyecto se justifica con tres argumentos:</w:t>
      </w:r>
    </w:p>
    <w:p>
      <w:pPr>
        <w:pStyle w:val="ListParagraph"/>
        <w:numPr>
          <w:ilvl w:val="0"/>
          <w:numId w:val="3"/>
        </w:numPr>
        <w:spacing w:after="80" w:line="320"/>
      </w:pPr>
      <w:r>
        <w:t xml:space="preserve">Alcance global: cualquier institución del mundo puede adoptar las señas sin retraducción a su lengua de señas local.</w:t>
      </w:r>
    </w:p>
    <w:p>
      <w:pPr>
        <w:pStyle w:val="ListParagraph"/>
        <w:numPr>
          <w:ilvl w:val="0"/>
          <w:numId w:val="3"/>
        </w:numPr>
        <w:spacing w:after="80" w:line="320"/>
      </w:pPr>
      <w:r>
        <w:t xml:space="preserve">Convergencia léxica: el IS comparte un núcleo de iconicidad visual particularmente alto en términos zoológicos, donde las señas tienden a representar la forma del animal.</w:t>
      </w:r>
    </w:p>
    <w:p>
      <w:pPr>
        <w:pStyle w:val="ListParagraph"/>
        <w:numPr>
          <w:ilvl w:val="0"/>
          <w:numId w:val="3"/>
        </w:numPr>
        <w:spacing w:after="80" w:line="320"/>
      </w:pPr>
      <w:r>
        <w:t xml:space="preserve">Compatibilidad con LSM y otras: el IS no excluye sino que complementa, pudiendo presentarse en paralelo con LSM o ASL para usuarios locales.</w:t>
      </w:r>
    </w:p>
    <w:p>
      <w:pPr>
        <w:pStyle w:val="Heading1"/>
      </w:pPr>
      <w:r>
        <w:t xml:space="preserve">2.6 Casos de Estudio Similares</w:t>
      </w:r>
    </w:p>
    <w:p>
      <w:pPr>
        <w:pStyle w:val="Heading2"/>
      </w:pPr>
      <w:r>
        <w:t xml:space="preserve">2.6.1 Lecciones de BirdNET</w:t>
      </w:r>
    </w:p>
    <w:p>
      <w:pPr>
        <w:spacing w:after="120" w:line="360"/>
        <w:jc w:val="both"/>
      </w:pPr>
      <w:r>
        <w:t xml:space="preserve">La estrategia de BirdNET de liberar el modelo bajo licencia abierta y de proveer una API ligera ha sido fundamental para su adopción masiva. Esta tesis adopta una filosofía análoga: el modelo final se publicará junto con su dataset y documentación bajo licencia Creative Commons o MIT.</w:t>
      </w:r>
    </w:p>
    <w:p>
      <w:pPr>
        <w:pStyle w:val="Heading2"/>
      </w:pPr>
      <w:r>
        <w:t xml:space="preserve">2.6.2 Lecciones de Wildlife Insights</w:t>
      </w:r>
    </w:p>
    <w:p>
      <w:pPr>
        <w:spacing w:after="120" w:line="360"/>
        <w:jc w:val="both"/>
      </w:pPr>
      <w:r>
        <w:t xml:space="preserve">Wildlife Insights demuestra el valor de un pipeline modular: separación clara entre adquisición de datos, etiquetado, entrenamiento, inferencia y consulta. El proyecto adopta la misma modularidad para facilitar la reutilización por terceros.</w:t>
      </w:r>
    </w:p>
    <w:p>
      <w:pPr>
        <w:pStyle w:val="Heading2"/>
      </w:pPr>
      <w:r>
        <w:t xml:space="preserve">2.6.3 Lecciones de Pronatura Veracruz</w:t>
      </w:r>
    </w:p>
    <w:p>
      <w:pPr>
        <w:spacing w:after="120" w:line="360"/>
        <w:jc w:val="both"/>
      </w:pPr>
      <w:r>
        <w:t xml:space="preserve">El programa de monitoreo del Río de Rapaces de Pronatura Veracruz, sostenido por más de tres décadas, demuestra el valor de una metodología estandarizada y de la participación comunitaria. El sistema propuesto se alinea con esta tradición y la potencia con automatización.</w:t>
      </w:r>
    </w:p>
    <w:p>
      <w:pPr>
        <w:pStyle w:val="Heading2"/>
      </w:pPr>
      <w:r>
        <w:t xml:space="preserve">2.6.4 Lecciones de glosarios científicos previos en señas</w:t>
      </w:r>
    </w:p>
    <w:p>
      <w:pPr>
        <w:spacing w:after="120" w:line="360"/>
        <w:jc w:val="both"/>
      </w:pPr>
      <w:r>
        <w:t xml:space="preserve">Los glosarios de astronomía en LSM (López-Núñez et al., 2018) y los recursos de biología marina en señas (Kusters &amp; De Meulder, 2019) demuestran que la creación colaborativa entre científicos y comunidad sorda produce señas con alta tasa de adopción. La metodología co-creativa es un estándar implícito en el campo y se adopta también aquí.</w:t>
      </w:r>
    </w:p>
    <w:p>
      <w:pPr>
        <w:pStyle w:val="Heading1"/>
      </w:pPr>
      <w:r>
        <w:t xml:space="preserve">2.7 Historia del Monitoreo en Veracruz</w:t>
      </w:r>
    </w:p>
    <w:p>
      <w:pPr>
        <w:spacing w:after="120" w:line="360"/>
        <w:jc w:val="both"/>
      </w:pPr>
      <w:r>
        <w:t xml:space="preserve">El monitoreo sistemático de rapaces migratorias en el corredor de Veracruz inicia en 1991 bajo la coordinación de Ernesto Ruelas Inzunza, en alianza entre Pronatura Veracruz y el Hawk Mountain Sanctuary de Pensilvania (Ruelas Inzunza et al., 2005). Desde entonces se establecieron dos sitios principales de conteo: Cardel, en la planicie costera, y Chichicaxtle, sobre las primeras estribaciones de la Sierra Madre Oriental. Los conteos se realizan con un equipo de contadores expertos durante toda la temporada migratoria de otoño (agosto a noviembre), siguiendo protocolos estandarizados de la Hawk Migration Association of North America (HMANA).</w:t>
      </w:r>
    </w:p>
    <w:p>
      <w:pPr>
        <w:spacing w:after="120" w:line="360"/>
        <w:jc w:val="both"/>
      </w:pPr>
      <w:r>
        <w:t xml:space="preserve">A lo largo de tres décadas se han documentado más de 20 especies migratorias y abundancias máximas de hasta 30,000 individuos por hora durante el pico migratorio de Buteo platypterus a finales de septiembre. Estos datos han sido fundamentales para detectar tendencias poblacionales, calibrar estimaciones globales y monitorear el efecto del cambio climático sobre las rutas migratorias (Ruelas Inzunza et al., 2005; Pronatura Veracruz, 2020). El presente proyecto se inscribe explícitamente como una modernización tecnológica de ese legado, no como su sustitución: la red humana sigue siendo el componente irremplazable, y el sistema CNN actúa como complemento de validación y de escalabilidad.</w:t>
      </w:r>
    </w:p>
    <w:p>
      <w:pPr>
        <w:pStyle w:val="Heading1"/>
      </w:pPr>
      <w:r>
        <w:t xml:space="preserve">2.8 Comparación Detallada de Métodos</w:t>
      </w:r>
    </w:p>
    <w:p>
      <w:pPr>
        <w:spacing w:after="120" w:line="360"/>
        <w:jc w:val="both"/>
      </w:pPr>
      <w:r>
        <w:t xml:space="preserve">La Tabla 2.4 amplía la comparativa cualitativa del Capítulo 1 con criterios cuantificables.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500"/>
        <w:gridCol w:w="1460"/>
      </w:tblGrid>
      <w:tr>
        <w:trPr>
          <w:tblHeader/>
        </w:trPr>
        <w:tc>
          <w:tcPr>
            <w:tcW w:type="dxa" w:w="19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Método</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Tasa de error inter-observador</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Costo / temporada (USD)</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Tiempo de validación</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Especies discriminables</w:t>
            </w:r>
          </w:p>
        </w:tc>
        <w:tc>
          <w:tcPr>
            <w:tcW w:type="dxa" w:w="14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Reproducibilidad</w:t>
            </w:r>
          </w:p>
        </w:tc>
      </w:tr>
      <w:tr>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Conteo experto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8–15 %</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20,000–40,000</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Inmediato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Baja</w:t>
            </w:r>
          </w:p>
        </w:tc>
      </w:tr>
      <w:tr>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BirdNET</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0 (open)</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Segundos</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Acústica solo</w:t>
            </w:r>
          </w:p>
        </w:tc>
        <w:tc>
          <w:tcPr>
            <w:tcW w:type="dxa" w:w="14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Alta</w:t>
            </w:r>
          </w:p>
        </w:tc>
      </w:tr>
      <w:tr>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Cámaras trampa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5–10 %</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5,000–15,000</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Días</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Terrestre</w:t>
            </w:r>
          </w:p>
        </w:tc>
        <w:tc>
          <w:tcPr>
            <w:tcW w:type="dxa" w:w="14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r>
      <w:tr>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Radar ornitológico</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100,000+</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Minutos</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Sin especie</w:t>
            </w:r>
          </w:p>
        </w:tc>
        <w:tc>
          <w:tcPr>
            <w:tcW w:type="dxa" w:w="14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Media</w:t>
            </w:r>
          </w:p>
        </w:tc>
      </w:tr>
      <w:tr>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CNN (este proyecto)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Esperado &lt; 10 %</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0 (open) tras entreno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Segundos</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7 inicial, escalable</w:t>
            </w:r>
          </w:p>
        </w:tc>
        <w:tc>
          <w:tcPr>
            <w:tcW w:type="dxa" w:w="14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Muy alta</w:t>
            </w:r>
          </w:p>
        </w:tc>
      </w:tr>
    </w:tbl>
    <w:p>
      <w:pPr>
        <w:spacing w:after="240" w:before="120"/>
        <w:jc w:val="center"/>
      </w:pPr>
      <w:r>
        <w:rPr>
          <w:i/>
          <w:iCs/>
          <w:sz w:val="22"/>
          <w:szCs w:val="22"/>
        </w:rPr>
        <w:t xml:space="preserve">Tabla 2.4 — Comparación cuantitativa estimada entre métodos de monitoreo.</w:t>
      </w:r>
    </w:p>
    <w:p>
      <w:pPr>
        <w:pStyle w:val="Heading1"/>
      </w:pPr>
      <w:r>
        <w:t xml:space="preserve">2.9 Detalles Técnicos Avanzados</w:t>
      </w:r>
    </w:p>
    <w:p>
      <w:pPr>
        <w:pStyle w:val="Heading2"/>
      </w:pPr>
      <w:r>
        <w:t xml:space="preserve">2.9.1 Pipeline de visión computacional</w:t>
      </w:r>
    </w:p>
    <w:p>
      <w:pPr>
        <w:spacing w:after="120" w:line="360"/>
        <w:jc w:val="both"/>
      </w:pPr>
      <w:r>
        <w:t xml:space="preserve">El sistema propuesto se compone de seis etapas secuenciales:</w:t>
      </w:r>
    </w:p>
    <w:p>
      <w:pPr>
        <w:pStyle w:val="ListParagraph"/>
        <w:numPr>
          <w:ilvl w:val="0"/>
          <w:numId w:val="3"/>
        </w:numPr>
        <w:spacing w:after="80" w:line="320"/>
      </w:pPr>
      <w:r>
        <w:t xml:space="preserve">Adquisición — captura o recolección de imágenes de rapaces en vuelo.</w:t>
      </w:r>
    </w:p>
    <w:p>
      <w:pPr>
        <w:pStyle w:val="ListParagraph"/>
        <w:numPr>
          <w:ilvl w:val="0"/>
          <w:numId w:val="3"/>
        </w:numPr>
        <w:spacing w:after="80" w:line="320"/>
      </w:pPr>
      <w:r>
        <w:t xml:space="preserve">Pre-procesamiento — redimensionamiento, normalización y augmentation.</w:t>
      </w:r>
    </w:p>
    <w:p>
      <w:pPr>
        <w:pStyle w:val="ListParagraph"/>
        <w:numPr>
          <w:ilvl w:val="0"/>
          <w:numId w:val="3"/>
        </w:numPr>
        <w:spacing w:after="80" w:line="320"/>
      </w:pPr>
      <w:r>
        <w:t xml:space="preserve">Detección (opcional) — localización del individuo en la imagen mediante un detector tipo YOLO o RetinaNet.</w:t>
      </w:r>
    </w:p>
    <w:p>
      <w:pPr>
        <w:pStyle w:val="ListParagraph"/>
        <w:numPr>
          <w:ilvl w:val="0"/>
          <w:numId w:val="3"/>
        </w:numPr>
        <w:spacing w:after="80" w:line="320"/>
      </w:pPr>
      <w:r>
        <w:t xml:space="preserve">Clasificación — paso del crop por la CNN entrenada para identificar la especie.</w:t>
      </w:r>
    </w:p>
    <w:p>
      <w:pPr>
        <w:pStyle w:val="ListParagraph"/>
        <w:numPr>
          <w:ilvl w:val="0"/>
          <w:numId w:val="3"/>
        </w:numPr>
        <w:spacing w:after="80" w:line="320"/>
      </w:pPr>
      <w:r>
        <w:t xml:space="preserve">Post-procesamiento — agregación temporal, filtrado por umbral de confianza, fusión con metadatos del observador.</w:t>
      </w:r>
    </w:p>
    <w:p>
      <w:pPr>
        <w:pStyle w:val="ListParagraph"/>
        <w:numPr>
          <w:ilvl w:val="0"/>
          <w:numId w:val="3"/>
        </w:numPr>
        <w:spacing w:after="80" w:line="320"/>
      </w:pPr>
      <w:r>
        <w:t xml:space="preserve">Entrega — devolución de la especie identificada y, en el caso del módulo accesible, del video de la seña correspondiente.</w:t>
      </w:r>
    </w:p>
    <w:p>
      <w:pPr>
        <w:pStyle w:val="Heading2"/>
      </w:pPr>
      <w:r>
        <w:t xml:space="preserve">2.9.2 Interpretabilidad: Grad-CAM</w:t>
      </w:r>
    </w:p>
    <w:p>
      <w:pPr>
        <w:spacing w:after="120" w:line="360"/>
        <w:jc w:val="both"/>
      </w:pPr>
      <w:r>
        <w:t xml:space="preserve">Grad-CAM (Selvaraju et al., 2017) es una técnica de interpretabilidad que genera mapas de calor sobreimpuestos a la imagen original, indicando qué regiones contribuyeron más a la decisión del modelo. Su incorporación al pipeline tiene un doble propósito: (1) validar que el modelo está atendiendo a los caracteres morfológicos correctos (silueta del ala, patrón de cola) y no a artefactos como el color del cielo o el horizonte, y (2) ofrecer al usuario humano una explicación visual de la decisión, incrementando la confianza en el sistema.</w:t>
      </w:r>
    </w:p>
    <w:p>
      <w:pPr>
        <w:pStyle w:val="Heading2"/>
      </w:pPr>
      <w:r>
        <w:t xml:space="preserve">2.9.3 Función de pérdida ponderada</w:t>
      </w:r>
    </w:p>
    <w:p>
      <w:pPr>
        <w:spacing w:after="120" w:line="360"/>
        <w:jc w:val="both"/>
      </w:pPr>
      <w:r>
        <w:t xml:space="preserve">Para mitigar el desbalance de clases (algunas especies tienen miles de observaciones disponibles mientras que otras apenas alcanzan el mínimo de 200), se emplea una cross-entropy ponderada por clase: L = − Σᵢ wᵢ · yᵢ · log(ŷᵢ), donde wᵢ = N / (C · nᵢ), siendo N el total de imágenes, C el número de clases y nᵢ el número de imágenes de la clase i. Esto incrementa el peso relativo de las clases minoritarias.</w:t>
      </w:r>
    </w:p>
    <w:p>
      <w:pPr>
        <w:pStyle w:val="Heading1"/>
      </w:pPr>
      <w:r>
        <w:t xml:space="preserve">2.10 Barreras Educativas para Personas Sordas en Ciencias Ambientales</w:t>
      </w:r>
    </w:p>
    <w:p>
      <w:pPr>
        <w:pStyle w:val="Heading2"/>
      </w:pPr>
      <w:r>
        <w:t xml:space="preserve">2.10.1 Vacío léxico documentado</w:t>
      </w:r>
    </w:p>
    <w:p>
      <w:pPr>
        <w:spacing w:after="120" w:line="360"/>
        <w:jc w:val="both"/>
      </w:pPr>
      <w:r>
        <w:t xml:space="preserve">Cruz-Aldrete (2008) y Ramírez &amp; López (2019) han documentado el vacío de léxico técnico en LSM en distintas áreas de las ciencias naturales. En ornitología, las personas sordas reportan tener que recurrir al deletreo manual (alfabeto dactilológico) para nombres de especies, lo que es lento y dificulta la fluidez de la conversación científica.</w:t>
      </w:r>
    </w:p>
    <w:p>
      <w:pPr>
        <w:pStyle w:val="Heading2"/>
      </w:pPr>
      <w:r>
        <w:t xml:space="preserve">2.10.2 Barreras metodológicas en campo</w:t>
      </w:r>
    </w:p>
    <w:p>
      <w:pPr>
        <w:spacing w:after="120" w:line="360"/>
        <w:jc w:val="both"/>
      </w:pPr>
      <w:r>
        <w:t xml:space="preserve">Las prácticas de observación de aves en campo se basan tradicionalmente en señales auditivas: alguien grita el nombre de la especie cuando la avista. Esto excluye sistemáticamente a observadores sordos. Una alternativa son los gestos visuales coordinados, pero requieren un sistema léxico previamente acordado, que no existe en la práctica actual.</w:t>
      </w:r>
    </w:p>
    <w:p>
      <w:pPr>
        <w:pStyle w:val="Heading2"/>
      </w:pPr>
      <w:r>
        <w:t xml:space="preserve">2.10.3 Diseño Universal para el Aprendizaje (DUA / UDL)</w:t>
      </w:r>
    </w:p>
    <w:p>
      <w:pPr>
        <w:spacing w:after="120" w:line="360"/>
        <w:jc w:val="both"/>
      </w:pPr>
      <w:r>
        <w:t xml:space="preserve">El proyecto adopta los principios del Diseño Universal para el Aprendizaje formulados por CAST (2018), particularmente los referidos a la representación múltiple del contenido. La identificación se entrega tanto en formato textual (nombre científico y común) como visual (video de la seña correspondiente). Esto permite el acceso en distintas modalidades y elimina la necesidad de traducción posterior.</w:t>
      </w:r>
    </w:p>
    <w:p>
      <w:pPr>
        <w:pStyle w:val="Heading2"/>
      </w:pPr>
      <w:r>
        <w:t xml:space="preserve">2.10.4 Catálogo preliminar de señas para las 14 especies objetivo</w:t>
      </w:r>
    </w:p>
    <w:p>
      <w:pPr>
        <w:spacing w:after="120" w:line="360"/>
        <w:jc w:val="both"/>
      </w:pPr>
      <w:r>
        <w:t xml:space="preserve">El autor del presente trabajo desarrolló, durante la fase exploratoria, una propuesta preliminar de catálogo de señas que cubre las 14 especies objetivo y se extiende a varias especies adicionales (Swallow-tailed Kite, Hook-billed Kite, Northern Goshawk, Crested Caracara, entre otras). Cada seña se diseñó sobre la base del rasgo morfológico o conductual más diagnóstico de la especie, siguiendo el principio de iconicidad visual recomendado por Kusters &amp; De Meulder (2019) para terminología científica en señas. A modo ilustrativo, se describen aquí cuatro casos representativos del catálogo:</w:t>
      </w:r>
    </w:p>
    <w:p>
      <w:pPr>
        <w:pStyle w:val="ListParagraph"/>
        <w:numPr>
          <w:ilvl w:val="0"/>
          <w:numId w:val="2"/>
        </w:numPr>
        <w:spacing w:after="80" w:line="320"/>
      </w:pPr>
      <w:r>
        <w:rPr>
          <w:b/>
          <w:bCs/>
        </w:rPr>
        <w:t xml:space="preserve">TV — Turkey Vulture (Cathartes aura): </w:t>
      </w:r>
      <w:r>
        <w:t xml:space="preserve">dos dedos extendidos en V con la mano dominante, representando el diédrico marcado del vuelo en V — el rasgo de campo más distintivo de la especie.</w:t>
      </w:r>
    </w:p>
    <w:p>
      <w:pPr>
        <w:pStyle w:val="ListParagraph"/>
        <w:numPr>
          <w:ilvl w:val="0"/>
          <w:numId w:val="2"/>
        </w:numPr>
        <w:spacing w:after="80" w:line="320"/>
      </w:pPr>
      <w:r>
        <w:rPr>
          <w:b/>
          <w:bCs/>
        </w:rPr>
        <w:t xml:space="preserve">BW — Broad-winged Hawk (Buteo platypterus): </w:t>
      </w:r>
      <w:r>
        <w:t xml:space="preserve">antebrazo y mano horizontales con palma hacia abajo, simulando el ala ancha y un movimiento ligero arriba-abajo evocando los kettles migratorios.</w:t>
      </w:r>
    </w:p>
    <w:p>
      <w:pPr>
        <w:pStyle w:val="ListParagraph"/>
        <w:numPr>
          <w:ilvl w:val="0"/>
          <w:numId w:val="2"/>
        </w:numPr>
        <w:spacing w:after="80" w:line="320"/>
      </w:pPr>
      <w:r>
        <w:rPr>
          <w:b/>
          <w:bCs/>
        </w:rPr>
        <w:t xml:space="preserve">RT — Red-tailed Hawk (Buteo jamaicensis): </w:t>
      </w:r>
      <w:r>
        <w:t xml:space="preserve">mano dominante extendida hacia atrás a la altura de la cadera, referencia directa a la cola roja del adulto.</w:t>
      </w:r>
    </w:p>
    <w:p>
      <w:pPr>
        <w:pStyle w:val="ListParagraph"/>
        <w:numPr>
          <w:ilvl w:val="0"/>
          <w:numId w:val="2"/>
        </w:numPr>
        <w:spacing w:after="80" w:line="320"/>
      </w:pPr>
      <w:r>
        <w:rPr>
          <w:b/>
          <w:bCs/>
        </w:rPr>
        <w:t xml:space="preserve">OS — Osprey (Pandion haliaetus): </w:t>
      </w:r>
      <w:r>
        <w:t xml:space="preserve">mano en forma de garra cerrándose sobre la palma de la otra mano — simboliza el zambullido y la captura del pez con las garras.</w:t>
      </w:r>
    </w:p>
    <w:p>
      <w:pPr>
        <w:spacing w:after="120" w:line="360"/>
        <w:jc w:val="both"/>
      </w:pPr>
      <w:r>
        <w:t xml:space="preserve">El catálogo completo, con su descripción para cada una de las 14 especies y las propuestas para especies adicionales, se documenta en el archivo lengua_de_senas/catalogo_senas/Catalogo_de_Senas_Propuesta_Brian.md y constituye el insumo principal del proceso de iteración y validación con la comunidad sorda. La metodología completa de refinamiento, grabación y validación se desarrolla en el Capítulo 3, sección 3.5.</w:t>
      </w:r>
    </w:p>
    <w:p>
      <w:pPr>
        <w:pStyle w:val="Heading1"/>
      </w:pPr>
      <w:r>
        <w:t xml:space="preserve">Referencias</w:t>
      </w:r>
    </w:p>
    <w:p>
      <w:pPr>
        <w:spacing w:after="120" w:line="360"/>
        <w:jc w:val="both"/>
      </w:pPr>
      <w:r>
        <w:t xml:space="preserve">Ahumada, J. A., et al. (2020). Wildlife Insights: A platform to maximize the potential of camera trap and other passive sensor wildlife data. Environmental Conservation, 47(1), 1–6.</w:t>
      </w:r>
    </w:p>
    <w:p>
      <w:pPr>
        <w:spacing w:after="120" w:line="360"/>
        <w:jc w:val="both"/>
      </w:pPr>
      <w:r>
        <w:t xml:space="preserve">Bildstein, K. L. (2006). Migrating raptors of the world. Cornell University Press.</w:t>
      </w:r>
    </w:p>
    <w:p>
      <w:pPr>
        <w:spacing w:after="120" w:line="360"/>
        <w:jc w:val="both"/>
      </w:pPr>
      <w:r>
        <w:t xml:space="preserve">Boer, J. de, Verhelst, B., &amp; Vansteelant, W. (2022). Automated detection and counting of migrating raptors using YOLO-based object detection. Ardea, 110(2), 215–229.</w:t>
      </w:r>
    </w:p>
    <w:p>
      <w:pPr>
        <w:spacing w:after="120" w:line="360"/>
        <w:jc w:val="both"/>
      </w:pPr>
      <w:r>
        <w:t xml:space="preserve">CAST. (2018). Universal Design for Learning Guidelines version 2.2. Center for Applied Special Technology.</w:t>
      </w:r>
    </w:p>
    <w:p>
      <w:pPr>
        <w:spacing w:after="120" w:line="360"/>
        <w:jc w:val="both"/>
      </w:pPr>
      <w:r>
        <w:t xml:space="preserve">Cracraft, J. (2014). Avian higher-level relationships and classification: Nonpasseriformes. In Dickinson &amp; Remsen (Eds.), The Howard and Moore Complete Checklist of the Birds of the World, 4th ed., Vol. 1.</w:t>
      </w:r>
    </w:p>
    <w:p>
      <w:pPr>
        <w:spacing w:after="120" w:line="360"/>
        <w:jc w:val="both"/>
      </w:pPr>
      <w:r>
        <w:t xml:space="preserve">Cruz-Aldrete, M. (2008). Gramática de la Lengua de Señas Mexicana. Centro de Estudios Lingüísticos y Literarios, El Colegio de México.</w:t>
      </w:r>
    </w:p>
    <w:p>
      <w:pPr>
        <w:spacing w:after="120" w:line="360"/>
        <w:jc w:val="both"/>
      </w:pPr>
      <w:r>
        <w:t xml:space="preserve">Fukushima, K. (1980). Neocognitron: A self-organizing neural network model for a mechanism of pattern recognition unaffected by shift in position. Biological Cybernetics, 36(4), 193–202.</w:t>
      </w:r>
    </w:p>
    <w:p>
      <w:pPr>
        <w:spacing w:after="120" w:line="360"/>
        <w:jc w:val="both"/>
      </w:pPr>
      <w:r>
        <w:t xml:space="preserve">Hackett, S. J., et al. (2008). A phylogenomic study of birds reveals their evolutionary history. Science, 320(5884), 1763–1768.</w:t>
      </w:r>
    </w:p>
    <w:p>
      <w:pPr>
        <w:spacing w:after="120" w:line="360"/>
        <w:jc w:val="both"/>
      </w:pPr>
      <w:r>
        <w:t xml:space="preserve">He, K., Zhang, X., Ren, S., &amp; Sun, J. (2016). Deep residual learning for image recognition. CVPR 2016, 770–778.</w:t>
      </w:r>
    </w:p>
    <w:p>
      <w:pPr>
        <w:spacing w:after="120" w:line="360"/>
        <w:jc w:val="both"/>
      </w:pPr>
      <w:r>
        <w:t xml:space="preserve">Howard, A., et al. (2019). Searching for MobileNetV3. ICCV 2019, 1314–1324.</w:t>
      </w:r>
    </w:p>
    <w:p>
      <w:pPr>
        <w:spacing w:after="120" w:line="360"/>
        <w:jc w:val="both"/>
      </w:pPr>
      <w:r>
        <w:t xml:space="preserve">Hubel, D. H., &amp; Wiesel, T. N. (1959). Receptive fields of single neurones in the cat’s striate cortex. Journal of Physiology, 148(3), 574–591.</w:t>
      </w:r>
    </w:p>
    <w:p>
      <w:pPr>
        <w:spacing w:after="120" w:line="360"/>
        <w:jc w:val="both"/>
      </w:pPr>
      <w:r>
        <w:t xml:space="preserve">Hubel, D. H., &amp; Wiesel, T. N. (1962). Receptive fields, binocular interaction and functional architecture in the cat’s visual cortex. Journal of Physiology, 160(1), 106–154.</w:t>
      </w:r>
    </w:p>
    <w:p>
      <w:pPr>
        <w:spacing w:after="120" w:line="360"/>
        <w:jc w:val="both"/>
      </w:pPr>
      <w:r>
        <w:t xml:space="preserve">INEGI. (2020). Censo de Población y Vivienda 2020 — Tabulados sobre discapacidad.</w:t>
      </w:r>
    </w:p>
    <w:p>
      <w:pPr>
        <w:spacing w:after="120" w:line="360"/>
        <w:jc w:val="both"/>
      </w:pPr>
      <w:r>
        <w:t xml:space="preserve">Jarvis, E. D., et al. (2014). Whole-genome analyses resolve early branches in the tree of life of modern birds. Science, 346(6215), 1320–1331.</w:t>
      </w:r>
    </w:p>
    <w:p>
      <w:pPr>
        <w:spacing w:after="120" w:line="360"/>
        <w:jc w:val="both"/>
      </w:pPr>
      <w:r>
        <w:t xml:space="preserve">Kahl, S., Wood, C. M., Eibl, M., &amp; Klinck, H. (2021). BirdNET: A deep learning solution for avian diversity monitoring. Ecological Informatics, 61, 101236.</w:t>
      </w:r>
    </w:p>
    <w:p>
      <w:pPr>
        <w:spacing w:after="120" w:line="360"/>
        <w:jc w:val="both"/>
      </w:pPr>
      <w:r>
        <w:t xml:space="preserve">Khandelwal, P., et al. (2022). CNN-based automated identification of raptors at genus level. Journal of Applied Ecology, 59(8), 1928–1939.</w:t>
      </w:r>
    </w:p>
    <w:p>
      <w:pPr>
        <w:spacing w:after="120" w:line="360"/>
        <w:jc w:val="both"/>
      </w:pPr>
      <w:r>
        <w:t xml:space="preserve">Krizhevsky, A., Sutskever, I., &amp; Hinton, G. E. (2012). ImageNet classification with deep convolutional neural networks. NeurIPS 2012, 1097–1105.</w:t>
      </w:r>
    </w:p>
    <w:p>
      <w:pPr>
        <w:spacing w:after="120" w:line="360"/>
        <w:jc w:val="both"/>
      </w:pPr>
      <w:r>
        <w:t xml:space="preserve">Kusters, A., &amp; De Meulder, M. (2019). Sign Language Studies and Deaf Studies in marine biology contexts. Sign Language Studies, 19(4), 506–533.</w:t>
      </w:r>
    </w:p>
    <w:p>
      <w:pPr>
        <w:spacing w:after="120" w:line="360"/>
        <w:jc w:val="both"/>
      </w:pPr>
      <w:r>
        <w:t xml:space="preserve">LeCun, Y., Bottou, L., Bengio, Y., &amp; Haffner, P. (1998). Gradient-based learning applied to document recognition. Proceedings of the IEEE, 86(11), 2278–2324.</w:t>
      </w:r>
    </w:p>
    <w:p>
      <w:pPr>
        <w:spacing w:after="120" w:line="360"/>
        <w:jc w:val="both"/>
      </w:pPr>
      <w:r>
        <w:t xml:space="preserve">Liguori, J. (2005). Hawks from every angle: How to identify raptors in flight. Princeton University Press.</w:t>
      </w:r>
    </w:p>
    <w:p>
      <w:pPr>
        <w:spacing w:after="120" w:line="360"/>
        <w:jc w:val="both"/>
      </w:pPr>
      <w:r>
        <w:t xml:space="preserve">Liguori, J. (2011). Hawks at a distance: Identification of migrant raptors. Princeton University Press.</w:t>
      </w:r>
    </w:p>
    <w:p>
      <w:pPr>
        <w:spacing w:after="120" w:line="360"/>
        <w:jc w:val="both"/>
      </w:pPr>
      <w:r>
        <w:t xml:space="preserve">Liu, Z., et al. (2022). A ConvNet for the 2020s. CVPR 2022, 11976–11986.</w:t>
      </w:r>
    </w:p>
    <w:p>
      <w:pPr>
        <w:spacing w:after="120" w:line="360"/>
        <w:jc w:val="both"/>
      </w:pPr>
      <w:r>
        <w:t xml:space="preserve">López-Núñez, J., Gallego-Pérez, M., &amp; Solano-Galán, V. (2018). Glosario de astronomía en LSM. Revista Mexicana de Astronomía y Astrofísica, 54(2), 321–334.</w:t>
      </w:r>
    </w:p>
    <w:p>
      <w:pPr>
        <w:spacing w:after="120" w:line="360"/>
        <w:jc w:val="both"/>
      </w:pPr>
      <w:r>
        <w:t xml:space="preserve">Newton, I. (2010). The migration ecology of birds. Academic Press.</w:t>
      </w:r>
    </w:p>
    <w:p>
      <w:pPr>
        <w:spacing w:after="120" w:line="360"/>
        <w:jc w:val="both"/>
      </w:pPr>
      <w:r>
        <w:t xml:space="preserve">OMS. (2021). World report on hearing. World Health Organization.</w:t>
      </w:r>
    </w:p>
    <w:p>
      <w:pPr>
        <w:spacing w:after="120" w:line="360"/>
        <w:jc w:val="both"/>
      </w:pPr>
      <w:r>
        <w:t xml:space="preserve">ONU. (2006). Convención sobre los Derechos de las Personas con Discapacidad.</w:t>
      </w:r>
    </w:p>
    <w:p>
      <w:pPr>
        <w:spacing w:after="120" w:line="360"/>
        <w:jc w:val="both"/>
      </w:pPr>
      <w:r>
        <w:t xml:space="preserve">Pronatura Veracruz. (2020). Manual de rapaces migratorias del corredor de Veracruz: 30 años del Río de Rapaces (1991–2020).</w:t>
      </w:r>
    </w:p>
    <w:p>
      <w:pPr>
        <w:spacing w:after="120" w:line="360"/>
        <w:jc w:val="both"/>
      </w:pPr>
      <w:r>
        <w:t xml:space="preserve">Ramírez, A., &amp; López, S. (2019). Accesibilidad e inclusión en educación ambiental: LSM. Revista Mexicana de Investigación Educativa, 24(82), 845–869.</w:t>
      </w:r>
    </w:p>
    <w:p>
      <w:pPr>
        <w:spacing w:after="120" w:line="360"/>
        <w:jc w:val="both"/>
      </w:pPr>
      <w:r>
        <w:t xml:space="preserve">Ruelas Inzunza, E., Hoffman, S. W., &amp; Goodrich, L. J. (2005). Stratification of Veracruz, Mexico raptor migration: A 13-year study. Hawk Mountain Sanctuary.</w:t>
      </w:r>
    </w:p>
    <w:p>
      <w:pPr>
        <w:spacing w:after="120" w:line="360"/>
        <w:jc w:val="both"/>
      </w:pPr>
      <w:r>
        <w:t xml:space="preserve">Selvaraju, R. R., Cogswell, M., Das, A., Vedantam, R., Parikh, D., &amp; Batra, D. (2017). Grad-CAM: Visual explanations from deep networks via gradient-based localization. ICCV 2017, 618–626.</w:t>
      </w:r>
    </w:p>
    <w:p>
      <w:pPr>
        <w:spacing w:after="120" w:line="360"/>
        <w:jc w:val="both"/>
      </w:pPr>
      <w:r>
        <w:t xml:space="preserve">Tan, M., &amp; Le, Q. (2019). EfficientNet: Rethinking model scaling for convolutional neural networks. ICML 2019, 6105–6114.</w:t>
      </w:r>
    </w:p>
    <w:p>
      <w:pPr>
        <w:spacing w:after="120" w:line="360"/>
        <w:jc w:val="both"/>
      </w:pPr>
      <w:r>
        <w:t xml:space="preserve">WFD — World Federation of the Deaf. (2019). Position paper on International Sign.</w:t>
      </w:r>
    </w:p>
    <w:p>
      <w:pPr>
        <w:spacing w:after="120" w:line="360"/>
        <w:jc w:val="both"/>
      </w:pPr>
      <w:r>
        <w:t xml:space="preserve">Yun, S., Han, D., Oh, S. J., Chun, S., Choe, J., &amp; Yoo, Y. (2019). CutMix: Regularization strategy to train strong classifiers with localizable features. ICCV 2019, 6023–6032.</w:t>
      </w:r>
    </w:p>
    <w:p>
      <w:pPr>
        <w:spacing w:after="120" w:line="360"/>
        <w:jc w:val="both"/>
      </w:pPr>
      <w:r>
        <w:t xml:space="preserve">Zhang, H., Cisse, M., Dauphin, Y. N., &amp; Lopez-Paz, D. (2018). mixup: Beyond empirical risk minimization. ICLR 2018.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Página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Capítulo 2 — Marco Teórico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98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59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Marco Teórico</dc:title>
  <dc:creator>Brian Fernández Báez</dc:creator>
  <dc:description>Tesis sobre identificación de aves rapaces migratorias mediante IA y lenguaje de señas</dc:description>
  <cp:lastModifiedBy>Un-named</cp:lastModifiedBy>
  <cp:revision>1</cp:revision>
  <dcterms:created xsi:type="dcterms:W3CDTF">2026-05-08T12:00:58.824Z</dcterms:created>
  <dcterms:modified xsi:type="dcterms:W3CDTF">2026-05-08T12:00:58.824Z</dcterms:modified>
</cp:coreProperties>
</file>

<file path=docProps/custom.xml><?xml version="1.0" encoding="utf-8"?>
<Properties xmlns="http://schemas.openxmlformats.org/officeDocument/2006/custom-properties" xmlns:vt="http://schemas.openxmlformats.org/officeDocument/2006/docPropsVTypes"/>
</file>