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jc w:val="center"/>
      </w:pPr>
      <w:r>
        <w:rPr>
          <w:b/>
          <w:bCs/>
          <w:color w:val="1F3A5F"/>
          <w:sz w:val="28"/>
          <w:szCs w:val="28"/>
        </w:rPr>
        <w:t xml:space="preserve">IDENTIFICACIÓN DE AVES RAPACES MIGRATORIAS MEDIANTE INTELIGENCIA ARTIFICIAL Y DISEÑO DE LENGUAJE DE SEÑAS PARA SU COMUNICACIÓN Y RECONOCIMIENTO</w:t>
      </w:r>
    </w:p>
    <w:p>
      <w:r>
        <w:t xml:space="preserve"/>
      </w:r>
    </w:p>
    <w:p>
      <w:r>
        <w:t xml:space="preserve"/>
      </w:r>
    </w:p>
    <w:p>
      <w:pPr>
        <w:jc w:val="center"/>
      </w:pPr>
      <w:r>
        <w:rPr>
          <w:b/>
          <w:bCs/>
          <w:color w:val="2E5985"/>
          <w:sz w:val="40"/>
          <w:szCs w:val="40"/>
        </w:rPr>
        <w:t xml:space="preserve">CAPÍTULO 3</w:t>
      </w:r>
    </w:p>
    <w:p>
      <w:r>
        <w:t xml:space="preserve"/>
      </w:r>
    </w:p>
    <w:p>
      <w:pPr>
        <w:jc w:val="center"/>
      </w:pPr>
      <w:r>
        <w:rPr>
          <w:b/>
          <w:bCs/>
          <w:color w:val="2E5985"/>
          <w:sz w:val="36"/>
          <w:szCs w:val="36"/>
        </w:rPr>
        <w:t xml:space="preserve">METODOLOGÍA</w:t>
      </w:r>
    </w:p>
    <w:p>
      <w:r>
        <w:t xml:space="preserve"/>
      </w:r>
    </w:p>
    <w:p>
      <w:r>
        <w:t xml:space="preserve"/>
      </w:r>
    </w:p>
    <w:p>
      <w:r>
        <w:t xml:space="preserve"/>
      </w:r>
    </w:p>
    <w:p>
      <w:r>
        <w:t xml:space="preserve"/>
      </w:r>
    </w:p>
    <w:p>
      <w:r>
        <w:t xml:space="preserve"/>
      </w:r>
    </w:p>
    <w:p>
      <w:r>
        <w:t xml:space="preserve"/>
      </w:r>
    </w:p>
    <w:p>
      <w:pPr>
        <w:jc w:val="center"/>
      </w:pPr>
      <w:r>
        <w:rPr>
          <w:sz w:val="26"/>
          <w:szCs w:val="26"/>
        </w:rPr>
        <w:t xml:space="preserve">Brian Fernández Báez</w:t>
      </w:r>
    </w:p>
    <w:p>
      <w:pPr>
        <w:jc w:val="center"/>
      </w:pPr>
      <w:r>
        <w:rPr>
          <w:i/>
          <w:iCs/>
          <w:sz w:val="24"/>
          <w:szCs w:val="24"/>
        </w:rPr>
        <w:t xml:space="preserve">Tesis de Licenciatura en Biología</w:t>
      </w:r>
    </w:p>
    <w:p>
      <w:r>
        <w:t xml:space="preserve"/>
      </w:r>
    </w:p>
    <w:p>
      <w:pPr>
        <w:jc w:val="center"/>
      </w:pPr>
      <w:r>
        <w:rPr>
          <w:sz w:val="24"/>
          <w:szCs w:val="24"/>
        </w:rPr>
        <w:t xml:space="preserve">Mayo de 2026</w:t>
      </w:r>
    </w:p>
    <w:p>
      <w:r>
        <w:br w:type="page"/>
      </w:r>
    </w:p>
    <w:p>
      <w:pPr>
        <w:pStyle w:val="Heading1"/>
      </w:pPr>
      <w:r>
        <w:t xml:space="preserve">3.1 Tipo y Enfoque de Investigación</w:t>
      </w:r>
    </w:p>
    <w:p>
      <w:pPr>
        <w:pStyle w:val="Heading2"/>
      </w:pPr>
      <w:r>
        <w:t xml:space="preserve">3.1.1 Naturaleza del estudio</w:t>
      </w:r>
    </w:p>
    <w:p>
      <w:pPr>
        <w:spacing w:after="120" w:line="360"/>
        <w:jc w:val="both"/>
      </w:pPr>
      <w:r>
        <w:t xml:space="preserve">La presente investigación es de tipo aplicado, ya que parte del cuerpo teórico consolidado en los capítulos anteriores para desarrollar una solución concreta a un problema real: la identificación automatizada de aves rapaces en vuelo y su comunicación accesible. Adicionalmente, el estudio combina elementos descriptivos —al caracterizar la composición y morfología de las especies objetivo y las propiedades del corredor migratorio— con elementos experimentales y comparativos —al evaluar el desempeño de distintas arquitecturas de redes neuronales convolucionales y validar empíricamente las señas propuestas frente a un grupo focal.</w:t>
      </w:r>
    </w:p>
    <w:p>
      <w:pPr>
        <w:pStyle w:val="Heading2"/>
      </w:pPr>
      <w:r>
        <w:t xml:space="preserve">3.1.2 Enfoque metodológico</w:t>
      </w:r>
    </w:p>
    <w:p>
      <w:pPr>
        <w:spacing w:after="120" w:line="360"/>
        <w:jc w:val="both"/>
      </w:pPr>
      <w:r>
        <w:t xml:space="preserve">El enfoque es predominantemente cuantitativo, dado que la mayor parte de los entregables se evalúan mediante métricas numéricas (accuracy, precision, recall, F1-score, kappa de Cohen, escalas Likert promediadas). No obstante, incorpora un componente cualitativo asociado al diseño participativo de las señas, donde se recogen verbalizaciones, comentarios abiertos y observaciones del grupo focal. Esta combinación clasifica al estudio como mixto, con preponderancia cuantitativa y soporte cualitativo en la fase de co-diseño con la comunidad sorda.</w:t>
      </w:r>
    </w:p>
    <w:p>
      <w:pPr>
        <w:pStyle w:val="Heading2"/>
      </w:pPr>
      <w:r>
        <w:t xml:space="preserve">3.1.3 Diseño general</w:t>
      </w:r>
    </w:p>
    <w:p>
      <w:pPr>
        <w:spacing w:after="120" w:line="360"/>
        <w:jc w:val="both"/>
      </w:pPr>
      <w:r>
        <w:t xml:space="preserve">El diseño es secuencial-explicativo: se realiza primero la fase técnica (construcción del dataset, entrenamiento y validación del modelo), seguida por la fase social (diseño y validación de las señas), y finalmente la fase integradora (acoplamiento del modelo con el catálogo de señas en una plataforma prototipo). Cada fase produce entregables específicos que alimentan a la siguiente.</w:t>
      </w:r>
    </w:p>
    <w:p>
      <w:pPr>
        <w:pStyle w:val="Heading1"/>
      </w:pPr>
      <w:r>
        <w:t xml:space="preserve">3.2 Fases de la Investigación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2500"/>
        <w:gridCol w:w="1860"/>
      </w:tblGrid>
      <w:tr>
        <w:trPr>
          <w:tblHeader/>
        </w:trPr>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Fase</w:t>
            </w:r>
          </w:p>
        </w:tc>
        <w:tc>
          <w:tcPr>
            <w:tcW w:type="dxa" w:w="3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Actividades principales</w:t>
            </w:r>
          </w:p>
        </w:tc>
        <w:tc>
          <w:tcPr>
            <w:tcW w:type="dxa" w:w="2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Entregable</w:t>
            </w:r>
          </w:p>
        </w:tc>
        <w:tc>
          <w:tcPr>
            <w:tcW w:type="dxa" w:w="18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Duración estimada</w:t>
            </w:r>
          </w:p>
        </w:tc>
      </w:tr>
      <w:tr>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F1 — Investigación teórica</w:t>
            </w:r>
          </w:p>
        </w:tc>
        <w:tc>
          <w:tcPr>
            <w:tcW w:type="dxa" w:w="3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Búsqueda bibliográfica, fichas, estado del arte, definición de variables</w:t>
            </w:r>
          </w:p>
        </w:tc>
        <w:tc>
          <w:tcPr>
            <w:tcW w:type="dxa" w:w="2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Capítulos 1 y 2 + base bibliográfica en Zotero</w:t>
            </w:r>
          </w:p>
        </w:tc>
        <w:tc>
          <w:tcPr>
            <w:tcW w:type="dxa" w:w="18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4–6 semanas</w:t>
            </w:r>
          </w:p>
        </w:tc>
      </w:tr>
      <w:tr>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F2 — Construcción del dataset</w:t>
            </w:r>
          </w:p>
        </w:tc>
        <w:tc>
          <w:tcPr>
            <w:tcW w:type="dxa" w:w="3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Recolección, curaduría, etiquetado, división train/val/test</w:t>
            </w:r>
          </w:p>
        </w:tc>
        <w:tc>
          <w:tcPr>
            <w:tcW w:type="dxa" w:w="2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Dataset etiquetado con metadatos</w:t>
            </w:r>
          </w:p>
        </w:tc>
        <w:tc>
          <w:tcPr>
            <w:tcW w:type="dxa" w:w="18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6–10 semanas</w:t>
            </w:r>
          </w:p>
        </w:tc>
      </w:tr>
      <w:tr>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F3 — Implementación del modelo</w:t>
            </w:r>
          </w:p>
        </w:tc>
        <w:tc>
          <w:tcPr>
            <w:tcW w:type="dxa" w:w="3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Implementación PyTorch + TensorFlow, transfer learning, fine-tuning</w:t>
            </w:r>
          </w:p>
        </w:tc>
        <w:tc>
          <w:tcPr>
            <w:tcW w:type="dxa" w:w="2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Pesos entrenados, métricas comparativas</w:t>
            </w:r>
          </w:p>
        </w:tc>
        <w:tc>
          <w:tcPr>
            <w:tcW w:type="dxa" w:w="18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6–8 semanas</w:t>
            </w:r>
          </w:p>
        </w:tc>
      </w:tr>
      <w:tr>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F4 — Diseño de señas IS</w:t>
            </w:r>
          </w:p>
        </w:tc>
        <w:tc>
          <w:tcPr>
            <w:tcW w:type="dxa" w:w="3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Talleres con comunidad sorda, propuesta, iteración, grabación de videos</w:t>
            </w:r>
          </w:p>
        </w:tc>
        <w:tc>
          <w:tcPr>
            <w:tcW w:type="dxa" w:w="2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Catálogo de 7 señas + videos</w:t>
            </w:r>
          </w:p>
        </w:tc>
        <w:tc>
          <w:tcPr>
            <w:tcW w:type="dxa" w:w="18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6–8 semanas</w:t>
            </w:r>
          </w:p>
        </w:tc>
      </w:tr>
      <w:tr>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F5 — Integración y prototipo</w:t>
            </w:r>
          </w:p>
        </w:tc>
        <w:tc>
          <w:tcPr>
            <w:tcW w:type="dxa" w:w="3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Plataforma de inferencia + reproducción de señas</w:t>
            </w:r>
          </w:p>
        </w:tc>
        <w:tc>
          <w:tcPr>
            <w:tcW w:type="dxa" w:w="2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Prototipo funcional</w:t>
            </w:r>
          </w:p>
        </w:tc>
        <w:tc>
          <w:tcPr>
            <w:tcW w:type="dxa" w:w="18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4–6 semanas</w:t>
            </w:r>
          </w:p>
        </w:tc>
      </w:tr>
      <w:tr>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F6 — Documentación final</w:t>
            </w:r>
          </w:p>
        </w:tc>
        <w:tc>
          <w:tcPr>
            <w:tcW w:type="dxa" w:w="3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Capítulos 4 y 5, entrega de tesis, repositorio público</w:t>
            </w:r>
          </w:p>
        </w:tc>
        <w:tc>
          <w:tcPr>
            <w:tcW w:type="dxa" w:w="2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Tesis y repositorio Git</w:t>
            </w:r>
          </w:p>
        </w:tc>
        <w:tc>
          <w:tcPr>
            <w:tcW w:type="dxa" w:w="18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4 semanas</w:t>
            </w:r>
          </w:p>
        </w:tc>
      </w:tr>
    </w:tbl>
    <w:p>
      <w:pPr>
        <w:spacing w:after="240" w:before="120"/>
        <w:jc w:val="center"/>
      </w:pPr>
      <w:r>
        <w:rPr>
          <w:i/>
          <w:iCs/>
          <w:sz w:val="22"/>
          <w:szCs w:val="22"/>
        </w:rPr>
        <w:t xml:space="preserve">Tabla 3.1 — Fases del proyecto, actividades, entregables y duración estimada.</w:t>
      </w:r>
    </w:p>
    <w:p>
      <w:pPr>
        <w:pStyle w:val="Heading1"/>
      </w:pPr>
      <w:r>
        <w:t xml:space="preserve">3.3 Recolección y Curaduría del Dataset</w:t>
      </w:r>
    </w:p>
    <w:p>
      <w:pPr>
        <w:pStyle w:val="Heading2"/>
      </w:pPr>
      <w:r>
        <w:t xml:space="preserve">3.3.1 Fuentes de imágenes</w:t>
      </w:r>
    </w:p>
    <w:p>
      <w:pPr>
        <w:spacing w:after="120" w:line="360"/>
        <w:jc w:val="both"/>
      </w:pPr>
      <w:r>
        <w:t xml:space="preserve">La construcción del dataset se realiza a partir de cuatro fuentes complementarias, todas con licencia abierta o autorización explícita:</w:t>
      </w:r>
    </w:p>
    <w:p>
      <w:pPr>
        <w:pStyle w:val="ListParagraph"/>
        <w:numPr>
          <w:ilvl w:val="0"/>
          <w:numId w:val="2"/>
        </w:numPr>
        <w:spacing w:after="80" w:line="320"/>
      </w:pPr>
      <w:r>
        <w:rPr>
          <w:b/>
          <w:bCs/>
        </w:rPr>
        <w:t xml:space="preserve">Macaulay Library (Cornell Lab of Ornithology): </w:t>
      </w:r>
      <w:r>
        <w:t xml:space="preserve">fototeca científica con metadatos verificados y licencia para uso académico.</w:t>
      </w:r>
    </w:p>
    <w:p>
      <w:pPr>
        <w:pStyle w:val="ListParagraph"/>
        <w:numPr>
          <w:ilvl w:val="0"/>
          <w:numId w:val="2"/>
        </w:numPr>
        <w:spacing w:after="80" w:line="320"/>
      </w:pPr>
      <w:r>
        <w:rPr>
          <w:b/>
          <w:bCs/>
        </w:rPr>
        <w:t xml:space="preserve">iNaturalist (Research Grade): </w:t>
      </w:r>
      <w:r>
        <w:t xml:space="preserve">observaciones validadas por la comunidad, con coordenadas y fecha.</w:t>
      </w:r>
    </w:p>
    <w:p>
      <w:pPr>
        <w:pStyle w:val="ListParagraph"/>
        <w:numPr>
          <w:ilvl w:val="0"/>
          <w:numId w:val="2"/>
        </w:numPr>
        <w:spacing w:after="80" w:line="320"/>
      </w:pPr>
      <w:r>
        <w:rPr>
          <w:b/>
          <w:bCs/>
        </w:rPr>
        <w:t xml:space="preserve">Pronatura Veracruz y colaboradores locales: </w:t>
      </w:r>
      <w:r>
        <w:t xml:space="preserve">imágenes tomadas durante temporadas de monitoreo en Cardel y Chichicaxtle, con autorización de los fotógrafos.</w:t>
      </w:r>
    </w:p>
    <w:p>
      <w:pPr>
        <w:pStyle w:val="ListParagraph"/>
        <w:numPr>
          <w:ilvl w:val="0"/>
          <w:numId w:val="2"/>
        </w:numPr>
        <w:spacing w:after="80" w:line="320"/>
      </w:pPr>
      <w:r>
        <w:rPr>
          <w:b/>
          <w:bCs/>
        </w:rPr>
        <w:t xml:space="preserve">Recolección propia: </w:t>
      </w:r>
      <w:r>
        <w:t xml:space="preserve">fotografías del autor en sitios de observación, durante al menos una temporada migratoria de campo.</w:t>
      </w:r>
    </w:p>
    <w:p>
      <w:pPr>
        <w:pStyle w:val="Heading2"/>
      </w:pPr>
      <w:r>
        <w:t xml:space="preserve">3.3.2 Criterios de inclusión y exclusión</w:t>
      </w:r>
    </w:p>
    <w:p>
      <w:pPr>
        <w:spacing w:after="120" w:line="360"/>
        <w:jc w:val="both"/>
      </w:pPr>
      <w:r>
        <w:t xml:space="preserve">Cada imagen es evaluada antes de incorporarse al dataset según los siguientes criterios:</w:t>
      </w:r>
    </w:p>
    <w:p>
      <w:pPr>
        <w:pStyle w:val="ListParagraph"/>
        <w:numPr>
          <w:ilvl w:val="0"/>
          <w:numId w:val="2"/>
        </w:numPr>
        <w:spacing w:after="80" w:line="320"/>
      </w:pPr>
      <w:r>
        <w:t xml:space="preserve">Inclusión — la especie es claramente identificable por un ornitólogo experto independiente.</w:t>
      </w:r>
    </w:p>
    <w:p>
      <w:pPr>
        <w:pStyle w:val="ListParagraph"/>
        <w:numPr>
          <w:ilvl w:val="0"/>
          <w:numId w:val="2"/>
        </w:numPr>
        <w:spacing w:after="80" w:line="320"/>
      </w:pPr>
      <w:r>
        <w:t xml:space="preserve">Inclusión — resolución mínima del lado mayor: 640 píxeles.</w:t>
      </w:r>
    </w:p>
    <w:p>
      <w:pPr>
        <w:pStyle w:val="ListParagraph"/>
        <w:numPr>
          <w:ilvl w:val="0"/>
          <w:numId w:val="2"/>
        </w:numPr>
        <w:spacing w:after="80" w:line="320"/>
      </w:pPr>
      <w:r>
        <w:t xml:space="preserve">Inclusión — el ave está en vuelo (no posada).</w:t>
      </w:r>
    </w:p>
    <w:p>
      <w:pPr>
        <w:pStyle w:val="ListParagraph"/>
        <w:numPr>
          <w:ilvl w:val="0"/>
          <w:numId w:val="2"/>
        </w:numPr>
        <w:spacing w:after="80" w:line="320"/>
      </w:pPr>
      <w:r>
        <w:t xml:space="preserve">Exclusión — múltiples especies en la misma imagen sin posibilidad de recortar.</w:t>
      </w:r>
    </w:p>
    <w:p>
      <w:pPr>
        <w:pStyle w:val="ListParagraph"/>
        <w:numPr>
          <w:ilvl w:val="0"/>
          <w:numId w:val="2"/>
        </w:numPr>
        <w:spacing w:after="80" w:line="320"/>
      </w:pPr>
      <w:r>
        <w:t xml:space="preserve">Exclusión — manipulación digital evidente que altere la silueta.</w:t>
      </w:r>
    </w:p>
    <w:p>
      <w:pPr>
        <w:pStyle w:val="ListParagraph"/>
        <w:numPr>
          <w:ilvl w:val="0"/>
          <w:numId w:val="2"/>
        </w:numPr>
        <w:spacing w:after="80" w:line="320"/>
      </w:pPr>
      <w:r>
        <w:t xml:space="preserve">Exclusión — fotografías con marca de agua que cubra al individuo.</w:t>
      </w:r>
    </w:p>
    <w:p>
      <w:pPr>
        <w:pStyle w:val="Heading2"/>
      </w:pPr>
      <w:r>
        <w:t xml:space="preserve">3.3.3 Acuerdo inter-anotador</w:t>
      </w:r>
    </w:p>
    <w:p>
      <w:pPr>
        <w:spacing w:after="120" w:line="360"/>
        <w:jc w:val="both"/>
      </w:pPr>
      <w:r>
        <w:t xml:space="preserve">Cada imagen es etiquetada de forma independiente por al menos dos anotadores con experiencia en identificación de rapaces. El acuerdo inter-anotador se cuantifica mediante el coeficiente kappa de Cohen, exigiendo κ ≥ 0.80 para considerar el etiquetado válido. Las imágenes con desacuerdo son resueltas en una tercera revisión por un experto senior; si persiste la incertidumbre, se descartan.</w:t>
      </w:r>
    </w:p>
    <w:p>
      <w:pPr>
        <w:pStyle w:val="Heading2"/>
      </w:pPr>
      <w:r>
        <w:t xml:space="preserve">3.3.4 Estructura del dataset y división</w:t>
      </w:r>
    </w:p>
    <w:p>
      <w:pPr>
        <w:spacing w:after="120" w:line="360"/>
        <w:jc w:val="both"/>
      </w:pPr>
      <w:r>
        <w:t xml:space="preserve">El dataset se organiza en una estructura jerárquica de carpetas por especie y se acompaña de un archivo CSV con los metadatos. La división se realiza de forma estratificada (manteniendo proporciones por especie) en tres particiones: 70 % entrenamiento, 15 % validación y 15 % prueba. Para las especies de baja abundancia (ZT, PG, ML) puede ser difícil alcanzar 200 imágenes con calidad suficiente; en esos casos se aplica oversampling sintético mediante mixup y CutMix durante el entrenamiento, y la pérdida cross-entropy se pondera por clase.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1700"/>
        <w:gridCol w:w="1700"/>
        <w:gridCol w:w="2460"/>
      </w:tblGrid>
      <w:tr>
        <w:trPr>
          <w:tblHeader/>
        </w:trPr>
        <w:tc>
          <w:tcPr>
            <w:tcW w:type="dxa" w:w="8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Cód.</w:t>
            </w:r>
          </w:p>
        </w:tc>
        <w:tc>
          <w:tcPr>
            <w:tcW w:type="dxa" w:w="27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Especie</w:t>
            </w:r>
          </w:p>
        </w:tc>
        <w:tc>
          <w:tcPr>
            <w:tcW w:type="dxa" w:w="17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Mínimo objetivo</w:t>
            </w:r>
          </w:p>
        </w:tc>
        <w:tc>
          <w:tcPr>
            <w:tcW w:type="dxa" w:w="17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Train (70 %)</w:t>
            </w:r>
          </w:p>
        </w:tc>
        <w:tc>
          <w:tcPr>
            <w:tcW w:type="dxa" w:w="24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Val + Test (30 %, dividido por mitad)</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BW</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Buteo platypterus</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SW</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Buteo swainsoni</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TV</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Cathartes aura</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MK</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Ictinia mississippiensis</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SS</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Accipiter striatus</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CH</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Astur cooperii</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RT</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Buteo jamaicensis</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RS</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Buteo lineatus</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ZT</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Buteo albonotatus</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NH</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Circus hudsonius</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PG</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Falco peregrinus</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AK</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Falco sparverius</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OS</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Pandion haliaetus</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ML</w:t>
            </w:r>
          </w:p>
        </w:tc>
        <w:tc>
          <w:tcPr>
            <w:tcW w:type="dxa" w:w="2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Falco columbarius</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200</w:t>
            </w:r>
          </w:p>
        </w:tc>
        <w:tc>
          <w:tcPr>
            <w:tcW w:type="dxa" w:w="17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140</w:t>
            </w:r>
          </w:p>
        </w:tc>
        <w:tc>
          <w:tcPr>
            <w:tcW w:type="dxa" w:w="2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 + 30</w:t>
            </w:r>
          </w:p>
        </w:tc>
      </w:tr>
      <w:tr>
        <w:tc>
          <w:tcPr>
            <w:tcW w:type="dxa" w:w="8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2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Total</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2,800</w:t>
            </w:r>
          </w:p>
        </w:tc>
        <w:tc>
          <w:tcPr>
            <w:tcW w:type="dxa" w:w="17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1,960</w:t>
            </w:r>
          </w:p>
        </w:tc>
        <w:tc>
          <w:tcPr>
            <w:tcW w:type="dxa" w:w="2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420 + 420</w:t>
            </w:r>
          </w:p>
        </w:tc>
      </w:tr>
    </w:tbl>
    <w:p>
      <w:pPr>
        <w:spacing w:after="240" w:before="120"/>
        <w:jc w:val="center"/>
      </w:pPr>
      <w:r>
        <w:rPr>
          <w:i/>
          <w:iCs/>
          <w:sz w:val="22"/>
          <w:szCs w:val="22"/>
        </w:rPr>
        <w:t xml:space="preserve">Tabla 3.2 — División estratificada del dataset por las 14 especies objetivo.</w:t>
      </w:r>
    </w:p>
    <w:p>
      <w:pPr>
        <w:pStyle w:val="Heading1"/>
      </w:pPr>
      <w:r>
        <w:t xml:space="preserve">3.4 Implementación del Modelo CNN</w:t>
      </w:r>
    </w:p>
    <w:p>
      <w:pPr>
        <w:pStyle w:val="Heading2"/>
      </w:pPr>
      <w:r>
        <w:t xml:space="preserve">3.4.1 Plataforma y herramientas</w:t>
      </w:r>
    </w:p>
    <w:p>
      <w:pPr>
        <w:spacing w:after="120" w:line="360"/>
        <w:jc w:val="both"/>
      </w:pPr>
      <w:r>
        <w:t xml:space="preserve">El proyecto implementa los modelos en dos frameworks paralelos para realizar una comparativa: PyTorch (versión ≥ 2.1) y TensorFlow / Keras (versión ≥ 2.15). Ambas implementaciones comparten dataset, división train/val/test, métricas y reportes, lo que permite atribuir las diferencias de desempeño exclusivamente al framework y no a sesgos de evaluación.</w:t>
      </w:r>
    </w:p>
    <w:p>
      <w:pPr>
        <w:pStyle w:val="ListParagraph"/>
        <w:numPr>
          <w:ilvl w:val="0"/>
          <w:numId w:val="2"/>
        </w:numPr>
        <w:spacing w:after="80" w:line="320"/>
      </w:pPr>
      <w:r>
        <w:rPr>
          <w:b/>
          <w:bCs/>
        </w:rPr>
        <w:t xml:space="preserve">Lenguaje: </w:t>
      </w:r>
      <w:r>
        <w:t xml:space="preserve">Python ≥ 3.10.</w:t>
      </w:r>
    </w:p>
    <w:p>
      <w:pPr>
        <w:pStyle w:val="ListParagraph"/>
        <w:numPr>
          <w:ilvl w:val="0"/>
          <w:numId w:val="2"/>
        </w:numPr>
        <w:spacing w:after="80" w:line="320"/>
      </w:pPr>
      <w:r>
        <w:rPr>
          <w:b/>
          <w:bCs/>
        </w:rPr>
        <w:t xml:space="preserve">Hardware sugerido: </w:t>
      </w:r>
      <w:r>
        <w:t xml:space="preserve">GPU NVIDIA con ≥ 12 GB de VRAM (RTX 3080/3090/4090, A100 o equivalente). Posibilidad de usar Google Colab Pro o servicios en la nube.</w:t>
      </w:r>
    </w:p>
    <w:p>
      <w:pPr>
        <w:pStyle w:val="ListParagraph"/>
        <w:numPr>
          <w:ilvl w:val="0"/>
          <w:numId w:val="2"/>
        </w:numPr>
        <w:spacing w:after="80" w:line="320"/>
      </w:pPr>
      <w:r>
        <w:rPr>
          <w:b/>
          <w:bCs/>
        </w:rPr>
        <w:t xml:space="preserve">Gestión de experimentos: </w:t>
      </w:r>
      <w:r>
        <w:t xml:space="preserve">Weights &amp; Biases (W&amp;B) o MLflow para registrar hiperparámetros, métricas y artefactos.</w:t>
      </w:r>
    </w:p>
    <w:p>
      <w:pPr>
        <w:pStyle w:val="ListParagraph"/>
        <w:numPr>
          <w:ilvl w:val="0"/>
          <w:numId w:val="2"/>
        </w:numPr>
        <w:spacing w:after="80" w:line="320"/>
      </w:pPr>
      <w:r>
        <w:rPr>
          <w:b/>
          <w:bCs/>
        </w:rPr>
        <w:t xml:space="preserve">Control de versiones: </w:t>
      </w:r>
      <w:r>
        <w:t xml:space="preserve">Git + GitHub o GitLab; el dataset versionado con DVC u otra herramienta análoga.</w:t>
      </w:r>
    </w:p>
    <w:p>
      <w:pPr>
        <w:pStyle w:val="Heading2"/>
      </w:pPr>
      <w:r>
        <w:t xml:space="preserve">3.4.2 Estrategia de entrenamiento — Transfer Learning</w:t>
      </w:r>
    </w:p>
    <w:p>
      <w:pPr>
        <w:spacing w:after="120" w:line="360"/>
        <w:jc w:val="both"/>
      </w:pPr>
      <w:r>
        <w:t xml:space="preserve">Dado el tamaño limitado del dataset, no es viable entrenar las arquitecturas desde cero. Se aplica una estrategia de transfer learning en dos etapas:</w:t>
      </w:r>
    </w:p>
    <w:p>
      <w:pPr>
        <w:pStyle w:val="ListParagraph"/>
        <w:numPr>
          <w:ilvl w:val="0"/>
          <w:numId w:val="3"/>
        </w:numPr>
        <w:spacing w:after="80" w:line="320"/>
      </w:pPr>
      <w:r>
        <w:t xml:space="preserve">Etapa 1 — Feature extraction: se cargan los pesos pre-entrenados en ImageNet, se congelan todas las capas convolucionales y se entrena únicamente la cabeza clasificadora (capa fully-connected con 7 salidas y softmax). Duración: 5–10 epochs.</w:t>
      </w:r>
    </w:p>
    <w:p>
      <w:pPr>
        <w:pStyle w:val="ListParagraph"/>
        <w:numPr>
          <w:ilvl w:val="0"/>
          <w:numId w:val="3"/>
        </w:numPr>
        <w:spacing w:after="80" w:line="320"/>
      </w:pPr>
      <w:r>
        <w:t xml:space="preserve">Etapa 2 — Fine-tuning: se descongelan las últimas N capas convolucionales (típicamente 30–50) y se entrena con un learning rate reducido (1e-4 o menor). Duración: 30–80 epochs hasta convergencia.</w:t>
      </w:r>
    </w:p>
    <w:p>
      <w:pPr>
        <w:pStyle w:val="Heading2"/>
      </w:pPr>
      <w:r>
        <w:t xml:space="preserve">3.4.3 Hiperparámetros propuestos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Hiperparámetro</w:t>
            </w:r>
          </w:p>
        </w:tc>
        <w:tc>
          <w:tcPr>
            <w:tcW w:type="dxa" w:w="318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Etapa 1 — Feature extraction</w:t>
            </w:r>
          </w:p>
        </w:tc>
        <w:tc>
          <w:tcPr>
            <w:tcW w:type="dxa" w:w="318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Etapa 2 — Fine-tuning</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Optimizador</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Adam</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AdamW (mejor regularización)</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Learning rate</w:t>
            </w:r>
          </w:p>
        </w:tc>
        <w:tc>
          <w:tcPr>
            <w:tcW w:type="dxa" w:w="318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1e-3</w:t>
            </w:r>
          </w:p>
        </w:tc>
        <w:tc>
          <w:tcPr>
            <w:tcW w:type="dxa" w:w="318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1e-4 con scheduler cosine</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Batch size</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32</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16 o 32 según VRAM</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Epochs</w:t>
            </w:r>
          </w:p>
        </w:tc>
        <w:tc>
          <w:tcPr>
            <w:tcW w:type="dxa" w:w="318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5–10</w:t>
            </w:r>
          </w:p>
        </w:tc>
        <w:tc>
          <w:tcPr>
            <w:tcW w:type="dxa" w:w="318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30–80 con early stopping</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Función de pérdida</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Cross-entropy ponderada</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Cross-entropy ponderada + label smoothing 0.1</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Augmentation</w:t>
            </w:r>
          </w:p>
        </w:tc>
        <w:tc>
          <w:tcPr>
            <w:tcW w:type="dxa" w:w="318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Rotación, flip, brightness</w:t>
            </w:r>
          </w:p>
        </w:tc>
        <w:tc>
          <w:tcPr>
            <w:tcW w:type="dxa" w:w="318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Mixup (α=0.2), CutMix (α=1.0)</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Regularización</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Weight decay 1e-4</w:t>
            </w:r>
          </w:p>
        </w:tc>
        <w:tc>
          <w:tcPr>
            <w:tcW w:type="dxa" w:w="318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Weight decay 5e-4 + dropout 0.3 en cabeza</w:t>
            </w:r>
          </w:p>
        </w:tc>
      </w:tr>
    </w:tbl>
    <w:p>
      <w:pPr>
        <w:spacing w:after="240" w:before="120"/>
        <w:jc w:val="center"/>
      </w:pPr>
      <w:r>
        <w:rPr>
          <w:i/>
          <w:iCs/>
          <w:sz w:val="22"/>
          <w:szCs w:val="22"/>
        </w:rPr>
        <w:t xml:space="preserve">Tabla 3.3 — Hiperparámetros propuestos para las dos etapas de entrenamiento.</w:t>
      </w:r>
    </w:p>
    <w:p>
      <w:pPr>
        <w:pStyle w:val="Heading2"/>
      </w:pPr>
      <w:r>
        <w:t xml:space="preserve">3.4.4 Validación cruzada</w:t>
      </w:r>
    </w:p>
    <w:p>
      <w:pPr>
        <w:spacing w:after="120" w:line="360"/>
        <w:jc w:val="both"/>
      </w:pPr>
      <w:r>
        <w:t xml:space="preserve">Para reducir la varianza de las métricas, se aplica validación cruzada estratificada de 5 iteraciones (Stratified K-Fold k=5) sobre el conjunto train+val. El conjunto test se reserva inalterado para el reporte final, garantizando que ningún hiperparámetro fue seleccionado contra él.</w:t>
      </w:r>
    </w:p>
    <w:p>
      <w:pPr>
        <w:pStyle w:val="Heading2"/>
      </w:pPr>
      <w:r>
        <w:t xml:space="preserve">3.4.5 Métricas de evaluación</w:t>
      </w:r>
    </w:p>
    <w:p>
      <w:pPr>
        <w:pStyle w:val="ListParagraph"/>
        <w:numPr>
          <w:ilvl w:val="0"/>
          <w:numId w:val="2"/>
        </w:numPr>
        <w:spacing w:after="80" w:line="320"/>
      </w:pPr>
      <w:r>
        <w:rPr>
          <w:b/>
          <w:bCs/>
        </w:rPr>
        <w:t xml:space="preserve">Accuracy global: </w:t>
      </w:r>
      <w:r>
        <w:t xml:space="preserve">porcentaje de aciertos sobre el total.</w:t>
      </w:r>
    </w:p>
    <w:p>
      <w:pPr>
        <w:pStyle w:val="ListParagraph"/>
        <w:numPr>
          <w:ilvl w:val="0"/>
          <w:numId w:val="2"/>
        </w:numPr>
        <w:spacing w:after="80" w:line="320"/>
      </w:pPr>
      <w:r>
        <w:rPr>
          <w:b/>
          <w:bCs/>
        </w:rPr>
        <w:t xml:space="preserve">Precision por clase: </w:t>
      </w:r>
      <w:r>
        <w:t xml:space="preserve">TP / (TP + FP), responde ‘de las que predije X, cuántas eran X’.</w:t>
      </w:r>
    </w:p>
    <w:p>
      <w:pPr>
        <w:pStyle w:val="ListParagraph"/>
        <w:numPr>
          <w:ilvl w:val="0"/>
          <w:numId w:val="2"/>
        </w:numPr>
        <w:spacing w:after="80" w:line="320"/>
      </w:pPr>
      <w:r>
        <w:rPr>
          <w:b/>
          <w:bCs/>
        </w:rPr>
        <w:t xml:space="preserve">Recall por clase: </w:t>
      </w:r>
      <w:r>
        <w:t xml:space="preserve">TP / (TP + FN), responde ‘de las que eran X, cuántas detecté’.</w:t>
      </w:r>
    </w:p>
    <w:p>
      <w:pPr>
        <w:pStyle w:val="ListParagraph"/>
        <w:numPr>
          <w:ilvl w:val="0"/>
          <w:numId w:val="2"/>
        </w:numPr>
        <w:spacing w:after="80" w:line="320"/>
      </w:pPr>
      <w:r>
        <w:rPr>
          <w:b/>
          <w:bCs/>
        </w:rPr>
        <w:t xml:space="preserve">F1-score: </w:t>
      </w:r>
      <w:r>
        <w:t xml:space="preserve">media armónica de precision y recall, particularmente útil con clases desbalanceadas.</w:t>
      </w:r>
    </w:p>
    <w:p>
      <w:pPr>
        <w:pStyle w:val="ListParagraph"/>
        <w:numPr>
          <w:ilvl w:val="0"/>
          <w:numId w:val="2"/>
        </w:numPr>
        <w:spacing w:after="80" w:line="320"/>
      </w:pPr>
      <w:r>
        <w:rPr>
          <w:b/>
          <w:bCs/>
        </w:rPr>
        <w:t xml:space="preserve">Matriz de confusión: </w:t>
      </w:r>
      <w:r>
        <w:t xml:space="preserve">permite identificar pares de especies confundidas sistemáticamente.</w:t>
      </w:r>
    </w:p>
    <w:p>
      <w:pPr>
        <w:pStyle w:val="ListParagraph"/>
        <w:numPr>
          <w:ilvl w:val="0"/>
          <w:numId w:val="2"/>
        </w:numPr>
        <w:spacing w:after="80" w:line="320"/>
      </w:pPr>
      <w:r>
        <w:rPr>
          <w:b/>
          <w:bCs/>
        </w:rPr>
        <w:t xml:space="preserve">Curvas ROC y AUC: </w:t>
      </w:r>
      <w:r>
        <w:t xml:space="preserve">una curva por clase (one-vs-rest), reporte del macro-AUC.</w:t>
      </w:r>
    </w:p>
    <w:p>
      <w:pPr>
        <w:pStyle w:val="ListParagraph"/>
        <w:numPr>
          <w:ilvl w:val="0"/>
          <w:numId w:val="2"/>
        </w:numPr>
        <w:spacing w:after="80" w:line="320"/>
      </w:pPr>
      <w:r>
        <w:rPr>
          <w:b/>
          <w:bCs/>
        </w:rPr>
        <w:t xml:space="preserve">Top-3 accuracy: </w:t>
      </w:r>
      <w:r>
        <w:t xml:space="preserve">porcentaje en que la respuesta correcta está entre las tres más probables; útil como métrica complementaria.</w:t>
      </w:r>
    </w:p>
    <w:p>
      <w:pPr>
        <w:pStyle w:val="Heading1"/>
      </w:pPr>
      <w:r>
        <w:t xml:space="preserve">3.5 Diseño del Módulo de Lengua de Señas Internacional</w:t>
      </w:r>
    </w:p>
    <w:p>
      <w:pPr>
        <w:pStyle w:val="Heading2"/>
      </w:pPr>
      <w:r>
        <w:t xml:space="preserve">3.5.1 Marco metodológico</w:t>
      </w:r>
    </w:p>
    <w:p>
      <w:pPr>
        <w:spacing w:after="120" w:line="360"/>
        <w:jc w:val="both"/>
      </w:pPr>
      <w:r>
        <w:t xml:space="preserve">El diseño de las señas se realiza siguiendo una metodología de co-creación inspirada en Kusters &amp; De Meulder (2019): los expertos en biología aportan los rasgos diagnósticos de cada especie y los miembros de la comunidad sorda aportan el conocimiento lingüístico de la lengua de señas. En este proyecto, la fase de propuesta inicial ya fue completada por el autor sobre la base de su experiencia ornitológica directa: el catálogo preliminar (documentado en lengua_de_senas/catalogo_senas/Catalogo_de_Senas_Propuesta_Brian.md) cubre las 14 especies objetivo y se extiende a varias especies adicionales. La metodología procede entonces desde una fase intermedia: refinamiento iterativo y validación con la comunidad sorda.</w:t>
      </w:r>
    </w:p>
    <w:p>
      <w:pPr>
        <w:pStyle w:val="Heading2"/>
      </w:pPr>
      <w:r>
        <w:t xml:space="preserve">3.5.2 Etapas del diseño</w:t>
      </w:r>
    </w:p>
    <w:p>
      <w:pPr>
        <w:pStyle w:val="ListParagraph"/>
        <w:numPr>
          <w:ilvl w:val="0"/>
          <w:numId w:val="3"/>
        </w:numPr>
        <w:spacing w:after="80" w:line="320"/>
      </w:pPr>
      <w:r>
        <w:t xml:space="preserve">Etapa A — Caracterización morfológica (completada): para cada especie, el autor produjo una ficha con los rasgos diagnósticos más sobresalientes (por ejemplo, vuelo en V para Cathartes aura, formación en kettle para Buteo platypterus, cola roja para Buteo jamaicensis, garra cerrándose sobre presa para Pandion haliaetus).</w:t>
      </w:r>
    </w:p>
    <w:p>
      <w:pPr>
        <w:pStyle w:val="ListParagraph"/>
        <w:numPr>
          <w:ilvl w:val="0"/>
          <w:numId w:val="3"/>
        </w:numPr>
        <w:spacing w:after="80" w:line="320"/>
      </w:pPr>
      <w:r>
        <w:t xml:space="preserve">Etapa B — Propuesta inicial (completada): el autor diseñó las 14 señas en versión hand-drawn sobre las dos láminas de referencia, asignando un código de dos letras a cada especie (BW, SW, TV, MK, SS, CH, RT, RS, ZT, NH, PG, AK, OS, ML).</w:t>
      </w:r>
    </w:p>
    <w:p>
      <w:pPr>
        <w:pStyle w:val="ListParagraph"/>
        <w:numPr>
          <w:ilvl w:val="0"/>
          <w:numId w:val="3"/>
        </w:numPr>
        <w:spacing w:after="80" w:line="320"/>
      </w:pPr>
      <w:r>
        <w:t xml:space="preserve">Etapa C — Refinamiento con la comunidad sorda: el catálogo preliminar se presenta en taller con intérpretes de IS y hablantes sordos para evaluar iconicidad, naturalidad y compatibilidad fonológica con el International Sign. Se ajustan las señas que reciben observaciones.</w:t>
      </w:r>
    </w:p>
    <w:p>
      <w:pPr>
        <w:pStyle w:val="ListParagraph"/>
        <w:numPr>
          <w:ilvl w:val="0"/>
          <w:numId w:val="3"/>
        </w:numPr>
        <w:spacing w:after="80" w:line="320"/>
      </w:pPr>
      <w:r>
        <w:t xml:space="preserve">Etapa D — Grabación: cada seña se graba en video bajo condiciones estandarizadas: fondo blanco, iluminación uniforme, vestimenta neutra, encuadre frontal del torso y manos. Se conserva la versión dibujada como referencia histórica del proceso de co-creación.</w:t>
      </w:r>
    </w:p>
    <w:p>
      <w:pPr>
        <w:pStyle w:val="ListParagraph"/>
        <w:numPr>
          <w:ilvl w:val="0"/>
          <w:numId w:val="3"/>
        </w:numPr>
        <w:spacing w:after="80" w:line="320"/>
      </w:pPr>
      <w:r>
        <w:t xml:space="preserve">Etapa E — Validación: el catálogo final se presenta a un grupo focal de validación para evaluación cuantitativa (Likert) y cualitativa (comentarios abiertos).</w:t>
      </w:r>
    </w:p>
    <w:p>
      <w:pPr>
        <w:pStyle w:val="Heading2"/>
      </w:pPr>
      <w:r>
        <w:t xml:space="preserve">3.5.3 Instrumento de validación</w:t>
      </w:r>
    </w:p>
    <w:p>
      <w:pPr>
        <w:spacing w:after="120" w:line="360"/>
        <w:jc w:val="both"/>
      </w:pPr>
      <w:r>
        <w:t xml:space="preserve">La validación de cada seña se realiza con un cuestionario estructurado tipo escala Likert de 5 puntos sobre tres dimensiones: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Dimensión</w:t>
            </w:r>
          </w:p>
        </w:tc>
        <w:tc>
          <w:tcPr>
            <w:tcW w:type="dxa" w:w="63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Pregunta de evaluación</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Claridad</w:t>
            </w:r>
          </w:p>
        </w:tc>
        <w:tc>
          <w:tcPr>
            <w:tcW w:type="dxa" w:w="63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¿La seña es comprensible y fácil de reproducir? (1 = muy difícil, 5 = muy clara)</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Naturalidad</w:t>
            </w:r>
          </w:p>
        </w:tc>
        <w:tc>
          <w:tcPr>
            <w:tcW w:type="dxa" w:w="63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¿La seña se siente coherente con la lógica visual del IS? (1 = muy artificial, 5 = muy natural)</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Memorabilidad</w:t>
            </w:r>
          </w:p>
        </w:tc>
        <w:tc>
          <w:tcPr>
            <w:tcW w:type="dxa" w:w="63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¿Recuerda fácilmente la asociación entre la seña y la especie tras 10 minutos? (1 = muy difícil de recordar, 5 = muy fácil)</w:t>
            </w:r>
          </w:p>
        </w:tc>
      </w:tr>
    </w:tbl>
    <w:p>
      <w:pPr>
        <w:spacing w:after="240" w:before="120"/>
        <w:jc w:val="center"/>
      </w:pPr>
      <w:r>
        <w:rPr>
          <w:i/>
          <w:iCs/>
          <w:sz w:val="22"/>
          <w:szCs w:val="22"/>
        </w:rPr>
        <w:t xml:space="preserve">Tabla 3.4 — Dimensiones e instrumento de validación de las señas.</w:t>
      </w:r>
    </w:p>
    <w:p>
      <w:pPr>
        <w:spacing w:after="120" w:line="360"/>
        <w:jc w:val="both"/>
      </w:pPr>
      <w:r>
        <w:t xml:space="preserve">Se complementa con preguntas abiertas sobre sugerencias de mejora. El umbral de aceptación de cada seña es un promedio ≥ 4.0 sobre 5 en cada dimensión. Las señas que no alcancen el umbral se rediseñan e iteran.</w:t>
      </w:r>
    </w:p>
    <w:p>
      <w:pPr>
        <w:pStyle w:val="Heading2"/>
      </w:pPr>
      <w:r>
        <w:t xml:space="preserve">3.5.4 Tamaño y composición del grupo focal</w:t>
      </w:r>
    </w:p>
    <w:p>
      <w:pPr>
        <w:spacing w:after="120" w:line="360"/>
        <w:jc w:val="both"/>
      </w:pPr>
      <w:r>
        <w:t xml:space="preserve">El grupo focal de validación está compuesto por entre 8 y 12 personas: al menos 6 personas sordas hablantes nativos de LSM o ASL con experiencia en IS, 2 intérpretes de IS y 2 personas oyentes con conocimientos de ornitología que participan únicamente como observadores no votantes. La heterogeneidad busca capturar perspectivas múltiples sin inflar el sesgo de una sola comunidad.</w:t>
      </w:r>
    </w:p>
    <w:p>
      <w:pPr>
        <w:pStyle w:val="Heading1"/>
      </w:pPr>
      <w:r>
        <w:t xml:space="preserve">3.6 Integración y Prototipo</w:t>
      </w:r>
    </w:p>
    <w:p>
      <w:pPr>
        <w:pStyle w:val="Heading2"/>
      </w:pPr>
      <w:r>
        <w:t xml:space="preserve">3.6.1 Arquitectura del sistema integrado</w:t>
      </w:r>
    </w:p>
    <w:p>
      <w:pPr>
        <w:spacing w:after="120" w:line="360"/>
        <w:jc w:val="both"/>
      </w:pPr>
      <w:r>
        <w:t xml:space="preserve">El prototipo integra el modelo CNN seleccionado (el de mejor F1 macro de la comparativa PyTorch vs. TensorFlow) con el catálogo de señas. La arquitectura es modular y se compone de cinco bloques:</w:t>
      </w:r>
    </w:p>
    <w:p>
      <w:pPr>
        <w:pStyle w:val="ListParagraph"/>
        <w:numPr>
          <w:ilvl w:val="0"/>
          <w:numId w:val="3"/>
        </w:numPr>
        <w:spacing w:after="80" w:line="320"/>
      </w:pPr>
      <w:r>
        <w:t xml:space="preserve">Bloque de entrada — recibe una imagen JPEG/PNG del usuario.</w:t>
      </w:r>
    </w:p>
    <w:p>
      <w:pPr>
        <w:pStyle w:val="ListParagraph"/>
        <w:numPr>
          <w:ilvl w:val="0"/>
          <w:numId w:val="3"/>
        </w:numPr>
        <w:spacing w:after="80" w:line="320"/>
      </w:pPr>
      <w:r>
        <w:t xml:space="preserve">Bloque de pre-procesamiento — redimensiona, normaliza y aplica las mismas transformaciones que durante el entrenamiento.</w:t>
      </w:r>
    </w:p>
    <w:p>
      <w:pPr>
        <w:pStyle w:val="ListParagraph"/>
        <w:numPr>
          <w:ilvl w:val="0"/>
          <w:numId w:val="3"/>
        </w:numPr>
        <w:spacing w:after="80" w:line="320"/>
      </w:pPr>
      <w:r>
        <w:t xml:space="preserve">Bloque de inferencia CNN — devuelve la especie predicha y su probabilidad.</w:t>
      </w:r>
    </w:p>
    <w:p>
      <w:pPr>
        <w:pStyle w:val="ListParagraph"/>
        <w:numPr>
          <w:ilvl w:val="0"/>
          <w:numId w:val="3"/>
        </w:numPr>
        <w:spacing w:after="80" w:line="320"/>
      </w:pPr>
      <w:r>
        <w:t xml:space="preserve">Bloque de explicabilidad (Grad-CAM) — produce el mapa de calor sobre la imagen original.</w:t>
      </w:r>
    </w:p>
    <w:p>
      <w:pPr>
        <w:pStyle w:val="ListParagraph"/>
        <w:numPr>
          <w:ilvl w:val="0"/>
          <w:numId w:val="3"/>
        </w:numPr>
        <w:spacing w:after="80" w:line="320"/>
      </w:pPr>
      <w:r>
        <w:t xml:space="preserve">Bloque de salida — entrega: nombre científico, nombre común, probabilidad, mapa de calor y video de la seña correspondiente.</w:t>
      </w:r>
    </w:p>
    <w:p>
      <w:pPr>
        <w:pStyle w:val="Heading2"/>
      </w:pPr>
      <w:r>
        <w:t xml:space="preserve">3.6.2 Tecnologías del prototipo</w:t>
      </w:r>
    </w:p>
    <w:p>
      <w:pPr>
        <w:pStyle w:val="ListParagraph"/>
        <w:numPr>
          <w:ilvl w:val="0"/>
          <w:numId w:val="2"/>
        </w:numPr>
        <w:spacing w:after="80" w:line="320"/>
      </w:pPr>
      <w:r>
        <w:rPr>
          <w:b/>
          <w:bCs/>
        </w:rPr>
        <w:t xml:space="preserve">Backend de inferencia: </w:t>
      </w:r>
      <w:r>
        <w:t xml:space="preserve">Python con FastAPI o Flask, montando el modelo PyTorch o TensorFlow según el ganador.</w:t>
      </w:r>
    </w:p>
    <w:p>
      <w:pPr>
        <w:pStyle w:val="ListParagraph"/>
        <w:numPr>
          <w:ilvl w:val="0"/>
          <w:numId w:val="2"/>
        </w:numPr>
        <w:spacing w:after="80" w:line="320"/>
      </w:pPr>
      <w:r>
        <w:rPr>
          <w:b/>
          <w:bCs/>
        </w:rPr>
        <w:t xml:space="preserve">Frontend: </w:t>
      </w:r>
      <w:r>
        <w:t xml:space="preserve">interfaz web ligera (HTML + JavaScript con Streamlit o React básico) para subir imágenes y mostrar resultados.</w:t>
      </w:r>
    </w:p>
    <w:p>
      <w:pPr>
        <w:pStyle w:val="ListParagraph"/>
        <w:numPr>
          <w:ilvl w:val="0"/>
          <w:numId w:val="2"/>
        </w:numPr>
        <w:spacing w:after="80" w:line="320"/>
      </w:pPr>
      <w:r>
        <w:rPr>
          <w:b/>
          <w:bCs/>
        </w:rPr>
        <w:t xml:space="preserve">Almacenamiento: </w:t>
      </w:r>
      <w:r>
        <w:t xml:space="preserve">los videos de las señas se almacenan localmente o en un bucket de almacenamiento en la nube con licencia abierta.</w:t>
      </w:r>
    </w:p>
    <w:p>
      <w:pPr>
        <w:pStyle w:val="ListParagraph"/>
        <w:numPr>
          <w:ilvl w:val="0"/>
          <w:numId w:val="2"/>
        </w:numPr>
        <w:spacing w:after="80" w:line="320"/>
      </w:pPr>
      <w:r>
        <w:rPr>
          <w:b/>
          <w:bCs/>
        </w:rPr>
        <w:t xml:space="preserve">Despliegue: </w:t>
      </w:r>
      <w:r>
        <w:t xml:space="preserve">ejecución local en máquina del autor para la defensa, con guías de despliegue en la nube (Hugging Face Spaces, AWS, Google Cloud) en el repositorio.</w:t>
      </w:r>
    </w:p>
    <w:p>
      <w:pPr>
        <w:pStyle w:val="Heading1"/>
      </w:pPr>
      <w:r>
        <w:t xml:space="preserve">3.7 Aspectos Éticos, de Rigor Científico y de Reproducibilidad</w:t>
      </w:r>
    </w:p>
    <w:p>
      <w:pPr>
        <w:pStyle w:val="Heading2"/>
      </w:pPr>
      <w:r>
        <w:t xml:space="preserve">3.7.1 Consideraciones éticas con la fauna</w:t>
      </w:r>
    </w:p>
    <w:p>
      <w:pPr>
        <w:spacing w:after="120" w:line="360"/>
        <w:jc w:val="both"/>
      </w:pPr>
      <w:r>
        <w:t xml:space="preserve">El proyecto no implica captura, manipulación ni perturbación directa de las aves. Todas las imágenes provienen de fotografías a distancia, cumpliendo con el código ético de la American Birding Association sobre observación responsable. No se requiere autorización SEMARNAT por no haber colecta o intervención sobre los individuos.</w:t>
      </w:r>
    </w:p>
    <w:p>
      <w:pPr>
        <w:pStyle w:val="Heading2"/>
      </w:pPr>
      <w:r>
        <w:t xml:space="preserve">3.7.2 Consideraciones éticas con la comunidad sorda</w:t>
      </w:r>
    </w:p>
    <w:p>
      <w:pPr>
        <w:spacing w:after="120" w:line="360"/>
        <w:jc w:val="both"/>
      </w:pPr>
      <w:r>
        <w:t xml:space="preserve">La participación en el grupo focal se realiza bajo consentimiento informado por escrito, redactado en lenguaje claro y firmado en presencia de un intérprete de LSM o ASL según corresponda. Se respeta el anonimato de los participantes y se les ofrece compensación simbólica por su tiempo. Toda publicación derivada reconoce explícitamente la autoría colaborativa de la comunidad sorda en el diseño de las señas.</w:t>
      </w:r>
    </w:p>
    <w:p>
      <w:pPr>
        <w:pStyle w:val="Heading2"/>
      </w:pPr>
      <w:r>
        <w:t xml:space="preserve">3.7.3 Reproducibilidad</w:t>
      </w:r>
    </w:p>
    <w:p>
      <w:pPr>
        <w:pStyle w:val="ListParagraph"/>
        <w:numPr>
          <w:ilvl w:val="0"/>
          <w:numId w:val="2"/>
        </w:numPr>
        <w:spacing w:after="80" w:line="320"/>
      </w:pPr>
      <w:r>
        <w:t xml:space="preserve">Todo el código se publica en un repositorio Git público bajo licencia MIT.</w:t>
      </w:r>
    </w:p>
    <w:p>
      <w:pPr>
        <w:pStyle w:val="ListParagraph"/>
        <w:numPr>
          <w:ilvl w:val="0"/>
          <w:numId w:val="2"/>
        </w:numPr>
        <w:spacing w:after="80" w:line="320"/>
      </w:pPr>
      <w:r>
        <w:t xml:space="preserve">Los pesos del modelo final se publican bajo licencia Creative Commons (CC-BY 4.0).</w:t>
      </w:r>
    </w:p>
    <w:p>
      <w:pPr>
        <w:pStyle w:val="ListParagraph"/>
        <w:numPr>
          <w:ilvl w:val="0"/>
          <w:numId w:val="2"/>
        </w:numPr>
        <w:spacing w:after="80" w:line="320"/>
      </w:pPr>
      <w:r>
        <w:t xml:space="preserve">El dataset etiquetado se publica con sus metadatos, sujeto a las licencias originales de cada imagen.</w:t>
      </w:r>
    </w:p>
    <w:p>
      <w:pPr>
        <w:pStyle w:val="ListParagraph"/>
        <w:numPr>
          <w:ilvl w:val="0"/>
          <w:numId w:val="2"/>
        </w:numPr>
        <w:spacing w:after="80" w:line="320"/>
      </w:pPr>
      <w:r>
        <w:t xml:space="preserve">Se incluye un archivo Dockerfile o entorno conda explícito para garantizar reproducibilidad bit a bit.</w:t>
      </w:r>
    </w:p>
    <w:p>
      <w:pPr>
        <w:pStyle w:val="ListParagraph"/>
        <w:numPr>
          <w:ilvl w:val="0"/>
          <w:numId w:val="2"/>
        </w:numPr>
        <w:spacing w:after="80" w:line="320"/>
      </w:pPr>
      <w:r>
        <w:t xml:space="preserve">Los seeds aleatorios se fijan y documentan.</w:t>
      </w:r>
    </w:p>
    <w:p>
      <w:pPr>
        <w:pStyle w:val="Heading2"/>
      </w:pPr>
      <w:r>
        <w:t xml:space="preserve">3.7.4 Manejo de datos personales y privacidad</w:t>
      </w:r>
    </w:p>
    <w:p>
      <w:pPr>
        <w:spacing w:after="120" w:line="360"/>
        <w:jc w:val="both"/>
      </w:pPr>
      <w:r>
        <w:t xml:space="preserve">Las fotografías analizadas no contienen rostros humanos identificables (foco en las aves y el cielo). El cuestionario del grupo focal recopila únicamente datos demográficos agregados (edad, lengua de señas dominante, experiencia en ornitología). No se almacenan identificadores directos de los participantes.</w:t>
      </w:r>
    </w:p>
    <w:p>
      <w:pPr>
        <w:pStyle w:val="Heading1"/>
      </w:pPr>
      <w:r>
        <w:t xml:space="preserve">3.8 Cronograma y Análisis de Riesgos</w:t>
      </w:r>
    </w:p>
    <w:p>
      <w:pPr>
        <w:pStyle w:val="Heading2"/>
      </w:pPr>
      <w:r>
        <w:t xml:space="preserve">3.8.1 Cronograma estimado (Gantt simplificado)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500"/>
        <w:gridCol w:w="1230"/>
        <w:gridCol w:w="1230"/>
      </w:tblGrid>
      <w:tr>
        <w:trPr>
          <w:tblHeader/>
        </w:trPr>
        <w:tc>
          <w:tcPr>
            <w:tcW w:type="dxa" w:w="24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Fase</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Mes 1–2</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Mes 3–4</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Mes 5–6</w:t>
            </w:r>
          </w:p>
        </w:tc>
        <w:tc>
          <w:tcPr>
            <w:tcW w:type="dxa" w:w="123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Mes 7–8</w:t>
            </w:r>
          </w:p>
        </w:tc>
        <w:tc>
          <w:tcPr>
            <w:tcW w:type="dxa" w:w="123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Mes 9–10</w:t>
            </w:r>
          </w:p>
        </w:tc>
      </w:tr>
      <w:tr>
        <w:tc>
          <w:tcPr>
            <w:tcW w:type="dxa" w:w="24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F1 Investigación teórica</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2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2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r>
      <w:tr>
        <w:tc>
          <w:tcPr>
            <w:tcW w:type="dxa" w:w="24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F2 Dataset</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2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w:r>
          </w:p>
        </w:tc>
      </w:tr>
      <w:tr>
        <w:tc>
          <w:tcPr>
            <w:tcW w:type="dxa" w:w="24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F3 Modelo CNN</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r>
      <w:tr>
        <w:tc>
          <w:tcPr>
            <w:tcW w:type="dxa" w:w="24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F4 Diseño señas IS</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r>
      <w:tr>
        <w:tc>
          <w:tcPr>
            <w:tcW w:type="dxa" w:w="24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F5 Integración / prototipo</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w:t>
            </w:r>
          </w:p>
        </w:tc>
      </w:tr>
      <w:tr>
        <w:tc>
          <w:tcPr>
            <w:tcW w:type="dxa" w:w="24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F6 Documentación final</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
            </w:r>
          </w:p>
        </w:tc>
        <w:tc>
          <w:tcPr>
            <w:tcW w:type="dxa" w:w="12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23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r>
    </w:tbl>
    <w:p>
      <w:pPr>
        <w:spacing w:after="240" w:before="120"/>
        <w:jc w:val="center"/>
      </w:pPr>
      <w:r>
        <w:rPr>
          <w:i/>
          <w:iCs/>
          <w:sz w:val="22"/>
          <w:szCs w:val="22"/>
        </w:rPr>
        <w:t xml:space="preserve">Tabla 3.5 — Cronograma estimado (■ = trabajo principal, □ = trabajo parcial / preparación).</w:t>
      </w:r>
    </w:p>
    <w:p>
      <w:pPr>
        <w:pStyle w:val="Heading2"/>
      </w:pPr>
      <w:r>
        <w:t xml:space="preserve">3.8.2 Riesgos identificados y plan de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200"/>
        <w:gridCol w:w="2160"/>
      </w:tblGrid>
      <w:tr>
        <w:trPr>
          <w:tblHeader/>
        </w:trPr>
        <w:tc>
          <w:tcPr>
            <w:tcW w:type="dxa" w:w="30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Riesgo</w:t>
            </w:r>
          </w:p>
        </w:tc>
        <w:tc>
          <w:tcPr>
            <w:tcW w:type="dxa" w:w="20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Probabilidad</w:t>
            </w:r>
          </w:p>
        </w:tc>
        <w:tc>
          <w:tcPr>
            <w:tcW w:type="dxa" w:w="22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Impacto</w:t>
            </w:r>
          </w:p>
        </w:tc>
        <w:tc>
          <w:tcPr>
            <w:tcW w:type="dxa" w:w="21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Mitigación</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No alcanzar 200 imágenes en una especie rara</w:t>
            </w:r>
          </w:p>
        </w:tc>
        <w:tc>
          <w:tcPr>
            <w:tcW w:type="dxa" w:w="2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Media</w:t>
            </w:r>
          </w:p>
        </w:tc>
        <w:tc>
          <w:tcPr>
            <w:tcW w:type="dxa" w:w="22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Alto</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Recurrir a synthetic augmentation y solicitar imágenes a fotógrafos colaboradores</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Hardware insuficiente para entrenamiento</w:t>
            </w:r>
          </w:p>
        </w:tc>
        <w:tc>
          <w:tcPr>
            <w:tcW w:type="dxa" w:w="2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Media</w:t>
            </w:r>
          </w:p>
        </w:tc>
        <w:tc>
          <w:tcPr>
            <w:tcW w:type="dxa" w:w="22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Alto</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Usar Google Colab Pro o solicitar tiempo en clúster universitario</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Bajas calificaciones en validación de señas</w:t>
            </w:r>
          </w:p>
        </w:tc>
        <w:tc>
          <w:tcPr>
            <w:tcW w:type="dxa" w:w="2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Baja-Media</w:t>
            </w:r>
          </w:p>
        </w:tc>
        <w:tc>
          <w:tcPr>
            <w:tcW w:type="dxa" w:w="22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Medio</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Iterar las señas con el grupo focal hasta superar el umbral 4.0</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Dificultad para reclutar grupo focal</w:t>
            </w:r>
          </w:p>
        </w:tc>
        <w:tc>
          <w:tcPr>
            <w:tcW w:type="dxa" w:w="2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Media</w:t>
            </w:r>
          </w:p>
        </w:tc>
        <w:tc>
          <w:tcPr>
            <w:tcW w:type="dxa" w:w="22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Medio</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Aliarse con asociaciones de personas sordas locales y nacionales</w:t>
            </w:r>
          </w:p>
        </w:tc>
      </w:tr>
      <w:tr>
        <w:tc>
          <w:tcPr>
            <w:tcW w:type="dxa" w:w="3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Sobreajuste por dataset pequeño</w:t>
            </w:r>
          </w:p>
        </w:tc>
        <w:tc>
          <w:tcPr>
            <w:tcW w:type="dxa" w:w="2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Alta</w:t>
            </w:r>
          </w:p>
        </w:tc>
        <w:tc>
          <w:tcPr>
            <w:tcW w:type="dxa" w:w="22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Alto</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Augmentation agresiva, regularización fuerte, transfer learning, validación cruzada</w:t>
            </w:r>
          </w:p>
        </w:tc>
      </w:tr>
      <w:tr>
        <w:tc>
          <w:tcPr>
            <w:tcW w:type="dxa" w:w="3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Cambios en licencias de imágenes externas</w:t>
            </w:r>
          </w:p>
        </w:tc>
        <w:tc>
          <w:tcPr>
            <w:tcW w:type="dxa" w:w="2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Baja</w:t>
            </w:r>
          </w:p>
        </w:tc>
        <w:tc>
          <w:tcPr>
            <w:tcW w:type="dxa" w:w="22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Medio</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Documentar licencia al momento de descarga, priorizar imágenes propias</w:t>
            </w:r>
          </w:p>
        </w:tc>
      </w:tr>
    </w:tbl>
    <w:p>
      <w:pPr>
        <w:spacing w:after="240" w:before="120"/>
        <w:jc w:val="center"/>
      </w:pPr>
      <w:r>
        <w:rPr>
          <w:i/>
          <w:iCs/>
          <w:sz w:val="22"/>
          <w:szCs w:val="22"/>
        </w:rPr>
        <w:t xml:space="preserve">Tabla 3.6 — Análisis de riesgos del proyecto.</w:t>
      </w:r>
    </w:p>
    <w:p>
      <w:pPr>
        <w:pStyle w:val="Heading1"/>
      </w:pPr>
      <w:r>
        <w:t xml:space="preserve">Referencias</w:t>
      </w:r>
    </w:p>
    <w:p>
      <w:pPr>
        <w:spacing w:after="120" w:line="360"/>
        <w:jc w:val="both"/>
      </w:pPr>
      <w:r>
        <w:t xml:space="preserve">American Birding Association. (2018). Code of Birding Ethics.</w:t>
      </w:r>
    </w:p>
    <w:p>
      <w:pPr>
        <w:spacing w:after="120" w:line="360"/>
        <w:jc w:val="both"/>
      </w:pPr>
      <w:r>
        <w:t xml:space="preserve">Cohen, J. (1960). A coefficient of agreement for nominal scales. Educational and Psychological Measurement, 20(1), 37–46.</w:t>
      </w:r>
    </w:p>
    <w:p>
      <w:pPr>
        <w:spacing w:after="120" w:line="360"/>
        <w:jc w:val="both"/>
      </w:pPr>
      <w:r>
        <w:t xml:space="preserve">Goodfellow, I., Bengio, Y., &amp; Courville, A. (2016). Deep Learning. MIT Press.</w:t>
      </w:r>
    </w:p>
    <w:p>
      <w:pPr>
        <w:spacing w:after="120" w:line="360"/>
        <w:jc w:val="both"/>
      </w:pPr>
      <w:r>
        <w:t xml:space="preserve">He, K., Zhang, X., Ren, S., &amp; Sun, J. (2016). Deep residual learning for image recognition. CVPR 2016.</w:t>
      </w:r>
    </w:p>
    <w:p>
      <w:pPr>
        <w:spacing w:after="120" w:line="360"/>
        <w:jc w:val="both"/>
      </w:pPr>
      <w:r>
        <w:t xml:space="preserve">Howard, A., et al. (2019). Searching for MobileNetV3. ICCV 2019.</w:t>
      </w:r>
    </w:p>
    <w:p>
      <w:pPr>
        <w:spacing w:after="120" w:line="360"/>
        <w:jc w:val="both"/>
      </w:pPr>
      <w:r>
        <w:t xml:space="preserve">Kingma, D. P., &amp; Ba, J. (2015). Adam: A method for stochastic optimization. ICLR 2015.</w:t>
      </w:r>
    </w:p>
    <w:p>
      <w:pPr>
        <w:spacing w:after="120" w:line="360"/>
        <w:jc w:val="both"/>
      </w:pPr>
      <w:r>
        <w:t xml:space="preserve">Kusters, A., &amp; De Meulder, M. (2019). Sign Language Studies and Deaf Studies in marine biology contexts.</w:t>
      </w:r>
    </w:p>
    <w:p>
      <w:pPr>
        <w:spacing w:after="120" w:line="360"/>
        <w:jc w:val="both"/>
      </w:pPr>
      <w:r>
        <w:t xml:space="preserve">Liu, Z., et al. (2022). A ConvNet for the 2020s. CVPR 2022.</w:t>
      </w:r>
    </w:p>
    <w:p>
      <w:pPr>
        <w:spacing w:after="120" w:line="360"/>
        <w:jc w:val="both"/>
      </w:pPr>
      <w:r>
        <w:t xml:space="preserve">Loshchilov, I., &amp; Hutter, F. (2019). Decoupled weight decay regularization (AdamW). ICLR 2019.</w:t>
      </w:r>
    </w:p>
    <w:p>
      <w:pPr>
        <w:spacing w:after="120" w:line="360"/>
        <w:jc w:val="both"/>
      </w:pPr>
      <w:r>
        <w:t xml:space="preserve">Pedregosa, F., et al. (2011). Scikit-learn: Machine learning in Python. JMLR, 12, 2825–2830.</w:t>
      </w:r>
    </w:p>
    <w:p>
      <w:pPr>
        <w:spacing w:after="120" w:line="360"/>
        <w:jc w:val="both"/>
      </w:pPr>
      <w:r>
        <w:t xml:space="preserve">Selvaraju, R. R., et al. (2017). Grad-CAM: Visual explanations from deep networks via gradient-based localization. ICCV 2017.</w:t>
      </w:r>
    </w:p>
    <w:p>
      <w:pPr>
        <w:spacing w:after="120" w:line="360"/>
        <w:jc w:val="both"/>
      </w:pPr>
      <w:r>
        <w:t xml:space="preserve">Smith, L. N. (2017). Cyclical learning rates for training neural networks. WACV 2017, 464–472.</w:t>
      </w:r>
    </w:p>
    <w:p>
      <w:pPr>
        <w:spacing w:after="120" w:line="360"/>
        <w:jc w:val="both"/>
      </w:pPr>
      <w:r>
        <w:t xml:space="preserve">Tan, M., &amp; Le, Q. (2019). EfficientNet: Rethinking model scaling for convolutional neural networks. ICML 2019.</w:t>
      </w:r>
    </w:p>
    <w:p>
      <w:pPr>
        <w:spacing w:after="120" w:line="360"/>
        <w:jc w:val="both"/>
      </w:pPr>
      <w:r>
        <w:t xml:space="preserve">Yun, S., Han, D., Oh, S. J., Chun, S., Choe, J., &amp; Yoo, Y. (2019). CutMix: Regularization strategy. ICCV 2019.</w:t>
      </w:r>
    </w:p>
    <w:p>
      <w:pPr>
        <w:spacing w:after="120" w:line="360"/>
        <w:jc w:val="both"/>
      </w:pPr>
      <w:r>
        <w:t xml:space="preserve">Zhang, H., Cisse, M., Dauphin, Y. N., &amp; Lopez-Paz, D. (2018). mixup: Beyond empirical risk minimization. ICLR 2018.</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20"/>
        <w:szCs w:val="20"/>
      </w:rPr>
      <w:t xml:space="preserve">Página </w:t>
    </w:r>
    <w:r>
      <w:rPr>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Capítulo 3 — Metodología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3A5F"/>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2E5985"/>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2E598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3 — Metodología</dc:title>
  <dc:creator>Brian Fernández Báez</dc:creator>
  <dc:description>Tesis sobre identificación de aves rapaces migratorias mediante IA y lenguaje de señas</dc:description>
  <cp:lastModifiedBy>Un-named</cp:lastModifiedBy>
  <cp:revision>1</cp:revision>
  <dcterms:created xsi:type="dcterms:W3CDTF">2026-05-08T12:00:59.056Z</dcterms:created>
  <dcterms:modified xsi:type="dcterms:W3CDTF">2026-05-08T12:00:59.057Z</dcterms:modified>
</cp:coreProperties>
</file>

<file path=docProps/custom.xml><?xml version="1.0" encoding="utf-8"?>
<Properties xmlns="http://schemas.openxmlformats.org/officeDocument/2006/custom-properties" xmlns:vt="http://schemas.openxmlformats.org/officeDocument/2006/docPropsVTypes"/>
</file>