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3A5F"/>
          <w:sz w:val="28"/>
          <w:szCs w:val="28"/>
        </w:rPr>
        <w:t xml:space="preserve">IDENTIFICACIÓN DE AVES RAPACES MIGRATORIAS MEDIANTE INTELIGENCIA ARTIFICIAL Y DISEÑO DE LENGUAJE DE SEÑAS PARA SU COMUNICACIÓN Y RECONOCIMIENTO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2E5985"/>
          <w:sz w:val="40"/>
          <w:szCs w:val="40"/>
        </w:rPr>
        <w:t xml:space="preserve">CAPÍTULO 4</w:t>
      </w:r>
    </w:p>
    <w:p>
      <w:r>
        <w:t xml:space="preserve"/>
      </w:r>
    </w:p>
    <w:p>
      <w:pPr>
        <w:jc w:val="center"/>
      </w:pPr>
      <w:r>
        <w:rPr>
          <w:b/>
          <w:bCs/>
          <w:color w:val="2E5985"/>
          <w:sz w:val="36"/>
          <w:szCs w:val="36"/>
        </w:rPr>
        <w:t xml:space="preserve">RESULTADOS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6"/>
          <w:szCs w:val="26"/>
        </w:rPr>
        <w:t xml:space="preserve">Brian Fernández Báez</w:t>
      </w:r>
    </w:p>
    <w:p>
      <w:pPr>
        <w:jc w:val="center"/>
      </w:pPr>
      <w:r>
        <w:rPr>
          <w:i/>
          <w:iCs/>
          <w:sz w:val="24"/>
          <w:szCs w:val="24"/>
        </w:rPr>
        <w:t xml:space="preserve">Tesis de Licenciatura en Biología</w:t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Mayo de 2026</w:t>
      </w:r>
    </w:p>
    <w:p>
      <w:r>
        <w:br w:type="page"/>
      </w:r>
    </w:p>
    <w:p>
      <w:pPr>
        <w:pStyle w:val="Heading1"/>
      </w:pPr>
      <w:r>
        <w:t xml:space="preserve">4.1 Resultados de la Construcción del Dataset</w:t>
      </w:r>
    </w:p>
    <w:p>
      <w:pPr>
        <w:spacing w:after="120" w:line="360"/>
        <w:jc w:val="both"/>
      </w:pPr>
      <w:r>
        <w:t xml:space="preserve">En este capítulo se presentan los resultados obtenidos en cada fase del proyecto. Las tablas y figuras se llenarán con los datos reales conforme avancen los entrenamientos y la validación con la comunidad sorda.</w:t>
      </w:r>
    </w:p>
    <w:p>
      <w:pPr>
        <w:pStyle w:val="Heading2"/>
      </w:pPr>
      <w:r>
        <w:t xml:space="preserve">4.1.1 Composición final del dataset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[Tabla 4.1 — Número final de imágenes por especie, división train/val/test, kappa de Cohen entre anotadores. A llenar al cierre de la fase de etiquetado.]</w:t>
      </w:r>
    </w:p>
    <w:p>
      <w:pPr>
        <w:pStyle w:val="Heading2"/>
      </w:pPr>
      <w:r>
        <w:t xml:space="preserve">4.1.2 Distribución por fuente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[Figura 4.1 — Diagrama de barras mostrando la proporción de imágenes provenientes de Macaulay Library, iNaturalist, Pronatura Veracruz y recolección propia.]</w:t>
      </w:r>
    </w:p>
    <w:p>
      <w:pPr>
        <w:pStyle w:val="Heading2"/>
      </w:pPr>
      <w:r>
        <w:t xml:space="preserve">4.1.3 Análisis de calidad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[Reporte del coeficiente kappa de Cohen global y por especie, número de imágenes descartadas y motivo principal de descarte.]</w:t>
      </w:r>
    </w:p>
    <w:p>
      <w:pPr>
        <w:pStyle w:val="Heading1"/>
      </w:pPr>
      <w:r>
        <w:t xml:space="preserve">4.2 Resultados de los Modelos CNN</w:t>
      </w:r>
    </w:p>
    <w:p>
      <w:pPr>
        <w:pStyle w:val="Heading2"/>
      </w:pPr>
      <w:r>
        <w:t xml:space="preserve">4.2.1 Comparativa entre arquitecturas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430"/>
        <w:gridCol w:w="1230"/>
      </w:tblGrid>
      <w:tr>
        <w:trPr>
          <w:tblHeader/>
        </w:trP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Arquitectura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F1 macro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Parámetros (M)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Inferencia (ms)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ResNet-50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PyTorch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25.6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ResNet-50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TensorFlow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25.6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EfficientNet-B3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PyTorch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12.0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EfficientNet-B3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TensorFlow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12.0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MobileNetV3-Large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PyTorch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5.5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MobileNetV3-Large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TensorFlow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5.5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ConvNeXt-Tiny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PyTorch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28.6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ConvNeXt-Tiny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TensorFlow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28.6</w:t>
            </w:r>
          </w:p>
        </w:tc>
        <w:tc>
          <w:tcPr>
            <w:tcW w:type="dxa" w:w="123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40" w:before="120"/>
        <w:jc w:val="center"/>
      </w:pPr>
      <w:r>
        <w:rPr>
          <w:i/>
          <w:iCs/>
          <w:sz w:val="22"/>
          <w:szCs w:val="22"/>
        </w:rPr>
        <w:t xml:space="preserve">Tabla 4.2 — Comparativa de las 4 arquitecturas en los 2 frameworks (a llenar).</w:t>
      </w:r>
    </w:p>
    <w:p>
      <w:pPr>
        <w:pStyle w:val="Heading2"/>
      </w:pPr>
      <w:r>
        <w:t xml:space="preserve">4.2.2 Modelo ganador y métricas detalladas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[Tabla 4.3 — Precision, recall y F1 por especie del modelo ganador. Incluir intervalos de confianza al 95 % obtenidos por validación cruzada.]</w:t>
      </w:r>
    </w:p>
    <w:p>
      <w:pPr>
        <w:pStyle w:val="Heading2"/>
      </w:pPr>
      <w:r>
        <w:t xml:space="preserve">4.2.3 Matriz de confusión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[Figura 4.2 — Matriz de confusión 14×14 normalizada por filas. Identificar los pares de especies confundidas con mayor frecuencia (esperado: SS↔CH por similitud de Accipiter, TV↔ZT por mimetismo, AK↔ML por tamaño y forma de halcón pequeño).]</w:t>
      </w:r>
    </w:p>
    <w:p>
      <w:pPr>
        <w:pStyle w:val="Heading2"/>
      </w:pPr>
      <w:r>
        <w:t xml:space="preserve">4.2.4 Curvas ROC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[Figura 4.3 — Curvas ROC one-vs-rest por especie, con sus respectivos AUC. Reporte del macro-AUC.]</w:t>
      </w:r>
    </w:p>
    <w:p>
      <w:pPr>
        <w:pStyle w:val="Heading2"/>
      </w:pPr>
      <w:r>
        <w:t xml:space="preserve">4.2.5 Análisis de Grad-CAM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[Figura 4.4 — Conjunto de mapas de calor Grad-CAM sobre 2-3 imágenes representativas de cada especie. Discusión: ¿el modelo está atendiendo a los caracteres morfológicos esperados?]</w:t>
      </w:r>
    </w:p>
    <w:p>
      <w:pPr>
        <w:pStyle w:val="Heading2"/>
      </w:pPr>
      <w:r>
        <w:t xml:space="preserve">4.2.6 Comparativa PyTorch vs. TensorFlow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[Discusión de las diferencias observadas: ¿hay diferencias estadísticamente significativas en las métricas? ¿Cuál es más rápido en entrenamiento? ¿Cuál es más portable a producción?]</w:t>
      </w:r>
    </w:p>
    <w:p>
      <w:pPr>
        <w:pStyle w:val="Heading1"/>
      </w:pPr>
      <w:r>
        <w:t xml:space="preserve">4.3 Resultados del Módulo de Lengua de Señas</w:t>
      </w:r>
    </w:p>
    <w:p>
      <w:pPr>
        <w:pStyle w:val="Heading2"/>
      </w:pPr>
      <w:r>
        <w:t xml:space="preserve">4.3.1 Catálogo final de señas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700"/>
        <w:gridCol w:w="17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Cód.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Especie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 de la seña final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Iconicidad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Likert global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BW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Buteo platypterus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Buteo swainsoni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TV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Cathartes aura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MK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Ictinia mississippiensis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SS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Accipiter striatus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Astur cooperii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RT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Buteo jamaicensis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RS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Buteo lineatus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ZT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Buteo albonotatus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NH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Circus hudsonius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PG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Falco peregrinus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AK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Falco sparverius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OS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Pandion haliaetus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ML</w:t>
            </w:r>
          </w:p>
        </w:tc>
        <w:tc>
          <w:tcPr>
            <w:tcW w:type="dxa" w:w="24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Falco columbarius</w:t>
            </w:r>
          </w:p>
        </w:tc>
        <w:tc>
          <w:tcPr>
            <w:tcW w:type="dxa" w:w="2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0B0" w:sz="6"/>
              <w:left w:val="single" w:color="B0B0B0" w:sz="6"/>
              <w:bottom w:val="single" w:color="B0B0B0" w:sz="6"/>
              <w:right w:val="single" w:color="B0B0B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40" w:before="120"/>
        <w:jc w:val="center"/>
      </w:pPr>
      <w:r>
        <w:rPr>
          <w:i/>
          <w:iCs/>
          <w:sz w:val="22"/>
          <w:szCs w:val="22"/>
        </w:rPr>
        <w:t xml:space="preserve">Tabla 4.4 — Catálogo final de las 14 señas con descripción, grado de iconicidad y promedio Likert global (a llenar tras la validación con grupo focal).</w:t>
      </w:r>
    </w:p>
    <w:p>
      <w:pPr>
        <w:pStyle w:val="Heading2"/>
      </w:pPr>
      <w:r>
        <w:t xml:space="preserve">4.3.2 Resultados de la validación con grupo focal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[Tabla 4.5 — Promedios y desviaciones estándar por dimensión (claridad, naturalidad, memorabilidad) para cada seña. Marcar las que superan el umbral 4.0.]</w:t>
      </w:r>
    </w:p>
    <w:p>
      <w:pPr>
        <w:pStyle w:val="Heading2"/>
      </w:pPr>
      <w:r>
        <w:t xml:space="preserve">4.3.3 Análisis cualitativo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[Síntesis de los comentarios abiertos y observaciones del grupo focal. Identificar ajustes implementados después de la validación inicial.]</w:t>
      </w:r>
    </w:p>
    <w:p>
      <w:pPr>
        <w:pStyle w:val="Heading1"/>
      </w:pPr>
      <w:r>
        <w:t xml:space="preserve">4.4 Resultados de la Integración y el Prototipo</w:t>
      </w:r>
    </w:p>
    <w:p>
      <w:pPr>
        <w:pStyle w:val="Heading2"/>
      </w:pPr>
      <w:r>
        <w:t xml:space="preserve">4.4.1 Arquitectura del prototipo final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[Figura 4.5 — Diagrama de arquitectura del prototipo: bloques de pre-procesamiento, modelo, Grad-CAM, salida con seña.]</w:t>
      </w:r>
    </w:p>
    <w:p>
      <w:pPr>
        <w:pStyle w:val="Heading2"/>
      </w:pPr>
      <w:r>
        <w:t xml:space="preserve">4.4.2 Tiempos de respuesta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[Tabla 4.6 — Latencia media y percentil 95 por etapa del pipeline, medido sobre 100 imágenes de prueba.]</w:t>
      </w:r>
    </w:p>
    <w:p>
      <w:pPr>
        <w:pStyle w:val="Heading2"/>
      </w:pPr>
      <w:r>
        <w:t xml:space="preserve">4.4.3 Pruebas con usuarios reales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[Resultados de pruebas piloto con 5–10 usuarios oyentes y 5–10 usuarios sordos, evaluando facilidad de uso, claridad del resultado y satisfacción general.]</w:t>
      </w:r>
    </w:p>
    <w:p>
      <w:pPr>
        <w:pStyle w:val="Heading1"/>
      </w:pPr>
      <w:r>
        <w:t xml:space="preserve">4.5 Discusión</w:t>
      </w:r>
    </w:p>
    <w:p>
      <w:pPr>
        <w:pStyle w:val="Heading2"/>
      </w:pPr>
      <w:r>
        <w:t xml:space="preserve">4.5.1 Cumplimiento de las hipótesis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[¿Se alcanzó accuracy ≥ 85 %? ¿F1 ≥ 0.83? ¿Las señas obtuvieron promedio Likert ≥ 4.0? Aceptar o rechazar H1 y H2 con base en los datos.]</w:t>
      </w:r>
    </w:p>
    <w:p>
      <w:pPr>
        <w:pStyle w:val="Heading2"/>
      </w:pPr>
      <w:r>
        <w:t xml:space="preserve">4.5.2 Comparación con el estado del arte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[Confrontar los resultados con Boer et al. (2022) y Khandelwal et al. (2022). Identificar mejoras y limitaciones relativas.]</w:t>
      </w:r>
    </w:p>
    <w:p>
      <w:pPr>
        <w:pStyle w:val="Heading2"/>
      </w:pPr>
      <w:r>
        <w:t xml:space="preserve">4.5.3 Limitaciones encontradas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[Discutir limitaciones detectadas durante la ejecución que no estaban previstas en el Capítulo 1.]</w:t>
      </w:r>
    </w:p>
    <w:p>
      <w:pPr>
        <w:pStyle w:val="Heading2"/>
      </w:pPr>
      <w:r>
        <w:t xml:space="preserve">4.5.4 Implicaciones científicas y sociales</w:t>
      </w:r>
    </w:p>
    <w:p>
      <w:pPr>
        <w:spacing w:after="120" w:line="360"/>
        <w:jc w:val="both"/>
      </w:pPr>
      <w:r>
        <w:rPr>
          <w:i/>
          <w:iCs/>
          <w:color w:val="888888"/>
        </w:rPr>
        <w:t xml:space="preserve">[¿Qué impacto puede tener el modelo y el catálogo de señas? ¿Qué aliados podrían adoptarlos? ¿Cómo se proyecta su sostenibilidad?]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Página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Capítulo 4 — Resultados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598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9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 — Resultados</dc:title>
  <dc:creator>Brian Fernández Báez</dc:creator>
  <dc:description>Tesis sobre identificación de aves rapaces migratorias mediante IA y lenguaje de señas</dc:description>
  <cp:lastModifiedBy>Un-named</cp:lastModifiedBy>
  <cp:revision>1</cp:revision>
  <dcterms:created xsi:type="dcterms:W3CDTF">2026-05-08T12:00:59.340Z</dcterms:created>
  <dcterms:modified xsi:type="dcterms:W3CDTF">2026-05-08T12:00:59.341Z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