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jc w:val="center"/>
      </w:pPr>
      <w:r>
        <w:rPr>
          <w:b/>
          <w:bCs/>
          <w:color w:val="1F3A5F"/>
          <w:sz w:val="28"/>
          <w:szCs w:val="28"/>
        </w:rPr>
        <w:t xml:space="preserve">IDENTIFICACIÓN DE AVES RAPACES MIGRATORIAS MEDIANTE INTELIGENCIA ARTIFICIAL Y DISEÑO DE LENGUAJE DE SEÑAS PARA SU COMUNICACIÓN Y RECONOCIMIENTO</w:t>
      </w:r>
    </w:p>
    <w:p>
      <w:r>
        <w:t xml:space="preserve"/>
      </w:r>
    </w:p>
    <w:p>
      <w:r>
        <w:t xml:space="preserve"/>
      </w:r>
    </w:p>
    <w:p>
      <w:pPr>
        <w:jc w:val="center"/>
      </w:pPr>
      <w:r>
        <w:rPr>
          <w:b/>
          <w:bCs/>
          <w:color w:val="2E5985"/>
          <w:sz w:val="40"/>
          <w:szCs w:val="40"/>
        </w:rPr>
        <w:t xml:space="preserve">CAPÍTULO 1</w:t>
      </w:r>
    </w:p>
    <w:p>
      <w:r>
        <w:t xml:space="preserve"/>
      </w:r>
    </w:p>
    <w:p>
      <w:pPr>
        <w:jc w:val="center"/>
      </w:pPr>
      <w:r>
        <w:rPr>
          <w:b/>
          <w:bCs/>
          <w:color w:val="2E5985"/>
          <w:sz w:val="36"/>
          <w:szCs w:val="36"/>
        </w:rPr>
        <w:t xml:space="preserve">INTRODUCCIÓN</w:t>
      </w:r>
    </w:p>
    <w:p>
      <w:r>
        <w:t xml:space="preserve"/>
      </w:r>
    </w:p>
    <w:p>
      <w:r>
        <w:t xml:space="preserve"/>
      </w:r>
    </w:p>
    <w:p>
      <w:r>
        <w:t xml:space="preserve"/>
      </w:r>
    </w:p>
    <w:p>
      <w:r>
        <w:t xml:space="preserve"/>
      </w:r>
    </w:p>
    <w:p>
      <w:r>
        <w:t xml:space="preserve"/>
      </w:r>
    </w:p>
    <w:p>
      <w:r>
        <w:t xml:space="preserve"/>
      </w:r>
    </w:p>
    <w:p>
      <w:pPr>
        <w:jc w:val="center"/>
      </w:pPr>
      <w:r>
        <w:rPr>
          <w:sz w:val="26"/>
          <w:szCs w:val="26"/>
        </w:rPr>
        <w:t xml:space="preserve">Brian Fernández Báez</w:t>
      </w:r>
    </w:p>
    <w:p>
      <w:pPr>
        <w:jc w:val="center"/>
      </w:pPr>
      <w:r>
        <w:rPr>
          <w:i/>
          <w:iCs/>
          <w:sz w:val="24"/>
          <w:szCs w:val="24"/>
        </w:rPr>
        <w:t xml:space="preserve">Tesis de Maestría</w:t>
      </w:r>
    </w:p>
    <w:p>
      <w:r>
        <w:t xml:space="preserve"/>
      </w:r>
    </w:p>
    <w:p>
      <w:pPr>
        <w:jc w:val="center"/>
      </w:pPr>
      <w:r>
        <w:rPr>
          <w:sz w:val="24"/>
          <w:szCs w:val="24"/>
        </w:rPr>
        <w:t xml:space="preserve">Mayo de 2026</w:t>
      </w:r>
    </w:p>
    <w:p>
      <w:r>
        <w:br w:type="page"/>
      </w:r>
    </w:p>
    <w:p>
      <w:pPr>
        <w:pStyle w:val="Heading1"/>
      </w:pPr>
      <w:r>
        <w:t xml:space="preserve">1.1 Antecedentes</w:t>
      </w:r>
    </w:p>
    <w:p>
      <w:pPr>
        <w:spacing w:after="120" w:line="360"/>
        <w:jc w:val="both"/>
      </w:pPr>
      <w:r>
        <w:t xml:space="preserve">La migración de aves rapaces constituye uno de los fenómenos biológicos más espectaculares y mejor documentados del planeta. Cada año, millones de individuos pertenecientes a los órdenes Accipitriformes y Falconiformes recorren miles de kilómetros entre sus zonas de reproducción en Norteamérica y sus áreas de invernada en Centro y Sudamérica (Bildstein, 2006; Newton, 2010). Este proceso, modelado a lo largo de millones de años de evolución, depende de la disponibilidad de corredores aéreos específicos donde las condiciones meteorológicas y topográficas concentran a los ejemplares en cantidades extraordinarias.</w:t>
      </w:r>
    </w:p>
    <w:p>
      <w:pPr>
        <w:spacing w:after="120" w:line="360"/>
        <w:jc w:val="both"/>
      </w:pPr>
      <w:r>
        <w:t xml:space="preserve">Dentro de estos corredores, el estado de Veracruz, México, ocupa una posición privilegiada a nivel mundial. La planicie costera del Golfo de México, comprimida entre la Sierra Madre Oriental y el mar, funciona como un embudo geográfico natural que canaliza prácticamente la totalidad del flujo migratorio neárctico-neotropical de rapaces (Ruelas Inzunza et al., 2005; Pronatura Veracruz, 2020). Los conteos sistemáticos realizados desde 1991 en los sitios de Cardel y Chichicaxtle han documentado más de cinco millones de individuos por temporada, cifra que convierte al corredor veracruzano en el de mayor volumen migratorio de rapaces registrado en el mundo (Pronatura Veracruz, 2020). Este fenómeno, conocido localmente como el “Río de Rapaces”, ha sido reconocido como Área de Importancia para la Conservación de las Aves (AICA) y ha sido objeto de monitoreo continuo durante más de tres décadas.</w:t>
      </w:r>
    </w:p>
    <w:p>
      <w:pPr>
        <w:spacing w:after="120" w:line="360"/>
        <w:jc w:val="both"/>
      </w:pPr>
      <w:r>
        <w:t xml:space="preserve">A pesar de la riqueza documental que existe sobre el corredor, la metodología de identificación sigue dependiendo casi por completo de observadores humanos altamente entrenados. Los conteos se realizan a simple vista o con binoculares, y la determinación específica se basa en caracteres morfológicos sutiles de silueta, vuelo y plumaje que solo expertos con años de experiencia pueden discernir con confiabilidad. Esta dependencia genera tres limitaciones estructurales: la disponibilidad limitada de personal capacitado, la variabilidad inter-observador en los conteos, y la dificultad para escalar el monitoreo a otras regiones donde no exista una red consolidada de expertos (Bildstein, 2006; Newton, 2010).</w:t>
      </w:r>
    </w:p>
    <w:p>
      <w:pPr>
        <w:spacing w:after="120" w:line="360"/>
        <w:jc w:val="both"/>
      </w:pPr>
      <w:r>
        <w:t xml:space="preserve">Paralelamente, la última década ha sido testigo de una revolución en el campo de la inteligencia artificial aplicada a la conservación. Las redes neuronales convolucionales (Convolutional Neural Networks, CNN), introducidas formalmente por LeCun et al. (1998) y popularizadas por Krizhevsky, Sutskever y Hinton (2012) tras su victoria en el ImageNet Large Scale Visual Recognition Challenge, han demostrado capacidades sin precedentes en tareas de clasificación de imágenes. Iniciativas como BirdNET (Kahl et al., 2021), Wildlife Insights (Ahumada et al., 2020) e iNaturalist han incorporado el aprendizaje profundo al monitoreo de fauna, alcanzando precisiones superiores al 90% en taxones diversos. Sin embargo, estas plataformas han sido optimizadas para vocalizaciones (BirdNET), cámaras trampa terrestres (Wildlife Insights) o fotografías de alta calidad subidas por usuarios (iNaturalist), pero ninguna ha sido entrenada específicamente para resolver el desafío de identificar rapaces en vuelo, a contraluz, en cielos abiertos y a grandes distancias.</w:t>
      </w:r>
    </w:p>
    <w:p>
      <w:pPr>
        <w:spacing w:after="120" w:line="360"/>
        <w:jc w:val="both"/>
      </w:pPr>
      <w:r>
        <w:t xml:space="preserve">De manera simultánea, y por completo independiente del avance tecnológico anterior, persiste una brecha de inclusión en las ciencias ambientales. Según la Organización Mundial de la Salud (OMS, 2021), más de 466 millones de personas en el mundo presentan algún grado de discapacidad auditiva, y el INEGI (2020) reporta que en México hay aproximadamente 2.3 millones de personas con esta condición. La Convención sobre los Derechos de las Personas con Discapacidad de las Naciones Unidas (ONU, 2006) reconoce explícitamente el derecho de las personas sordas a acceder a la información científica y educativa en su lengua natural, que es la lengua de señas. Sin embargo, los glosarios de señas científicas son escasos: existen avances notables en astronomía (López-Núñez et al., 2018) y biología marina (Kusters &amp; De Meulder, 2019), pero el campo de la ornitología, y particularmente el de las aves rapaces, carece de un sistema léxico formalizado en lengua de señas, sea local (Lengua de Señas Mexicana, LSM) o internacional (International Sign, IS).</w:t>
      </w:r>
    </w:p>
    <w:p>
      <w:pPr>
        <w:spacing w:after="120" w:line="360"/>
        <w:jc w:val="both"/>
      </w:pPr>
      <w:r>
        <w:t xml:space="preserve">La conjunción de los tres elementos anteriores —corredor migratorio de relevancia mundial, madurez de las CNN para visión computacional y vacío en la accesibilidad inclusiva— configura el escenario de oportunidad científica que motiva el presente trabajo. La integración de un modelo de identificación automática de rapaces en vuelo con un módulo de lengua de señas internacional permitiría, por primera vez, un sistema que no solo automatiza un proceso tradicionalmente manual, sino que además democratiza el conocimiento ornitológico hacia comunidades históricamente excluidas del discurso científico.</w:t>
      </w:r>
    </w:p>
    <w:p>
      <w:pPr>
        <w:pStyle w:val="Heading1"/>
      </w:pPr>
      <w:r>
        <w:t xml:space="preserve">1.2 Planteamiento del Problema</w:t>
      </w:r>
    </w:p>
    <w:p>
      <w:pPr>
        <w:spacing w:after="120" w:line="360"/>
        <w:jc w:val="both"/>
      </w:pPr>
      <w:r>
        <w:t xml:space="preserve">El monitoreo del corredor migratorio de rapaces de Veracruz se enfrenta a tres problemas estructurales que limitan tanto la calidad de los datos como su impacto educativo y social.</w:t>
      </w:r>
    </w:p>
    <w:p>
      <w:pPr>
        <w:pStyle w:val="Heading2"/>
      </w:pPr>
      <w:r>
        <w:t xml:space="preserve">1.2.1 Problema 1 — Dependencia del experto humano</w:t>
      </w:r>
    </w:p>
    <w:p>
      <w:pPr>
        <w:spacing w:after="120" w:line="360"/>
        <w:jc w:val="both"/>
      </w:pPr>
      <w:r>
        <w:t xml:space="preserve">La identificación específica de rapaces en vuelo requiere observadores con un mínimo de tres a cinco años de experiencia activa. La rotación de personal, la dificultad para entrenar nuevos contadores en condiciones de campo y la fatiga visual durante jornadas de hasta diez horas continuas introducen sesgos sistemáticos en los conteos (Ruelas Inzunza et al., 2005). Adicionalmente, el costo logístico de mantener equipos calificados durante toda la temporada migratoria limita la replicabilidad del modelo en otros sitios del continente.</w:t>
      </w:r>
    </w:p>
    <w:p>
      <w:pPr>
        <w:pStyle w:val="Heading2"/>
      </w:pPr>
      <w:r>
        <w:t xml:space="preserve">1.2.2 Problema 2 — Ausencia de automatización adaptada al vuelo en cielos abiertos</w:t>
      </w:r>
    </w:p>
    <w:p>
      <w:pPr>
        <w:spacing w:after="120" w:line="360"/>
        <w:jc w:val="both"/>
      </w:pPr>
      <w:r>
        <w:t xml:space="preserve">Aunque existen sistemas de IA para identificación de aves, ninguno ha sido entrenado para el caso particular de la identificación de rapaces en vuelo. Las imágenes de campo en este contexto presentan características hostiles para los modelos genéricos: alto contraluz, cielos uniformes que dificultan la segmentación, individuos a distancias variables, alas en distintas posiciones del ciclo de batido y diversidad de plumajes intra-específicos. Los modelos pre-entrenados en datasets como ImageNet o iNat-21 no logran generalizar adecuadamente a este escenario sin un proceso explícito de fine-tuning con datos del corredor.</w:t>
      </w:r>
    </w:p>
    <w:p>
      <w:pPr>
        <w:pStyle w:val="Heading2"/>
      </w:pPr>
      <w:r>
        <w:t xml:space="preserve">1.2.3 Problema 3 — Exclusión de las comunidades sordas del discurso ornitológico</w:t>
      </w:r>
    </w:p>
    <w:p>
      <w:pPr>
        <w:spacing w:after="120" w:line="360"/>
        <w:jc w:val="both"/>
      </w:pPr>
      <w:r>
        <w:t xml:space="preserve">Los recursos educativos sobre aves rapaces se distribuyen casi exclusivamente en formato escrito o auditivo. Las personas sordas que desean participar en la observación de aves o en programas de educación ambiental se encuentran con un vocabulario altamente técnico (alas, plumas remeras, rectrices, mancha carpal, banda subterminal, etc.) que carece de equivalentes formalizados en lengua de señas. Esta ausencia léxica perpetúa una barrera de accesibilidad que contradice los principios del Diseño Universal para el Aprendizaje (CAST, 2018) y los compromisos internacionales asumidos por México en materia de inclusión.</w:t>
      </w:r>
    </w:p>
    <w:p>
      <w:pPr>
        <w:pStyle w:val="Heading2"/>
      </w:pPr>
      <w:r>
        <w:t xml:space="preserve">1.2.4 Preguntas de Investigación</w:t>
      </w:r>
    </w:p>
    <w:p>
      <w:pPr>
        <w:spacing w:after="120" w:line="360"/>
        <w:jc w:val="both"/>
      </w:pPr>
      <w:r>
        <w:t xml:space="preserve">De los problemas anteriores se derivan tres preguntas de investigación verificables:</w:t>
      </w:r>
    </w:p>
    <w:p>
      <w:pPr>
        <w:pStyle w:val="ListParagraph"/>
        <w:numPr>
          <w:ilvl w:val="0"/>
          <w:numId w:val="2"/>
        </w:numPr>
        <w:spacing w:after="80" w:line="320"/>
      </w:pPr>
      <w:r>
        <w:t xml:space="preserve">¿Es posible diseñar un modelo basado en redes neuronales convolucionales que identifique correctamente las 14 especies objetivo de rapaces migratorias del corredor de Veracruz, a partir de imágenes en vuelo, con una precisión global superior al 85%?</w:t>
      </w:r>
    </w:p>
    <w:p>
      <w:pPr>
        <w:pStyle w:val="ListParagraph"/>
        <w:numPr>
          <w:ilvl w:val="0"/>
          <w:numId w:val="2"/>
        </w:numPr>
        <w:spacing w:after="80" w:line="320"/>
      </w:pPr>
      <w:r>
        <w:t xml:space="preserve">¿Qué arquitectura de CNN (ResNet-50, EfficientNet-B3, MobileNetV3 o ConvNeXt-Tiny) ofrece el mejor compromiso entre precisión, velocidad de inferencia y portabilidad para su despliegue en condiciones de campo?</w:t>
      </w:r>
    </w:p>
    <w:p>
      <w:pPr>
        <w:pStyle w:val="ListParagraph"/>
        <w:numPr>
          <w:ilvl w:val="0"/>
          <w:numId w:val="2"/>
        </w:numPr>
        <w:spacing w:after="80" w:line="320"/>
      </w:pPr>
      <w:r>
        <w:t xml:space="preserve">¿Es posible diseñar un conjunto coherente de 14 señas en International Sign para las especies objetivo —partiendo del catálogo preliminar del autor— evaluado positivamente por miembros de la comunidad sorda en términos de claridad, naturalidad y memorabilidad (escala Likert ≥ 4 sobre 5)?</w:t>
      </w:r>
    </w:p>
    <w:p>
      <w:pPr>
        <w:pStyle w:val="Heading1"/>
      </w:pPr>
      <w:r>
        <w:t xml:space="preserve">1.3 Justificación</w:t>
      </w:r>
    </w:p>
    <w:p>
      <w:pPr>
        <w:pStyle w:val="Heading2"/>
      </w:pPr>
      <w:r>
        <w:t xml:space="preserve">1.3.1 Dimensión científica y ecológica</w:t>
      </w:r>
    </w:p>
    <w:p>
      <w:pPr>
        <w:spacing w:after="120" w:line="360"/>
        <w:jc w:val="both"/>
      </w:pPr>
      <w:r>
        <w:t xml:space="preserve">La automatización del conteo de rapaces incrementa la consistencia metodológica de las series temporales y reduce el sesgo inter-observador. Para un corredor con más de tres décadas de monitoreo continuo, la posibilidad de complementar los conteos humanos con un sistema de visión computacional valida los datos históricos y permite detectar tendencias poblacionales con mayor precisión estadística. Esto es particularmente relevante en el contexto del cambio climático, donde se han documentado desplazamientos de rangos en aves migratorias (Newton, 2010) y donde la detección temprana de variaciones es crítica para la conservación.</w:t>
      </w:r>
    </w:p>
    <w:p>
      <w:pPr>
        <w:pStyle w:val="Heading2"/>
      </w:pPr>
      <w:r>
        <w:t xml:space="preserve">1.3.2 Dimensión tecnológica</w:t>
      </w:r>
    </w:p>
    <w:p>
      <w:pPr>
        <w:spacing w:after="120" w:line="360"/>
        <w:jc w:val="both"/>
      </w:pPr>
      <w:r>
        <w:t xml:space="preserve">El proyecto contribuye al estado del arte en visión computacional aplicada a fauna silvestre en condiciones extremas. Los modelos entrenados con el dataset propio del corredor podrán liberarse bajo licencias abiertas para su reutilización por investigadores de otros corredores migratorios del mundo (Israel, Estrecho de Gibraltar, Batumi en Georgia, Panamá), generando un impacto científico transnacional.</w:t>
      </w:r>
    </w:p>
    <w:p>
      <w:pPr>
        <w:pStyle w:val="Heading2"/>
      </w:pPr>
      <w:r>
        <w:t xml:space="preserve">1.3.3 Dimensión social e inclusiva</w:t>
      </w:r>
    </w:p>
    <w:p>
      <w:pPr>
        <w:spacing w:after="120" w:line="360"/>
        <w:jc w:val="both"/>
      </w:pPr>
      <w:r>
        <w:t xml:space="preserve">La incorporación de un módulo de lengua de señas internacional convierte al sistema en una herramienta de accesibilidad real. La elección del International Sign sobre la Lengua de Señas Mexicana se fundamenta en el alcance global del producto: cualquier institución educativa, museo de historia natural o reserva ecológica del mundo podría adoptar el módulo sin necesidad de re-traducción a su lengua de señas local. Esto está alineado con los lineamientos de la World Federation of the Deaf (WFD, 2019) sobre el uso del IS como pivote en contextos transnacionales.</w:t>
      </w:r>
    </w:p>
    <w:p>
      <w:pPr>
        <w:pStyle w:val="Heading2"/>
      </w:pPr>
      <w:r>
        <w:t xml:space="preserve">1.3.4 Dimensión ética</w:t>
      </w:r>
    </w:p>
    <w:p>
      <w:pPr>
        <w:spacing w:after="120" w:line="360"/>
        <w:jc w:val="both"/>
      </w:pPr>
      <w:r>
        <w:t xml:space="preserve">El proyecto se inscribe en un paradigma de ciencia abierta y ética. Todas las imágenes utilizadas para el entrenamiento provienen de fuentes con licencia Creative Commons o son recolectadas con consentimiento del fotógrafo. El modelo final se publicará junto con el dataset, los pesos y la documentación, con el fin de garantizar la reproducibilidad y la validación independiente. Adicionalmente, el diseño de las señas se realiza en colaboración con miembros de la comunidad sorda, evitando la imposición de soluciones desde la mayoría oyente.</w:t>
      </w:r>
    </w:p>
    <w:p>
      <w:pPr>
        <w:pStyle w:val="Heading1"/>
      </w:pPr>
      <w:r>
        <w:t xml:space="preserve">1.4 Objetivos</w:t>
      </w:r>
    </w:p>
    <w:p>
      <w:pPr>
        <w:pStyle w:val="Heading2"/>
      </w:pPr>
      <w:r>
        <w:t xml:space="preserve">1.4.1 Objetivo general</w:t>
      </w:r>
    </w:p>
    <w:p>
      <w:pPr>
        <w:spacing w:after="120" w:line="360"/>
        <w:jc w:val="both"/>
      </w:pPr>
      <w:r>
        <w:t xml:space="preserve">Diseñar, implementar y validar un sistema integrado de identificación automática de aves rapaces migratorias del corredor de Veracruz mediante redes neuronales convolucionales, complementado con un módulo accesible de comunicación basado en lengua de señas internacional, que permita democratizar el conocimiento ornitológico y fortalecer las metodologías de monitoreo participativo.</w:t>
      </w:r>
    </w:p>
    <w:p>
      <w:pPr>
        <w:pStyle w:val="Heading2"/>
      </w:pPr>
      <w:r>
        <w:t xml:space="preserve">1.4.2 Objetivos específicos</w:t>
      </w:r>
    </w:p>
    <w:p>
      <w:pPr>
        <w:pStyle w:val="ListParagraph"/>
        <w:numPr>
          <w:ilvl w:val="0"/>
          <w:numId w:val="3"/>
        </w:numPr>
        <w:spacing w:after="80" w:line="320"/>
      </w:pPr>
      <w:r>
        <w:t xml:space="preserve">OE1. Construir un dataset etiquetado de al menos 2,800 imágenes (mínimo 200 por especie) correspondientes a las 14 especies objetivo de rapaces migratorias del corredor de Veracruz, con metadatos de ángulo, condición atmosférica y resolución.</w:t>
      </w:r>
    </w:p>
    <w:p>
      <w:pPr>
        <w:pStyle w:val="ListParagraph"/>
        <w:numPr>
          <w:ilvl w:val="0"/>
          <w:numId w:val="3"/>
        </w:numPr>
        <w:spacing w:after="80" w:line="320"/>
      </w:pPr>
      <w:r>
        <w:t xml:space="preserve">OE2. Implementar y comparar al menos cuatro arquitecturas de redes neuronales convolucionales (ResNet-50, EfficientNet-B3, MobileNetV3 y ConvNeXt-Tiny) en los frameworks PyTorch y TensorFlow.</w:t>
      </w:r>
    </w:p>
    <w:p>
      <w:pPr>
        <w:pStyle w:val="ListParagraph"/>
        <w:numPr>
          <w:ilvl w:val="0"/>
          <w:numId w:val="3"/>
        </w:numPr>
        <w:spacing w:after="80" w:line="320"/>
      </w:pPr>
      <w:r>
        <w:t xml:space="preserve">OE3. Evaluar el rendimiento de cada modelo mediante las métricas accuracy global, precision y recall por clase, F1-score macro, matriz de confusión y curvas ROC, con validación cruzada de cinco iteraciones.</w:t>
      </w:r>
    </w:p>
    <w:p>
      <w:pPr>
        <w:pStyle w:val="ListParagraph"/>
        <w:numPr>
          <w:ilvl w:val="0"/>
          <w:numId w:val="3"/>
        </w:numPr>
        <w:spacing w:after="80" w:line="320"/>
      </w:pPr>
      <w:r>
        <w:t xml:space="preserve">OE4. Refinar el catálogo preliminar de 14 señas en International Sign propuesto por el autor, fundamentándolo en los rasgos morfológicos diagnósticos de cada especie y validándolo con hablantes nativos del IS y miembros de la comunidad sorda.</w:t>
      </w:r>
    </w:p>
    <w:p>
      <w:pPr>
        <w:pStyle w:val="ListParagraph"/>
        <w:numPr>
          <w:ilvl w:val="0"/>
          <w:numId w:val="3"/>
        </w:numPr>
        <w:spacing w:after="80" w:line="320"/>
      </w:pPr>
      <w:r>
        <w:t xml:space="preserve">OE5. Integrar el modelo CNN seleccionado y el catálogo de señas en una plataforma prototipo que entregue, ante una imagen de entrada, la especie identificada y un video de la seña correspondiente.</w:t>
      </w:r>
    </w:p>
    <w:p>
      <w:pPr>
        <w:pStyle w:val="ListParagraph"/>
        <w:numPr>
          <w:ilvl w:val="0"/>
          <w:numId w:val="3"/>
        </w:numPr>
        <w:spacing w:after="80" w:line="320"/>
      </w:pPr>
      <w:r>
        <w:t xml:space="preserve">OE6. Documentar el proyecto en formato de tesis con rigor académico, generando entregables reutilizables: código bajo licencia abierta, dataset etiquetado, manuales de uso y materiales educativos.</w:t>
      </w:r>
    </w:p>
    <w:p>
      <w:pPr>
        <w:pStyle w:val="Heading1"/>
      </w:pPr>
      <w:r>
        <w:t xml:space="preserve">1.5 Alcances y Limitaciones</w:t>
      </w:r>
    </w:p>
    <w:p>
      <w:pPr>
        <w:pStyle w:val="Heading2"/>
      </w:pPr>
      <w:r>
        <w:t xml:space="preserve">1.5.1 Alcances</w:t>
      </w:r>
    </w:p>
    <w:p>
      <w:pPr>
        <w:pStyle w:val="ListParagraph"/>
        <w:numPr>
          <w:ilvl w:val="0"/>
          <w:numId w:val="2"/>
        </w:numPr>
        <w:spacing w:after="80" w:line="320"/>
      </w:pPr>
      <w:r>
        <w:rPr>
          <w:b/>
          <w:bCs/>
        </w:rPr>
        <w:t xml:space="preserve">Alcance taxonómico: </w:t>
      </w:r>
      <w:r>
        <w:t xml:space="preserve">14 especies objetivo del corredor de Veracruz: Buteo platypterus (Broad-winged Hawk), Buteo swainsoni (Swainson's Hawk), Cathartes aura (Turkey Vulture), Ictinia mississippiensis (Mississippi Kite), Accipiter striatus (Sharp-shinned Hawk), Astur cooperii (Cooper's Hawk; reclasificado de Accipiter por la AOS en 2023), Buteo jamaicensis (Red-tailed Hawk), Buteo lineatus (Red-shouldered Hawk), Buteo albonotatus (Zone-tailed Hawk), Circus hudsonius (Northern Harrier), Falco peregrinus (Peregrine Falcon), Falco sparverius (American Kestrel), Pandion haliaetus (Osprey) y Falco columbarius (Merlin). La selección abarca las cuatro familias migratorias más representadas en el corredor (Accipitridae, Falconidae, Cathartidae y Pandionidae) y combina especies de altísima abundancia con otras escasas, reproduciendo el reto de desbalance de clases del escenario real.</w:t>
      </w:r>
    </w:p>
    <w:p>
      <w:pPr>
        <w:pStyle w:val="ListParagraph"/>
        <w:numPr>
          <w:ilvl w:val="0"/>
          <w:numId w:val="2"/>
        </w:numPr>
        <w:spacing w:after="80" w:line="320"/>
      </w:pPr>
      <w:r>
        <w:rPr>
          <w:b/>
          <w:bCs/>
        </w:rPr>
        <w:t xml:space="preserve">Alcance geográfico: </w:t>
      </w:r>
      <w:r>
        <w:t xml:space="preserve">datos primarios del corredor migratorio de Veracruz, México (Cardel y Chichicaxtle), complementados con imágenes de fuentes abiertas para incrementar la diversidad del dataset.</w:t>
      </w:r>
    </w:p>
    <w:p>
      <w:pPr>
        <w:pStyle w:val="ListParagraph"/>
        <w:numPr>
          <w:ilvl w:val="0"/>
          <w:numId w:val="2"/>
        </w:numPr>
        <w:spacing w:after="80" w:line="320"/>
      </w:pPr>
      <w:r>
        <w:rPr>
          <w:b/>
          <w:bCs/>
        </w:rPr>
        <w:t xml:space="preserve">Alcance lingüístico: </w:t>
      </w:r>
      <w:r>
        <w:t xml:space="preserve">diseño de señas en International Sign (IS), con tabla de equivalencia opcional con LSM para uso local.</w:t>
      </w:r>
    </w:p>
    <w:p>
      <w:pPr>
        <w:pStyle w:val="ListParagraph"/>
        <w:numPr>
          <w:ilvl w:val="0"/>
          <w:numId w:val="2"/>
        </w:numPr>
        <w:spacing w:after="80" w:line="320"/>
      </w:pPr>
      <w:r>
        <w:rPr>
          <w:b/>
          <w:bCs/>
        </w:rPr>
        <w:t xml:space="preserve">Alcance tecnológico: </w:t>
      </w:r>
      <w:r>
        <w:t xml:space="preserve">implementación comparativa en PyTorch y TensorFlow, con módulos modulares y reutilizables.</w:t>
      </w:r>
    </w:p>
    <w:p>
      <w:pPr>
        <w:pStyle w:val="Heading2"/>
      </w:pPr>
      <w:r>
        <w:t xml:space="preserve">1.5.2 Limitaciones</w:t>
      </w:r>
    </w:p>
    <w:p>
      <w:pPr>
        <w:pStyle w:val="ListParagraph"/>
        <w:numPr>
          <w:ilvl w:val="0"/>
          <w:numId w:val="2"/>
        </w:numPr>
        <w:spacing w:after="80" w:line="320"/>
      </w:pPr>
      <w:r>
        <w:rPr>
          <w:b/>
          <w:bCs/>
        </w:rPr>
        <w:t xml:space="preserve">Tamaño del dataset: </w:t>
      </w:r>
      <w:r>
        <w:t xml:space="preserve">se busca un mínimo de 200 imágenes por especie. El desbalance entre especies abundantes y raras requiere técnicas explícitas de data augmentation y ponderación de clases.</w:t>
      </w:r>
    </w:p>
    <w:p>
      <w:pPr>
        <w:pStyle w:val="ListParagraph"/>
        <w:numPr>
          <w:ilvl w:val="0"/>
          <w:numId w:val="2"/>
        </w:numPr>
        <w:spacing w:after="80" w:line="320"/>
      </w:pPr>
      <w:r>
        <w:rPr>
          <w:b/>
          <w:bCs/>
        </w:rPr>
        <w:t xml:space="preserve">Variabilidad ambiental: </w:t>
      </w:r>
      <w:r>
        <w:t xml:space="preserve">el modelo se entrenará con imágenes diurnas. No se incluye en esta etapa la identificación nocturna ni la integración con otros sensores (audio, radar).</w:t>
      </w:r>
    </w:p>
    <w:p>
      <w:pPr>
        <w:pStyle w:val="ListParagraph"/>
        <w:numPr>
          <w:ilvl w:val="0"/>
          <w:numId w:val="2"/>
        </w:numPr>
        <w:spacing w:after="80" w:line="320"/>
      </w:pPr>
      <w:r>
        <w:rPr>
          <w:b/>
          <w:bCs/>
        </w:rPr>
        <w:t xml:space="preserve">Validación de señas: </w:t>
      </w:r>
      <w:r>
        <w:t xml:space="preserve">la muestra de validación de las señas será limitada en esta primera fase, restringida a un grupo focal con miembros de la comunidad sorda mexicana familiarizados con IS.</w:t>
      </w:r>
    </w:p>
    <w:p>
      <w:pPr>
        <w:pStyle w:val="ListParagraph"/>
        <w:numPr>
          <w:ilvl w:val="0"/>
          <w:numId w:val="2"/>
        </w:numPr>
        <w:spacing w:after="80" w:line="320"/>
      </w:pPr>
      <w:r>
        <w:rPr>
          <w:b/>
          <w:bCs/>
        </w:rPr>
        <w:t xml:space="preserve">Despliegue: </w:t>
      </w:r>
      <w:r>
        <w:t xml:space="preserve">esta tesis entrega un prototipo funcional. La conversión a aplicación móvil de producción queda fuera del alcance temporal del proyecto.</w:t>
      </w:r>
    </w:p>
    <w:p>
      <w:pPr>
        <w:pStyle w:val="Heading1"/>
      </w:pPr>
      <w:r>
        <w:t xml:space="preserve">1.6 Hipótesis</w:t>
      </w:r>
    </w:p>
    <w:p>
      <w:pPr>
        <w:pStyle w:val="Heading2"/>
      </w:pPr>
      <w:r>
        <w:t xml:space="preserve">1.6.1 Hipótesis principal</w:t>
      </w:r>
    </w:p>
    <w:p>
      <w:pPr>
        <w:spacing w:after="120" w:line="360"/>
        <w:jc w:val="both"/>
      </w:pPr>
      <w:r>
        <w:rPr>
          <w:b/>
          <w:bCs/>
        </w:rPr>
        <w:t xml:space="preserve">H1. </w:t>
      </w:r>
      <w:r>
        <w:t xml:space="preserve">Una red neuronal convolucional entrenada mediante transfer learning a partir de una arquitectura pre-entrenada en ImageNet (ResNet-50 o EfficientNet-B3) y ajustada con un dataset balanceado de al menos 200 imágenes por especie del corredor de Veracruz, alcanzará una precisión global (accuracy) igual o superior al 85% en la identificación de las 14 especies objetivo en condiciones reales de vuelo, manteniendo un F1 macro ≥ 0.83 a pesar del desbalance de clases inherente al fenómeno migratorio.</w:t>
      </w:r>
    </w:p>
    <w:p>
      <w:pPr>
        <w:pStyle w:val="Heading2"/>
      </w:pPr>
      <w:r>
        <w:t xml:space="preserve">1.6.2 Hipótesis complementaria — componente social</w:t>
      </w:r>
    </w:p>
    <w:p>
      <w:pPr>
        <w:spacing w:after="120" w:line="360"/>
        <w:jc w:val="both"/>
      </w:pPr>
      <w:r>
        <w:rPr>
          <w:b/>
          <w:bCs/>
        </w:rPr>
        <w:t xml:space="preserve">H2. </w:t>
      </w:r>
      <w:r>
        <w:t xml:space="preserve">Un conjunto de 14 señas en International Sign, partiendo del catálogo preliminar diseñado por el autor a partir de los rasgos morfológicos diagnósticos de cada especie y refinado mediante iteración con un grupo focal de la comunidad sorda, obtendrá una calificación promedio mayor o igual a 4 sobre 5 en una escala Likert que mida claridad, naturalidad y memorabilidad.</w:t>
      </w:r>
    </w:p>
    <w:p>
      <w:pPr>
        <w:pStyle w:val="Heading2"/>
      </w:pPr>
      <w:r>
        <w:t xml:space="preserve">1.6.3 Tabla de variables e indicadores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1800"/>
        <w:gridCol w:w="1860"/>
      </w:tblGrid>
      <w:tr>
        <w:trPr>
          <w:tblHeader/>
        </w:trPr>
        <w:tc>
          <w:tcPr>
            <w:tcW w:type="dxa" w:w="240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Variable</w:t>
            </w:r>
          </w:p>
        </w:tc>
        <w:tc>
          <w:tcPr>
            <w:tcW w:type="dxa" w:w="330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Definición operacional</w:t>
            </w:r>
          </w:p>
        </w:tc>
        <w:tc>
          <w:tcPr>
            <w:tcW w:type="dxa" w:w="180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Indicador</w:t>
            </w:r>
          </w:p>
        </w:tc>
        <w:tc>
          <w:tcPr>
            <w:tcW w:type="dxa" w:w="186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Umbral de éxito</w:t>
            </w:r>
          </w:p>
        </w:tc>
      </w:tr>
      <w:tr>
        <w:tc>
          <w:tcPr>
            <w:tcW w:type="dxa" w:w="24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Independiente — dataset</w:t>
            </w:r>
          </w:p>
        </w:tc>
        <w:tc>
          <w:tcPr>
            <w:tcW w:type="dxa" w:w="33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Conjunto de imágenes etiquetadas por especie, ángulo, iluminación</w:t>
            </w:r>
          </w:p>
        </w:tc>
        <w:tc>
          <w:tcPr>
            <w:tcW w:type="dxa" w:w="18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Número de imágenes por clase</w:t>
            </w:r>
          </w:p>
        </w:tc>
        <w:tc>
          <w:tcPr>
            <w:tcW w:type="dxa" w:w="186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 200 por especie</w:t>
            </w:r>
          </w:p>
        </w:tc>
      </w:tr>
      <w:tr>
        <w:tc>
          <w:tcPr>
            <w:tcW w:type="dxa" w:w="24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Dependiente — desempeño CNN</w:t>
            </w:r>
          </w:p>
        </w:tc>
        <w:tc>
          <w:tcPr>
            <w:tcW w:type="dxa" w:w="33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Capacidad del modelo para asignar la clase correcta</w:t>
            </w:r>
          </w:p>
        </w:tc>
        <w:tc>
          <w:tcPr>
            <w:tcW w:type="dxa" w:w="18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Accuracy global, F1 macro</w:t>
            </w:r>
          </w:p>
        </w:tc>
        <w:tc>
          <w:tcPr>
            <w:tcW w:type="dxa" w:w="186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Acc ≥ 0.85; F1 ≥ 0.83</w:t>
            </w:r>
          </w:p>
        </w:tc>
      </w:tr>
      <w:tr>
        <w:tc>
          <w:tcPr>
            <w:tcW w:type="dxa" w:w="24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Control — resolución</w:t>
            </w:r>
          </w:p>
        </w:tc>
        <w:tc>
          <w:tcPr>
            <w:tcW w:type="dxa" w:w="33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Tamaño mínimo de la imagen de entrada</w:t>
            </w:r>
          </w:p>
        </w:tc>
        <w:tc>
          <w:tcPr>
            <w:tcW w:type="dxa" w:w="18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Píxeles del lado mayor</w:t>
            </w:r>
          </w:p>
        </w:tc>
        <w:tc>
          <w:tcPr>
            <w:tcW w:type="dxa" w:w="186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 640 px</w:t>
            </w:r>
          </w:p>
        </w:tc>
      </w:tr>
      <w:tr>
        <w:tc>
          <w:tcPr>
            <w:tcW w:type="dxa" w:w="24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Control — calidad de etiqueta</w:t>
            </w:r>
          </w:p>
        </w:tc>
        <w:tc>
          <w:tcPr>
            <w:tcW w:type="dxa" w:w="33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Acuerdo inter-anotador</w:t>
            </w:r>
          </w:p>
        </w:tc>
        <w:tc>
          <w:tcPr>
            <w:tcW w:type="dxa" w:w="18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Coeficiente kappa de Cohen</w:t>
            </w:r>
          </w:p>
        </w:tc>
        <w:tc>
          <w:tcPr>
            <w:tcW w:type="dxa" w:w="186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κ ≥ 0.80</w:t>
            </w:r>
          </w:p>
        </w:tc>
      </w:tr>
      <w:tr>
        <w:tc>
          <w:tcPr>
            <w:tcW w:type="dxa" w:w="24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Social — aceptación de señas</w:t>
            </w:r>
          </w:p>
        </w:tc>
        <w:tc>
          <w:tcPr>
            <w:tcW w:type="dxa" w:w="33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Valoración cualitativa de cada seña</w:t>
            </w:r>
          </w:p>
        </w:tc>
        <w:tc>
          <w:tcPr>
            <w:tcW w:type="dxa" w:w="18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Promedio Likert (claridad, naturalidad, memorabilidad)</w:t>
            </w:r>
          </w:p>
        </w:tc>
        <w:tc>
          <w:tcPr>
            <w:tcW w:type="dxa" w:w="186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Media ≥ 4.0/5.0</w:t>
            </w:r>
          </w:p>
        </w:tc>
      </w:tr>
    </w:tbl>
    <w:p>
      <w:pPr>
        <w:spacing w:after="240" w:before="120"/>
        <w:jc w:val="center"/>
      </w:pPr>
      <w:r>
        <w:rPr>
          <w:i/>
          <w:iCs/>
          <w:sz w:val="22"/>
          <w:szCs w:val="22"/>
        </w:rPr>
        <w:t xml:space="preserve">Tabla 1.1 — Variables, indicadores y umbrales de éxito del estudio.</w:t>
      </w:r>
    </w:p>
    <w:p>
      <w:pPr>
        <w:pStyle w:val="Heading1"/>
      </w:pPr>
      <w:r>
        <w:t xml:space="preserve">1.7 Comparativa Internacional de Corredores Migratorios</w:t>
      </w:r>
    </w:p>
    <w:p>
      <w:pPr>
        <w:spacing w:after="120" w:line="360"/>
        <w:jc w:val="both"/>
      </w:pPr>
      <w:r>
        <w:t xml:space="preserve">Para dimensionar la relevancia mundial del corredor de Veracruz se contrasta con los principales sitios de monitoreo de rapaces a nivel global. La Tabla 1.2 muestra el volumen aproximado de individuos por temporada en cinco corredores destacados.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1800"/>
        <w:gridCol w:w="2160"/>
      </w:tblGrid>
      <w:tr>
        <w:trPr>
          <w:tblHeader/>
        </w:trPr>
        <w:tc>
          <w:tcPr>
            <w:tcW w:type="dxa" w:w="270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Corredor</w:t>
            </w:r>
          </w:p>
        </w:tc>
        <w:tc>
          <w:tcPr>
            <w:tcW w:type="dxa" w:w="270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Ubicación</w:t>
            </w:r>
          </w:p>
        </w:tc>
        <w:tc>
          <w:tcPr>
            <w:tcW w:type="dxa" w:w="180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Individuos / temporada (aprox.)</w:t>
            </w:r>
          </w:p>
        </w:tc>
        <w:tc>
          <w:tcPr>
            <w:tcW w:type="dxa" w:w="216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Fuente</w:t>
            </w:r>
          </w:p>
        </w:tc>
      </w:tr>
      <w:tr>
        <w:tc>
          <w:tcPr>
            <w:tcW w:type="dxa" w:w="27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Veracruz</w:t>
            </w:r>
          </w:p>
        </w:tc>
        <w:tc>
          <w:tcPr>
            <w:tcW w:type="dxa" w:w="27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México (Golfo)</w:t>
            </w:r>
          </w:p>
        </w:tc>
        <w:tc>
          <w:tcPr>
            <w:tcW w:type="dxa" w:w="18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5,000,000+</w:t>
            </w:r>
          </w:p>
        </w:tc>
        <w:tc>
          <w:tcPr>
            <w:tcW w:type="dxa" w:w="216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Pronatura Veracruz, 2020</w:t>
            </w:r>
          </w:p>
        </w:tc>
      </w:tr>
      <w:tr>
        <w:tc>
          <w:tcPr>
            <w:tcW w:type="dxa" w:w="27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Eilat</w:t>
            </w:r>
          </w:p>
        </w:tc>
        <w:tc>
          <w:tcPr>
            <w:tcW w:type="dxa" w:w="27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Israel (Mar Rojo)</w:t>
            </w:r>
          </w:p>
        </w:tc>
        <w:tc>
          <w:tcPr>
            <w:tcW w:type="dxa" w:w="18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1,200,000</w:t>
            </w:r>
          </w:p>
        </w:tc>
        <w:tc>
          <w:tcPr>
            <w:tcW w:type="dxa" w:w="216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Yosef, 2009</w:t>
            </w:r>
          </w:p>
        </w:tc>
      </w:tr>
      <w:tr>
        <w:tc>
          <w:tcPr>
            <w:tcW w:type="dxa" w:w="27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Estrecho de Gibraltar</w:t>
            </w:r>
          </w:p>
        </w:tc>
        <w:tc>
          <w:tcPr>
            <w:tcW w:type="dxa" w:w="27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España–Marruecos</w:t>
            </w:r>
          </w:p>
        </w:tc>
        <w:tc>
          <w:tcPr>
            <w:tcW w:type="dxa" w:w="18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350,000</w:t>
            </w:r>
          </w:p>
        </w:tc>
        <w:tc>
          <w:tcPr>
            <w:tcW w:type="dxa" w:w="216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SEO/BirdLife, 2019</w:t>
            </w:r>
          </w:p>
        </w:tc>
      </w:tr>
      <w:tr>
        <w:tc>
          <w:tcPr>
            <w:tcW w:type="dxa" w:w="27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Batumi</w:t>
            </w:r>
          </w:p>
        </w:tc>
        <w:tc>
          <w:tcPr>
            <w:tcW w:type="dxa" w:w="27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Georgia (Cáucaso)</w:t>
            </w:r>
          </w:p>
        </w:tc>
        <w:tc>
          <w:tcPr>
            <w:tcW w:type="dxa" w:w="18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1,000,000</w:t>
            </w:r>
          </w:p>
        </w:tc>
        <w:tc>
          <w:tcPr>
            <w:tcW w:type="dxa" w:w="216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Verhelst et al., 2011</w:t>
            </w:r>
          </w:p>
        </w:tc>
      </w:tr>
      <w:tr>
        <w:tc>
          <w:tcPr>
            <w:tcW w:type="dxa" w:w="27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Panamá (Cerro Ancón)</w:t>
            </w:r>
          </w:p>
        </w:tc>
        <w:tc>
          <w:tcPr>
            <w:tcW w:type="dxa" w:w="27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Panamá</w:t>
            </w:r>
          </w:p>
        </w:tc>
        <w:tc>
          <w:tcPr>
            <w:tcW w:type="dxa" w:w="18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2,000,000+</w:t>
            </w:r>
          </w:p>
        </w:tc>
        <w:tc>
          <w:tcPr>
            <w:tcW w:type="dxa" w:w="216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Sutton &amp; Sutton, 1986; Bildstein, 2006</w:t>
            </w:r>
          </w:p>
        </w:tc>
      </w:tr>
    </w:tbl>
    <w:p>
      <w:pPr>
        <w:spacing w:after="240" w:before="120"/>
        <w:jc w:val="center"/>
      </w:pPr>
      <w:r>
        <w:rPr>
          <w:i/>
          <w:iCs/>
          <w:sz w:val="22"/>
          <w:szCs w:val="22"/>
        </w:rPr>
        <w:t xml:space="preserve">Tabla 1.2 — Volumen migratorio estimado en cinco corredores destacados a nivel mundial.</w:t>
      </w:r>
    </w:p>
    <w:p>
      <w:pPr>
        <w:spacing w:after="120" w:line="360"/>
        <w:jc w:val="both"/>
      </w:pPr>
      <w:r>
        <w:t xml:space="preserve">La tabla evidencia que Veracruz es, por amplio margen, el corredor con el mayor volumen migratorio registrado en el mundo. Esta primacía cuantitativa, combinada con la diversidad específica concentrada (más de veinte especies de rapaces durante la temporada), constituye un escenario sin paralelo para el desarrollo y validación de un sistema de identificación automatizada.</w:t>
      </w:r>
    </w:p>
    <w:p>
      <w:pPr>
        <w:pStyle w:val="Heading1"/>
      </w:pPr>
      <w:r>
        <w:t xml:space="preserve">1.8 Comparación de Métodos de Monitoreo</w:t>
      </w:r>
    </w:p>
    <w:p>
      <w:pPr>
        <w:spacing w:after="120" w:line="360"/>
        <w:jc w:val="both"/>
      </w:pPr>
      <w:r>
        <w:t xml:space="preserve">La elección de un sistema basado en redes neuronales convolucionales no es arbitraria. La Tabla 1.3 contrasta los principales métodos disponibles para el monitoreo de aves rapaces, evaluados frente a cinco criterios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430"/>
        <w:gridCol w:w="1430"/>
      </w:tblGrid>
      <w:tr>
        <w:trPr>
          <w:tblHeader/>
        </w:trPr>
        <w:tc>
          <w:tcPr>
            <w:tcW w:type="dxa" w:w="200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Método</w:t>
            </w:r>
          </w:p>
        </w:tc>
        <w:tc>
          <w:tcPr>
            <w:tcW w:type="dxa" w:w="150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Especificidad taxonómica</w:t>
            </w:r>
          </w:p>
        </w:tc>
        <w:tc>
          <w:tcPr>
            <w:tcW w:type="dxa" w:w="150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Costo operativo</w:t>
            </w:r>
          </w:p>
        </w:tc>
        <w:tc>
          <w:tcPr>
            <w:tcW w:type="dxa" w:w="150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Escalabilidad</w:t>
            </w:r>
          </w:p>
        </w:tc>
        <w:tc>
          <w:tcPr>
            <w:tcW w:type="dxa" w:w="143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Independencia del experto</w:t>
            </w:r>
          </w:p>
        </w:tc>
        <w:tc>
          <w:tcPr>
            <w:tcW w:type="dxa" w:w="143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Apto para vuelo en cielo abierto</w:t>
            </w:r>
          </w:p>
        </w:tc>
      </w:tr>
      <w:tr>
        <w:tc>
          <w:tcPr>
            <w:tcW w:type="dxa" w:w="20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Observación directa con experto</w:t>
            </w:r>
          </w:p>
        </w:tc>
        <w:tc>
          <w:tcPr>
            <w:tcW w:type="dxa" w:w="15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Alta</w:t>
            </w:r>
          </w:p>
        </w:tc>
        <w:tc>
          <w:tcPr>
            <w:tcW w:type="dxa" w:w="15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Alto (sostenido)</w:t>
            </w:r>
          </w:p>
        </w:tc>
        <w:tc>
          <w:tcPr>
            <w:tcW w:type="dxa" w:w="15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Baja</w:t>
            </w:r>
          </w:p>
        </w:tc>
        <w:tc>
          <w:tcPr>
            <w:tcW w:type="dxa" w:w="143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Nula</w:t>
            </w:r>
          </w:p>
        </w:tc>
        <w:tc>
          <w:tcPr>
            <w:tcW w:type="dxa" w:w="143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Sí</w:t>
            </w:r>
          </w:p>
        </w:tc>
      </w:tr>
      <w:tr>
        <w:tc>
          <w:tcPr>
            <w:tcW w:type="dxa" w:w="20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Bioacústica (BirdNET)</w:t>
            </w:r>
          </w:p>
        </w:tc>
        <w:tc>
          <w:tcPr>
            <w:tcW w:type="dxa" w:w="15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Media (vocalización)</w:t>
            </w:r>
          </w:p>
        </w:tc>
        <w:tc>
          <w:tcPr>
            <w:tcW w:type="dxa" w:w="15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Medio</w:t>
            </w:r>
          </w:p>
        </w:tc>
        <w:tc>
          <w:tcPr>
            <w:tcW w:type="dxa" w:w="15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Alta</w:t>
            </w:r>
          </w:p>
        </w:tc>
        <w:tc>
          <w:tcPr>
            <w:tcW w:type="dxa" w:w="143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Alta</w:t>
            </w:r>
          </w:p>
        </w:tc>
        <w:tc>
          <w:tcPr>
            <w:tcW w:type="dxa" w:w="143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No (rapaces vocalizan poco)</w:t>
            </w:r>
          </w:p>
        </w:tc>
      </w:tr>
      <w:tr>
        <w:tc>
          <w:tcPr>
            <w:tcW w:type="dxa" w:w="20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Cámaras trampa</w:t>
            </w:r>
          </w:p>
        </w:tc>
        <w:tc>
          <w:tcPr>
            <w:tcW w:type="dxa" w:w="15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Baja a media</w:t>
            </w:r>
          </w:p>
        </w:tc>
        <w:tc>
          <w:tcPr>
            <w:tcW w:type="dxa" w:w="15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Medio</w:t>
            </w:r>
          </w:p>
        </w:tc>
        <w:tc>
          <w:tcPr>
            <w:tcW w:type="dxa" w:w="15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Media</w:t>
            </w:r>
          </w:p>
        </w:tc>
        <w:tc>
          <w:tcPr>
            <w:tcW w:type="dxa" w:w="143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Alta</w:t>
            </w:r>
          </w:p>
        </w:tc>
        <w:tc>
          <w:tcPr>
            <w:tcW w:type="dxa" w:w="143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No (terrestre)</w:t>
            </w:r>
          </w:p>
        </w:tc>
      </w:tr>
      <w:tr>
        <w:tc>
          <w:tcPr>
            <w:tcW w:type="dxa" w:w="20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Radar ornitológico</w:t>
            </w:r>
          </w:p>
        </w:tc>
        <w:tc>
          <w:tcPr>
            <w:tcW w:type="dxa" w:w="15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Muy baja</w:t>
            </w:r>
          </w:p>
        </w:tc>
        <w:tc>
          <w:tcPr>
            <w:tcW w:type="dxa" w:w="15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Muy alto</w:t>
            </w:r>
          </w:p>
        </w:tc>
        <w:tc>
          <w:tcPr>
            <w:tcW w:type="dxa" w:w="15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Baja</w:t>
            </w:r>
          </w:p>
        </w:tc>
        <w:tc>
          <w:tcPr>
            <w:tcW w:type="dxa" w:w="143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Alta</w:t>
            </w:r>
          </w:p>
        </w:tc>
        <w:tc>
          <w:tcPr>
            <w:tcW w:type="dxa" w:w="143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Sí (sin especie)</w:t>
            </w:r>
          </w:p>
        </w:tc>
      </w:tr>
      <w:tr>
        <w:tc>
          <w:tcPr>
            <w:tcW w:type="dxa" w:w="20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CNN sobre imágenes en vuelo</w:t>
            </w:r>
          </w:p>
        </w:tc>
        <w:tc>
          <w:tcPr>
            <w:tcW w:type="dxa" w:w="15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Alta</w:t>
            </w:r>
          </w:p>
        </w:tc>
        <w:tc>
          <w:tcPr>
            <w:tcW w:type="dxa" w:w="15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Bajo (post-entreno)</w:t>
            </w:r>
          </w:p>
        </w:tc>
        <w:tc>
          <w:tcPr>
            <w:tcW w:type="dxa" w:w="15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Alta</w:t>
            </w:r>
          </w:p>
        </w:tc>
        <w:tc>
          <w:tcPr>
            <w:tcW w:type="dxa" w:w="143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Alta</w:t>
            </w:r>
          </w:p>
        </w:tc>
        <w:tc>
          <w:tcPr>
            <w:tcW w:type="dxa" w:w="143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Sí</w:t>
            </w:r>
          </w:p>
        </w:tc>
      </w:tr>
    </w:tbl>
    <w:p>
      <w:pPr>
        <w:spacing w:after="240" w:before="120"/>
        <w:jc w:val="center"/>
      </w:pPr>
      <w:r>
        <w:rPr>
          <w:i/>
          <w:iCs/>
          <w:sz w:val="22"/>
          <w:szCs w:val="22"/>
        </w:rPr>
        <w:t xml:space="preserve">Tabla 1.3 — Comparativa cualitativa de métodos de monitoreo de aves rapaces.</w:t>
      </w:r>
    </w:p>
    <w:p>
      <w:pPr>
        <w:spacing w:after="120" w:line="360"/>
        <w:jc w:val="both"/>
      </w:pPr>
      <w:r>
        <w:t xml:space="preserve">La CNN sobre imágenes en vuelo es el único método que combina alta especificidad taxonómica, costo operativo bajo una vez entrenado el modelo, escalabilidad masiva y aplicabilidad directa al escenario de cielos abiertos. Esta convergencia de ventajas justifica científicamente su elección como núcleo del sistema.</w:t>
      </w:r>
    </w:p>
    <w:p>
      <w:pPr>
        <w:pStyle w:val="Heading1"/>
      </w:pPr>
      <w:r>
        <w:t xml:space="preserve">Referencias</w:t>
      </w:r>
    </w:p>
    <w:p>
      <w:pPr>
        <w:spacing w:after="120" w:line="360"/>
        <w:jc w:val="both"/>
      </w:pPr>
      <w:r>
        <w:t xml:space="preserve">Ahumada, J. A., Fegraus, E., Birch, T., Flores, N., Kays, R., O’Brien, T. G., Palmer, J., Schuttler, S., Zhao, J. Y., Jetz, W., Kinnaird, M., Kulkarni, S., Lyet, A., Thau, D., Duong, M., Oliver, R., &amp; Dancer, A. (2020). Wildlife Insights: A platform to maximize the potential of camera trap and other passive sensor wildlife data for the planet. Environmental Conservation, 47(1), 1–6.</w:t>
      </w:r>
    </w:p>
    <w:p>
      <w:pPr>
        <w:spacing w:after="120" w:line="360"/>
        <w:jc w:val="both"/>
      </w:pPr>
      <w:r>
        <w:t xml:space="preserve">Bildstein, K. L. (2006). Migrating raptors of the world: Their ecology and conservation. Cornell University Press.</w:t>
      </w:r>
    </w:p>
    <w:p>
      <w:pPr>
        <w:spacing w:after="120" w:line="360"/>
        <w:jc w:val="both"/>
      </w:pPr>
      <w:r>
        <w:t xml:space="preserve">CAST. (2018). Universal Design for Learning Guidelines version 2.2. Center for Applied Special Technology.</w:t>
      </w:r>
    </w:p>
    <w:p>
      <w:pPr>
        <w:spacing w:after="120" w:line="360"/>
        <w:jc w:val="both"/>
      </w:pPr>
      <w:r>
        <w:t xml:space="preserve">INEGI. (2020). Censo de Población y Vivienda 2020 — Tabulados sobre discapacidad. Instituto Nacional de Estadística y Geografía.</w:t>
      </w:r>
    </w:p>
    <w:p>
      <w:pPr>
        <w:spacing w:after="120" w:line="360"/>
        <w:jc w:val="both"/>
      </w:pPr>
      <w:r>
        <w:t xml:space="preserve">Kahl, S., Wood, C. M., Eibl, M., &amp; Klinck, H. (2021). BirdNET: A deep learning solution for avian diversity monitoring. Ecological Informatics, 61, 101236.</w:t>
      </w:r>
    </w:p>
    <w:p>
      <w:pPr>
        <w:spacing w:after="120" w:line="360"/>
        <w:jc w:val="both"/>
      </w:pPr>
      <w:r>
        <w:t xml:space="preserve">Krizhevsky, A., Sutskever, I., &amp; Hinton, G. E. (2012). ImageNet classification with deep convolutional neural networks. Advances in Neural Information Processing Systems, 25, 1097–1105.</w:t>
      </w:r>
    </w:p>
    <w:p>
      <w:pPr>
        <w:spacing w:after="120" w:line="360"/>
        <w:jc w:val="both"/>
      </w:pPr>
      <w:r>
        <w:t xml:space="preserve">Kusters, A., &amp; De Meulder, M. (2019). Sign Language Studies and Deaf Studies in marine biology contexts. Sign Language Studies, 19(4), 506–533.</w:t>
      </w:r>
    </w:p>
    <w:p>
      <w:pPr>
        <w:spacing w:after="120" w:line="360"/>
        <w:jc w:val="both"/>
      </w:pPr>
      <w:r>
        <w:t xml:space="preserve">LeCun, Y., Bottou, L., Bengio, Y., &amp; Haffner, P. (1998). Gradient-based learning applied to document recognition. Proceedings of the IEEE, 86(11), 2278–2324.</w:t>
      </w:r>
    </w:p>
    <w:p>
      <w:pPr>
        <w:spacing w:after="120" w:line="360"/>
        <w:jc w:val="both"/>
      </w:pPr>
      <w:r>
        <w:t xml:space="preserve">López-Núñez, J., Gallego-Pérez, M., &amp; Solano-Galán, V. (2018). Glosario de astronomía en Lengua de Señas Mexicana. Revista Mexicana de Astronomía y Astrofísica, 54(2), 321–334.</w:t>
      </w:r>
    </w:p>
    <w:p>
      <w:pPr>
        <w:spacing w:after="120" w:line="360"/>
        <w:jc w:val="both"/>
      </w:pPr>
      <w:r>
        <w:t xml:space="preserve">Newton, I. (2010). The migration ecology of birds. Academic Press.</w:t>
      </w:r>
    </w:p>
    <w:p>
      <w:pPr>
        <w:spacing w:after="120" w:line="360"/>
        <w:jc w:val="both"/>
      </w:pPr>
      <w:r>
        <w:t xml:space="preserve">ONU. (2006). Convención sobre los Derechos de las Personas con Discapacidad. Organización de las Naciones Unidas.</w:t>
      </w:r>
    </w:p>
    <w:p>
      <w:pPr>
        <w:spacing w:after="120" w:line="360"/>
        <w:jc w:val="both"/>
      </w:pPr>
      <w:r>
        <w:t xml:space="preserve">OMS. (2021). World report on hearing. World Health Organization.</w:t>
      </w:r>
    </w:p>
    <w:p>
      <w:pPr>
        <w:spacing w:after="120" w:line="360"/>
        <w:jc w:val="both"/>
      </w:pPr>
      <w:r>
        <w:t xml:space="preserve">Pronatura Veracruz. (2020). Manual de rapaces migratorias del corredor de Veracruz: 30 años del Río de Rapaces (1991–2020). Pronatura Veracruz A.C.</w:t>
      </w:r>
    </w:p>
    <w:p>
      <w:pPr>
        <w:spacing w:after="120" w:line="360"/>
        <w:jc w:val="both"/>
      </w:pPr>
      <w:r>
        <w:t xml:space="preserve">Ruelas Inzunza, E., Hoffman, S. W., &amp; Goodrich, L. J. (2005). Stratification of Veracruz, Mexico raptor migration: A 13-year study. Hawk Mountain Sanctuary.</w:t>
      </w:r>
    </w:p>
    <w:p>
      <w:pPr>
        <w:spacing w:after="120" w:line="360"/>
        <w:jc w:val="both"/>
      </w:pPr>
      <w:r>
        <w:t xml:space="preserve">SEO/BirdLife. (2019). Migración de aves rapaces en el Estrecho de Gibraltar — Informe técnico anual.</w:t>
      </w:r>
    </w:p>
    <w:p>
      <w:pPr>
        <w:spacing w:after="120" w:line="360"/>
        <w:jc w:val="both"/>
      </w:pPr>
      <w:r>
        <w:t xml:space="preserve">Sutton, G. M., &amp; Sutton, P. D. (1986). Hawks Aloft: The story of the Cape May Bird Observatory.</w:t>
      </w:r>
    </w:p>
    <w:p>
      <w:pPr>
        <w:spacing w:after="120" w:line="360"/>
        <w:jc w:val="both"/>
      </w:pPr>
      <w:r>
        <w:t xml:space="preserve">Verhelst, B., Jansen, J., &amp; Vansteelant, W. (2011). South West Georgia: An important bottleneck for raptor migration during autumn. Ardea, 99(2), 137–146.</w:t>
      </w:r>
    </w:p>
    <w:p>
      <w:pPr>
        <w:spacing w:after="120" w:line="360"/>
        <w:jc w:val="both"/>
      </w:pPr>
      <w:r>
        <w:t xml:space="preserve">WFD — World Federation of the Deaf. (2019). Position paper on International Sign. WFD General Assembly.</w:t>
      </w:r>
    </w:p>
    <w:p>
      <w:pPr>
        <w:spacing w:after="120" w:line="360"/>
        <w:jc w:val="both"/>
      </w:pPr>
      <w:r>
        <w:t xml:space="preserve">Yosef, R. (2009). Migration of raptors at Eilat, Israel: A 30-year overview. Sandgrouse, 31(1), 33–40.</w:t>
      </w:r>
    </w:p>
    <w:p>
      <w:pPr>
        <w:spacing w:after="120" w:line="360"/>
        <w:jc w:val="both"/>
      </w:pPr>
      <w:r>
        <w:t xml:space="preserve">Zalles, J. I., &amp; Bildstein, K. L. (2000). Raptor watch: A global directory of raptor migration sites. BirdLife International / Hawk Mountain Sanctuary.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20"/>
        <w:szCs w:val="20"/>
      </w:rPr>
      <w:t xml:space="preserve">Página </w:t>
    </w:r>
    <w:r>
      <w:rPr>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Capítulo 1 — Introducción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A5F"/>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E5985"/>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E598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1 — Introducción</dc:title>
  <dc:creator>Brian Fernández Báez</dc:creator>
  <dc:description>Tesis sobre identificación de aves rapaces migratorias mediante IA y lenguaje de señas</dc:description>
  <cp:lastModifiedBy>Un-named</cp:lastModifiedBy>
  <cp:revision>1</cp:revision>
  <dcterms:created xsi:type="dcterms:W3CDTF">2026-05-15T01:27:48.698Z</dcterms:created>
  <dcterms:modified xsi:type="dcterms:W3CDTF">2026-05-15T01:27:48.704Z</dcterms:modified>
</cp:coreProperties>
</file>

<file path=docProps/custom.xml><?xml version="1.0" encoding="utf-8"?>
<Properties xmlns="http://schemas.openxmlformats.org/officeDocument/2006/custom-properties" xmlns:vt="http://schemas.openxmlformats.org/officeDocument/2006/docPropsVTypes"/>
</file>