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b/>
          <w:bCs/>
          <w:color w:val="1F3A5F"/>
          <w:sz w:val="28"/>
          <w:szCs w:val="28"/>
        </w:rPr>
        <w:t xml:space="preserve">IDENTIFICACIÓN DE AVES RAPACES MIGRATORIAS MEDIANTE INTELIGENCIA ARTIFICIAL Y DISEÑO DE LENGUAJE DE SEÑAS PARA SU COMUNICACIÓN Y RECONOCIMIENTO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b/>
          <w:bCs/>
          <w:color w:val="2E5985"/>
          <w:sz w:val="40"/>
          <w:szCs w:val="40"/>
        </w:rPr>
        <w:t xml:space="preserve">CAPÍTULO 4</w:t>
      </w:r>
    </w:p>
    <w:p>
      <w:r>
        <w:t xml:space="preserve"/>
      </w:r>
    </w:p>
    <w:p>
      <w:pPr>
        <w:jc w:val="center"/>
      </w:pPr>
      <w:r>
        <w:rPr>
          <w:b/>
          <w:bCs/>
          <w:color w:val="2E5985"/>
          <w:sz w:val="36"/>
          <w:szCs w:val="36"/>
        </w:rPr>
        <w:t xml:space="preserve">RESULTADOS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sz w:val="26"/>
          <w:szCs w:val="26"/>
        </w:rPr>
        <w:t xml:space="preserve">Brian Fernández Báez</w:t>
      </w:r>
    </w:p>
    <w:p>
      <w:pPr>
        <w:jc w:val="center"/>
      </w:pPr>
      <w:r>
        <w:rPr>
          <w:i/>
          <w:iCs/>
          <w:sz w:val="24"/>
          <w:szCs w:val="24"/>
        </w:rPr>
        <w:t xml:space="preserve">Tesis de Maestría</w:t>
      </w:r>
    </w:p>
    <w:p>
      <w:r>
        <w:t xml:space="preserve"/>
      </w:r>
    </w:p>
    <w:p>
      <w:pPr>
        <w:jc w:val="center"/>
      </w:pPr>
      <w:r>
        <w:rPr>
          <w:sz w:val="24"/>
          <w:szCs w:val="24"/>
        </w:rPr>
        <w:t xml:space="preserve">Mayo de 2026</w:t>
      </w:r>
    </w:p>
    <w:p>
      <w:r>
        <w:br w:type="page"/>
      </w:r>
    </w:p>
    <w:p>
      <w:pPr>
        <w:pStyle w:val="Heading1"/>
      </w:pPr>
      <w:r>
        <w:t xml:space="preserve">4.1 Resultados de la Construcción del Dataset</w:t>
      </w:r>
    </w:p>
    <w:p>
      <w:pPr>
        <w:spacing w:after="120" w:line="360"/>
        <w:jc w:val="both"/>
      </w:pPr>
      <w:r>
        <w:t xml:space="preserve">En este capítulo se presentan los resultados obtenidos en cada fase del proyecto. Las tablas y figuras se llenarán con los datos reales conforme avancen los entrenamientos y la validación con la comunidad sorda.</w:t>
      </w:r>
    </w:p>
    <w:p>
      <w:pPr>
        <w:pStyle w:val="Heading2"/>
      </w:pPr>
      <w:r>
        <w:t xml:space="preserve">4.1.1 Composición final del dataset</w:t>
      </w:r>
    </w:p>
    <w:p>
      <w:pPr>
        <w:spacing w:after="120" w:line="360"/>
        <w:jc w:val="both"/>
      </w:pPr>
      <w:r>
        <w:rPr>
          <w:i/>
          <w:iCs/>
          <w:color w:val="888888"/>
        </w:rPr>
        <w:t xml:space="preserve">[Tabla 4.1 — Número final de imágenes por especie, división train/val/test, kappa de Cohen entre anotadores. A llenar al cierre de la fase de etiquetado.]</w:t>
      </w:r>
    </w:p>
    <w:p>
      <w:pPr>
        <w:pStyle w:val="Heading2"/>
      </w:pPr>
      <w:r>
        <w:t xml:space="preserve">4.1.2 Distribución por fuente</w:t>
      </w:r>
    </w:p>
    <w:p>
      <w:pPr>
        <w:spacing w:after="120" w:line="360"/>
        <w:jc w:val="both"/>
      </w:pPr>
      <w:r>
        <w:rPr>
          <w:i/>
          <w:iCs/>
          <w:color w:val="888888"/>
        </w:rPr>
        <w:t xml:space="preserve">[Figura 4.1 — Diagrama de barras mostrando la proporción de imágenes provenientes de Macaulay Library, iNaturalist, Pronatura Veracruz y recolección propia.]</w:t>
      </w:r>
    </w:p>
    <w:p>
      <w:pPr>
        <w:pStyle w:val="Heading2"/>
      </w:pPr>
      <w:r>
        <w:t xml:space="preserve">4.1.3 Análisis de calidad</w:t>
      </w:r>
    </w:p>
    <w:p>
      <w:pPr>
        <w:spacing w:after="120" w:line="360"/>
        <w:jc w:val="both"/>
      </w:pPr>
      <w:r>
        <w:rPr>
          <w:i/>
          <w:iCs/>
          <w:color w:val="888888"/>
        </w:rPr>
        <w:t xml:space="preserve">[Reporte del coeficiente kappa de Cohen global y por especie, número de imágenes descartadas y motivo principal de descarte.]</w:t>
      </w:r>
    </w:p>
    <w:p>
      <w:pPr>
        <w:pStyle w:val="Heading1"/>
      </w:pPr>
      <w:r>
        <w:t xml:space="preserve">4.2 Resultados de los Modelos CNN</w:t>
      </w:r>
    </w:p>
    <w:p>
      <w:pPr>
        <w:pStyle w:val="Heading2"/>
      </w:pPr>
      <w:r>
        <w:t xml:space="preserve">4.2.1 Comparativa entre arquitecturas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1500"/>
        <w:gridCol w:w="1500"/>
        <w:gridCol w:w="1430"/>
        <w:gridCol w:w="1230"/>
      </w:tblGrid>
      <w:tr>
        <w:trPr>
          <w:tblHeader/>
        </w:trPr>
        <w:tc>
          <w:tcPr>
            <w:tcW w:type="dxa" w:w="22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Arquitectura</w:t>
            </w:r>
          </w:p>
        </w:tc>
        <w:tc>
          <w:tcPr>
            <w:tcW w:type="dxa" w:w="15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Framework</w:t>
            </w:r>
          </w:p>
        </w:tc>
        <w:tc>
          <w:tcPr>
            <w:tcW w:type="dxa" w:w="15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Accuracy</w:t>
            </w:r>
          </w:p>
        </w:tc>
        <w:tc>
          <w:tcPr>
            <w:tcW w:type="dxa" w:w="15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F1 macro</w:t>
            </w:r>
          </w:p>
        </w:tc>
        <w:tc>
          <w:tcPr>
            <w:tcW w:type="dxa" w:w="143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Parámetros (M)</w:t>
            </w:r>
          </w:p>
        </w:tc>
        <w:tc>
          <w:tcPr>
            <w:tcW w:type="dxa" w:w="123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Inferencia (ms)</w:t>
            </w:r>
          </w:p>
        </w:tc>
      </w:tr>
      <w:tr>
        <w:tc>
          <w:tcPr>
            <w:tcW w:type="dxa" w:w="22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ResNet-50</w:t>
            </w:r>
          </w:p>
        </w:tc>
        <w:tc>
          <w:tcPr>
            <w:tcW w:type="dxa" w:w="15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PyTorch</w:t>
            </w:r>
          </w:p>
        </w:tc>
        <w:tc>
          <w:tcPr>
            <w:tcW w:type="dxa" w:w="15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43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25.6</w:t>
            </w:r>
          </w:p>
        </w:tc>
        <w:tc>
          <w:tcPr>
            <w:tcW w:type="dxa" w:w="123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ResNet-50</w:t>
            </w:r>
          </w:p>
        </w:tc>
        <w:tc>
          <w:tcPr>
            <w:tcW w:type="dxa" w:w="15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TensorFlow</w:t>
            </w:r>
          </w:p>
        </w:tc>
        <w:tc>
          <w:tcPr>
            <w:tcW w:type="dxa" w:w="15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43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25.6</w:t>
            </w:r>
          </w:p>
        </w:tc>
        <w:tc>
          <w:tcPr>
            <w:tcW w:type="dxa" w:w="123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EfficientNet-B3</w:t>
            </w:r>
          </w:p>
        </w:tc>
        <w:tc>
          <w:tcPr>
            <w:tcW w:type="dxa" w:w="15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PyTorch</w:t>
            </w:r>
          </w:p>
        </w:tc>
        <w:tc>
          <w:tcPr>
            <w:tcW w:type="dxa" w:w="15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43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12.0</w:t>
            </w:r>
          </w:p>
        </w:tc>
        <w:tc>
          <w:tcPr>
            <w:tcW w:type="dxa" w:w="123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EfficientNet-B3</w:t>
            </w:r>
          </w:p>
        </w:tc>
        <w:tc>
          <w:tcPr>
            <w:tcW w:type="dxa" w:w="15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TensorFlow</w:t>
            </w:r>
          </w:p>
        </w:tc>
        <w:tc>
          <w:tcPr>
            <w:tcW w:type="dxa" w:w="15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43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12.0</w:t>
            </w:r>
          </w:p>
        </w:tc>
        <w:tc>
          <w:tcPr>
            <w:tcW w:type="dxa" w:w="123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MobileNetV3-Large</w:t>
            </w:r>
          </w:p>
        </w:tc>
        <w:tc>
          <w:tcPr>
            <w:tcW w:type="dxa" w:w="15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PyTorch</w:t>
            </w:r>
          </w:p>
        </w:tc>
        <w:tc>
          <w:tcPr>
            <w:tcW w:type="dxa" w:w="15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43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5.5</w:t>
            </w:r>
          </w:p>
        </w:tc>
        <w:tc>
          <w:tcPr>
            <w:tcW w:type="dxa" w:w="123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MobileNetV3-Large</w:t>
            </w:r>
          </w:p>
        </w:tc>
        <w:tc>
          <w:tcPr>
            <w:tcW w:type="dxa" w:w="15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TensorFlow</w:t>
            </w:r>
          </w:p>
        </w:tc>
        <w:tc>
          <w:tcPr>
            <w:tcW w:type="dxa" w:w="15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43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5.5</w:t>
            </w:r>
          </w:p>
        </w:tc>
        <w:tc>
          <w:tcPr>
            <w:tcW w:type="dxa" w:w="123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ConvNeXt-Tiny</w:t>
            </w:r>
          </w:p>
        </w:tc>
        <w:tc>
          <w:tcPr>
            <w:tcW w:type="dxa" w:w="15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PyTorch</w:t>
            </w:r>
          </w:p>
        </w:tc>
        <w:tc>
          <w:tcPr>
            <w:tcW w:type="dxa" w:w="15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43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28.6</w:t>
            </w:r>
          </w:p>
        </w:tc>
        <w:tc>
          <w:tcPr>
            <w:tcW w:type="dxa" w:w="123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ConvNeXt-Tiny</w:t>
            </w:r>
          </w:p>
        </w:tc>
        <w:tc>
          <w:tcPr>
            <w:tcW w:type="dxa" w:w="15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TensorFlow</w:t>
            </w:r>
          </w:p>
        </w:tc>
        <w:tc>
          <w:tcPr>
            <w:tcW w:type="dxa" w:w="15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43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28.6</w:t>
            </w:r>
          </w:p>
        </w:tc>
        <w:tc>
          <w:tcPr>
            <w:tcW w:type="dxa" w:w="123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240" w:before="120"/>
        <w:jc w:val="center"/>
      </w:pPr>
      <w:r>
        <w:rPr>
          <w:i/>
          <w:iCs/>
          <w:sz w:val="22"/>
          <w:szCs w:val="22"/>
        </w:rPr>
        <w:t xml:space="preserve">Tabla 4.2 — Comparativa de las 4 arquitecturas en los 2 frameworks (a llenar).</w:t>
      </w:r>
    </w:p>
    <w:p>
      <w:pPr>
        <w:pStyle w:val="Heading2"/>
      </w:pPr>
      <w:r>
        <w:t xml:space="preserve">4.2.2 Modelo ganador y métricas detalladas</w:t>
      </w:r>
    </w:p>
    <w:p>
      <w:pPr>
        <w:spacing w:after="120" w:line="360"/>
        <w:jc w:val="both"/>
      </w:pPr>
      <w:r>
        <w:rPr>
          <w:i/>
          <w:iCs/>
          <w:color w:val="888888"/>
        </w:rPr>
        <w:t xml:space="preserve">[Tabla 4.3 — Precision, recall y F1 por especie del modelo ganador. Incluir intervalos de confianza al 95 % obtenidos por validación cruzada.]</w:t>
      </w:r>
    </w:p>
    <w:p>
      <w:pPr>
        <w:pStyle w:val="Heading2"/>
      </w:pPr>
      <w:r>
        <w:t xml:space="preserve">4.2.3 Matriz de confusión</w:t>
      </w:r>
    </w:p>
    <w:p>
      <w:pPr>
        <w:spacing w:after="120" w:line="360"/>
        <w:jc w:val="both"/>
      </w:pPr>
      <w:r>
        <w:rPr>
          <w:i/>
          <w:iCs/>
          <w:color w:val="888888"/>
        </w:rPr>
        <w:t xml:space="preserve">[Figura 4.2 — Matriz de confusión 14×14 normalizada por filas. Identificar los pares de especies confundidas con mayor frecuencia (esperado: SS↔CH por similitud de Accipiter, TV↔ZT por mimetismo, AK↔ML por tamaño y forma de halcón pequeño).]</w:t>
      </w:r>
    </w:p>
    <w:p>
      <w:pPr>
        <w:pStyle w:val="Heading2"/>
      </w:pPr>
      <w:r>
        <w:t xml:space="preserve">4.2.4 Curvas ROC</w:t>
      </w:r>
    </w:p>
    <w:p>
      <w:pPr>
        <w:spacing w:after="120" w:line="360"/>
        <w:jc w:val="both"/>
      </w:pPr>
      <w:r>
        <w:rPr>
          <w:i/>
          <w:iCs/>
          <w:color w:val="888888"/>
        </w:rPr>
        <w:t xml:space="preserve">[Figura 4.3 — Curvas ROC one-vs-rest por especie, con sus respectivos AUC. Reporte del macro-AUC.]</w:t>
      </w:r>
    </w:p>
    <w:p>
      <w:pPr>
        <w:pStyle w:val="Heading2"/>
      </w:pPr>
      <w:r>
        <w:t xml:space="preserve">4.2.5 Análisis de Grad-CAM</w:t>
      </w:r>
    </w:p>
    <w:p>
      <w:pPr>
        <w:spacing w:after="120" w:line="360"/>
        <w:jc w:val="both"/>
      </w:pPr>
      <w:r>
        <w:rPr>
          <w:i/>
          <w:iCs/>
          <w:color w:val="888888"/>
        </w:rPr>
        <w:t xml:space="preserve">[Figura 4.4 — Conjunto de mapas de calor Grad-CAM sobre 2-3 imágenes representativas de cada especie. Discusión: ¿el modelo está atendiendo a los caracteres morfológicos esperados?]</w:t>
      </w:r>
    </w:p>
    <w:p>
      <w:pPr>
        <w:pStyle w:val="Heading2"/>
      </w:pPr>
      <w:r>
        <w:t xml:space="preserve">4.2.6 Comparativa PyTorch vs. TensorFlow</w:t>
      </w:r>
    </w:p>
    <w:p>
      <w:pPr>
        <w:spacing w:after="120" w:line="360"/>
        <w:jc w:val="both"/>
      </w:pPr>
      <w:r>
        <w:rPr>
          <w:i/>
          <w:iCs/>
          <w:color w:val="888888"/>
        </w:rPr>
        <w:t xml:space="preserve">[Discusión de las diferencias observadas: ¿hay diferencias estadísticamente significativas en las métricas? ¿Cuál es más rápido en entrenamiento? ¿Cuál es más portable a producción?]</w:t>
      </w:r>
    </w:p>
    <w:p>
      <w:pPr>
        <w:pStyle w:val="Heading1"/>
      </w:pPr>
      <w:r>
        <w:t xml:space="preserve">4.3 Resultados del Módulo de Lengua de Señas</w:t>
      </w:r>
    </w:p>
    <w:p>
      <w:pPr>
        <w:pStyle w:val="Heading2"/>
      </w:pPr>
      <w:r>
        <w:t xml:space="preserve">4.3.1 Catálogo final de señas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400"/>
        <w:gridCol w:w="2700"/>
        <w:gridCol w:w="1700"/>
        <w:gridCol w:w="1760"/>
      </w:tblGrid>
      <w:tr>
        <w:trPr>
          <w:tblHeader/>
        </w:trPr>
        <w:tc>
          <w:tcPr>
            <w:tcW w:type="dxa" w:w="8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Cód.</w:t>
            </w:r>
          </w:p>
        </w:tc>
        <w:tc>
          <w:tcPr>
            <w:tcW w:type="dxa" w:w="24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Especie</w:t>
            </w:r>
          </w:p>
        </w:tc>
        <w:tc>
          <w:tcPr>
            <w:tcW w:type="dxa" w:w="27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 de la seña final</w:t>
            </w:r>
          </w:p>
        </w:tc>
        <w:tc>
          <w:tcPr>
            <w:tcW w:type="dxa" w:w="17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Iconicidad</w:t>
            </w:r>
          </w:p>
        </w:tc>
        <w:tc>
          <w:tcPr>
            <w:tcW w:type="dxa" w:w="176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Likert global</w:t>
            </w:r>
          </w:p>
        </w:tc>
      </w:tr>
      <w:tr>
        <w:tc>
          <w:tcPr>
            <w:tcW w:type="dxa" w:w="8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BW</w:t>
            </w:r>
          </w:p>
        </w:tc>
        <w:tc>
          <w:tcPr>
            <w:tcW w:type="dxa" w:w="24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Buteo platypterus</w:t>
            </w:r>
          </w:p>
        </w:tc>
        <w:tc>
          <w:tcPr>
            <w:tcW w:type="dxa" w:w="27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7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76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SW</w:t>
            </w:r>
          </w:p>
        </w:tc>
        <w:tc>
          <w:tcPr>
            <w:tcW w:type="dxa" w:w="24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Buteo swainsoni</w:t>
            </w:r>
          </w:p>
        </w:tc>
        <w:tc>
          <w:tcPr>
            <w:tcW w:type="dxa" w:w="27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7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76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TV</w:t>
            </w:r>
          </w:p>
        </w:tc>
        <w:tc>
          <w:tcPr>
            <w:tcW w:type="dxa" w:w="24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Cathartes aura</w:t>
            </w:r>
          </w:p>
        </w:tc>
        <w:tc>
          <w:tcPr>
            <w:tcW w:type="dxa" w:w="27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7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76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MK</w:t>
            </w:r>
          </w:p>
        </w:tc>
        <w:tc>
          <w:tcPr>
            <w:tcW w:type="dxa" w:w="24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Ictinia mississippiensis</w:t>
            </w:r>
          </w:p>
        </w:tc>
        <w:tc>
          <w:tcPr>
            <w:tcW w:type="dxa" w:w="27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7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76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SS</w:t>
            </w:r>
          </w:p>
        </w:tc>
        <w:tc>
          <w:tcPr>
            <w:tcW w:type="dxa" w:w="24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Accipiter striatus</w:t>
            </w:r>
          </w:p>
        </w:tc>
        <w:tc>
          <w:tcPr>
            <w:tcW w:type="dxa" w:w="27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7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76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CH</w:t>
            </w:r>
          </w:p>
        </w:tc>
        <w:tc>
          <w:tcPr>
            <w:tcW w:type="dxa" w:w="24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Astur cooperii</w:t>
            </w:r>
          </w:p>
        </w:tc>
        <w:tc>
          <w:tcPr>
            <w:tcW w:type="dxa" w:w="27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7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76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RT</w:t>
            </w:r>
          </w:p>
        </w:tc>
        <w:tc>
          <w:tcPr>
            <w:tcW w:type="dxa" w:w="24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Buteo jamaicensis</w:t>
            </w:r>
          </w:p>
        </w:tc>
        <w:tc>
          <w:tcPr>
            <w:tcW w:type="dxa" w:w="27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7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76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RS</w:t>
            </w:r>
          </w:p>
        </w:tc>
        <w:tc>
          <w:tcPr>
            <w:tcW w:type="dxa" w:w="24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Buteo lineatus</w:t>
            </w:r>
          </w:p>
        </w:tc>
        <w:tc>
          <w:tcPr>
            <w:tcW w:type="dxa" w:w="27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7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76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ZT</w:t>
            </w:r>
          </w:p>
        </w:tc>
        <w:tc>
          <w:tcPr>
            <w:tcW w:type="dxa" w:w="24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Buteo albonotatus</w:t>
            </w:r>
          </w:p>
        </w:tc>
        <w:tc>
          <w:tcPr>
            <w:tcW w:type="dxa" w:w="27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7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76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NH</w:t>
            </w:r>
          </w:p>
        </w:tc>
        <w:tc>
          <w:tcPr>
            <w:tcW w:type="dxa" w:w="24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Circus hudsonius</w:t>
            </w:r>
          </w:p>
        </w:tc>
        <w:tc>
          <w:tcPr>
            <w:tcW w:type="dxa" w:w="27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7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76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PG</w:t>
            </w:r>
          </w:p>
        </w:tc>
        <w:tc>
          <w:tcPr>
            <w:tcW w:type="dxa" w:w="24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Falco peregrinus</w:t>
            </w:r>
          </w:p>
        </w:tc>
        <w:tc>
          <w:tcPr>
            <w:tcW w:type="dxa" w:w="27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7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76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AK</w:t>
            </w:r>
          </w:p>
        </w:tc>
        <w:tc>
          <w:tcPr>
            <w:tcW w:type="dxa" w:w="24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Falco sparverius</w:t>
            </w:r>
          </w:p>
        </w:tc>
        <w:tc>
          <w:tcPr>
            <w:tcW w:type="dxa" w:w="27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7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76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OS</w:t>
            </w:r>
          </w:p>
        </w:tc>
        <w:tc>
          <w:tcPr>
            <w:tcW w:type="dxa" w:w="24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Pandion haliaetus</w:t>
            </w:r>
          </w:p>
        </w:tc>
        <w:tc>
          <w:tcPr>
            <w:tcW w:type="dxa" w:w="27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7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76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ML</w:t>
            </w:r>
          </w:p>
        </w:tc>
        <w:tc>
          <w:tcPr>
            <w:tcW w:type="dxa" w:w="24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Falco columbarius</w:t>
            </w:r>
          </w:p>
        </w:tc>
        <w:tc>
          <w:tcPr>
            <w:tcW w:type="dxa" w:w="27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70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760"/>
            <w:tcBorders>
              <w:top w:val="single" w:color="B0B0B0" w:sz="6"/>
              <w:left w:val="single" w:color="B0B0B0" w:sz="6"/>
              <w:bottom w:val="single" w:color="B0B0B0" w:sz="6"/>
              <w:right w:val="single" w:color="B0B0B0" w:sz="6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240" w:before="120"/>
        <w:jc w:val="center"/>
      </w:pPr>
      <w:r>
        <w:rPr>
          <w:i/>
          <w:iCs/>
          <w:sz w:val="22"/>
          <w:szCs w:val="22"/>
        </w:rPr>
        <w:t xml:space="preserve">Tabla 4.4 — Catálogo final de las 14 señas con descripción, grado de iconicidad y promedio Likert global (a llenar tras la validación con grupo focal).</w:t>
      </w:r>
    </w:p>
    <w:p>
      <w:pPr>
        <w:pStyle w:val="Heading2"/>
      </w:pPr>
      <w:r>
        <w:t xml:space="preserve">4.3.2 Resultados de la validación con grupo focal</w:t>
      </w:r>
    </w:p>
    <w:p>
      <w:pPr>
        <w:spacing w:after="120" w:line="360"/>
        <w:jc w:val="both"/>
      </w:pPr>
      <w:r>
        <w:rPr>
          <w:i/>
          <w:iCs/>
          <w:color w:val="888888"/>
        </w:rPr>
        <w:t xml:space="preserve">[Tabla 4.5 — Promedios y desviaciones estándar por dimensión (claridad, naturalidad, memorabilidad) para cada seña. Marcar las que superan el umbral 4.0.]</w:t>
      </w:r>
    </w:p>
    <w:p>
      <w:pPr>
        <w:pStyle w:val="Heading2"/>
      </w:pPr>
      <w:r>
        <w:t xml:space="preserve">4.3.3 Análisis cualitativo</w:t>
      </w:r>
    </w:p>
    <w:p>
      <w:pPr>
        <w:spacing w:after="120" w:line="360"/>
        <w:jc w:val="both"/>
      </w:pPr>
      <w:r>
        <w:rPr>
          <w:i/>
          <w:iCs/>
          <w:color w:val="888888"/>
        </w:rPr>
        <w:t xml:space="preserve">[Síntesis de los comentarios abiertos y observaciones del grupo focal. Identificar ajustes implementados después de la validación inicial.]</w:t>
      </w:r>
    </w:p>
    <w:p>
      <w:pPr>
        <w:pStyle w:val="Heading1"/>
      </w:pPr>
      <w:r>
        <w:t xml:space="preserve">4.4 Resultados de la Integración y el Prototipo</w:t>
      </w:r>
    </w:p>
    <w:p>
      <w:pPr>
        <w:pStyle w:val="Heading2"/>
      </w:pPr>
      <w:r>
        <w:t xml:space="preserve">4.4.1 Arquitectura del prototipo final</w:t>
      </w:r>
    </w:p>
    <w:p>
      <w:pPr>
        <w:spacing w:after="120" w:line="360"/>
        <w:jc w:val="both"/>
      </w:pPr>
      <w:r>
        <w:rPr>
          <w:i/>
          <w:iCs/>
          <w:color w:val="888888"/>
        </w:rPr>
        <w:t xml:space="preserve">[Figura 4.5 — Diagrama de arquitectura del prototipo: bloques de pre-procesamiento, modelo, Grad-CAM, salida con seña.]</w:t>
      </w:r>
    </w:p>
    <w:p>
      <w:pPr>
        <w:pStyle w:val="Heading2"/>
      </w:pPr>
      <w:r>
        <w:t xml:space="preserve">4.4.2 Tiempos de respuesta</w:t>
      </w:r>
    </w:p>
    <w:p>
      <w:pPr>
        <w:spacing w:after="120" w:line="360"/>
        <w:jc w:val="both"/>
      </w:pPr>
      <w:r>
        <w:rPr>
          <w:i/>
          <w:iCs/>
          <w:color w:val="888888"/>
        </w:rPr>
        <w:t xml:space="preserve">[Tabla 4.6 — Latencia media y percentil 95 por etapa del pipeline, medido sobre 100 imágenes de prueba.]</w:t>
      </w:r>
    </w:p>
    <w:p>
      <w:pPr>
        <w:pStyle w:val="Heading2"/>
      </w:pPr>
      <w:r>
        <w:t xml:space="preserve">4.4.3 Pruebas con usuarios reales</w:t>
      </w:r>
    </w:p>
    <w:p>
      <w:pPr>
        <w:spacing w:after="120" w:line="360"/>
        <w:jc w:val="both"/>
      </w:pPr>
      <w:r>
        <w:rPr>
          <w:i/>
          <w:iCs/>
          <w:color w:val="888888"/>
        </w:rPr>
        <w:t xml:space="preserve">[Resultados de pruebas piloto con 5–10 usuarios oyentes y 5–10 usuarios sordos, evaluando facilidad de uso, claridad del resultado y satisfacción general.]</w:t>
      </w:r>
    </w:p>
    <w:p>
      <w:pPr>
        <w:pStyle w:val="Heading1"/>
      </w:pPr>
      <w:r>
        <w:t xml:space="preserve">4.5 Discusión</w:t>
      </w:r>
    </w:p>
    <w:p>
      <w:pPr>
        <w:pStyle w:val="Heading2"/>
      </w:pPr>
      <w:r>
        <w:t xml:space="preserve">4.5.1 Cumplimiento de las hipótesis</w:t>
      </w:r>
    </w:p>
    <w:p>
      <w:pPr>
        <w:spacing w:after="120" w:line="360"/>
        <w:jc w:val="both"/>
      </w:pPr>
      <w:r>
        <w:rPr>
          <w:i/>
          <w:iCs/>
          <w:color w:val="888888"/>
        </w:rPr>
        <w:t xml:space="preserve">[¿Se alcanzó accuracy ≥ 85 %? ¿F1 ≥ 0.83? ¿Las señas obtuvieron promedio Likert ≥ 4.0? Aceptar o rechazar H1 y H2 con base en los datos.]</w:t>
      </w:r>
    </w:p>
    <w:p>
      <w:pPr>
        <w:pStyle w:val="Heading2"/>
      </w:pPr>
      <w:r>
        <w:t xml:space="preserve">4.5.2 Comparación con el estado del arte</w:t>
      </w:r>
    </w:p>
    <w:p>
      <w:pPr>
        <w:spacing w:after="120" w:line="360"/>
        <w:jc w:val="both"/>
      </w:pPr>
      <w:r>
        <w:rPr>
          <w:i/>
          <w:iCs/>
          <w:color w:val="888888"/>
        </w:rPr>
        <w:t xml:space="preserve">[Confrontar los resultados con Boer et al. (2022) y Khandelwal et al. (2022). Identificar mejoras y limitaciones relativas.]</w:t>
      </w:r>
    </w:p>
    <w:p>
      <w:pPr>
        <w:pStyle w:val="Heading2"/>
      </w:pPr>
      <w:r>
        <w:t xml:space="preserve">4.5.3 Limitaciones encontradas</w:t>
      </w:r>
    </w:p>
    <w:p>
      <w:pPr>
        <w:spacing w:after="120" w:line="360"/>
        <w:jc w:val="both"/>
      </w:pPr>
      <w:r>
        <w:rPr>
          <w:i/>
          <w:iCs/>
          <w:color w:val="888888"/>
        </w:rPr>
        <w:t xml:space="preserve">[Discutir limitaciones detectadas durante la ejecución que no estaban previstas en el Capítulo 1.]</w:t>
      </w:r>
    </w:p>
    <w:p>
      <w:pPr>
        <w:pStyle w:val="Heading2"/>
      </w:pPr>
      <w:r>
        <w:t xml:space="preserve">4.5.4 Implicaciones científicas y sociales</w:t>
      </w:r>
    </w:p>
    <w:p>
      <w:pPr>
        <w:spacing w:after="120" w:line="360"/>
        <w:jc w:val="both"/>
      </w:pPr>
      <w:r>
        <w:rPr>
          <w:i/>
          <w:iCs/>
          <w:color w:val="888888"/>
        </w:rPr>
        <w:t xml:space="preserve">[¿Qué impacto puede tener el modelo y el catálogo de señas? ¿Qué aliados podrían adoptarlos? ¿Cómo se proyecta su sostenibilidad?]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20"/>
        <w:szCs w:val="20"/>
      </w:rPr>
      <w:t xml:space="preserve">Página </w:t>
    </w:r>
    <w:r>
      <w:rPr>
        <w:color w:val="666666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666666"/>
        <w:sz w:val="20"/>
        <w:szCs w:val="20"/>
      </w:rPr>
      <w:t xml:space="preserve">Capítulo 4 — Resultados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/>
      <w:outlineLvl w:val="0"/>
    </w:pPr>
    <w:rPr>
      <w:rFonts w:ascii="Arial" w:cs="Arial" w:eastAsia="Arial" w:hAnsi="Arial"/>
      <w:b/>
      <w:bCs/>
      <w:color w:val="1F3A5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Arial" w:cs="Arial" w:eastAsia="Arial" w:hAnsi="Arial"/>
      <w:b/>
      <w:bCs/>
      <w:color w:val="2E5985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2E598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4 — Resultados</dc:title>
  <dc:creator>Brian Fernández Báez</dc:creator>
  <dc:description>Tesis sobre identificación de aves rapaces migratorias mediante IA y lenguaje de señas</dc:description>
  <cp:lastModifiedBy>Un-named</cp:lastModifiedBy>
  <cp:revision>1</cp:revision>
  <dcterms:created xsi:type="dcterms:W3CDTF">2026-05-15T01:27:49.589Z</dcterms:created>
  <dcterms:modified xsi:type="dcterms:W3CDTF">2026-05-15T01:27:49.589Z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