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89"/>
        <w:gridCol w:w="8533"/>
      </w:tblGrid>
      <w:tr>
        <w:trPr>
          <w:cantSplit/>
        </w:trPr>
        <w:tc>
          <w:tcPr>
            <w:tcW w:type="dxa" w:w="1389"/>
            <w:tcBorders>
              <w:top w:val="none" w:color="FFFFFF" w:sz="0"/>
              <w:left w:val="none" w:color="FFFFFF" w:sz="0"/>
              <w:bottom w:val="single" w:color="D9730D" w:sz="12"/>
              <w:right w:val="none" w:color="FFFFFF" w:sz="0"/>
            </w:tcBorders>
            <w:tcMar>
              <w:top w:type="dxa" w:w="0"/>
              <w:left w:type="dxa" w:w="0"/>
              <w:bottom w:type="dxa" w:w="150"/>
              <w:right w:type="dxa" w:w="0"/>
            </w:tcMar>
            <w:vAlign w:val="center"/>
          </w:tcPr>
          <w:p>
            <w:pPr>
              <w:spacing w:after="0" w:before="0" w:line="252" w:lineRule="auto"/>
            </w:pPr>
            <w:r>
              <w:drawing>
                <wp:inline distT="0" distB="0" distL="0" distR="0">
                  <wp:extent cx="738000" cy="653868"/>
                  <wp:effectExtent t="0" r="0" b="0" l="0"/>
                  <wp:docPr id="1" name="Armoiries" descr="Armoiries officielles de la République de Côte d’Ivoire" title="Armoiries de la République de Côte d’Ivo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000" cy="653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33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0"/>
              <w:left w:type="dxa" w:w="200"/>
              <w:bottom w:type="dxa" w:w="150"/>
              <w:right w:type="dxa" w:w="0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aps/>
                <w:color w:val="1F2328"/>
                <w:spacing w:val="16"/>
                <w:sz w:val="21"/>
                <w:szCs w:val="21"/>
                <w:lang w:val="fr-FR"/>
              </w:rPr>
              <w:t xml:space="preserve">République de Côte d’Ivoire</w:t>
            </w:r>
          </w:p>
          <w:p>
            <w:pPr>
              <w:spacing w:after="30" w:before="0" w:line="252" w:lineRule="auto"/>
            </w:pPr>
            <w:r>
              <w:rPr>
                <w:rFonts w:ascii="Garamond" w:cs="Garamond" w:eastAsia="Garamond" w:hAnsi="Garamond"/>
                <w:i/>
                <w:iCs/>
                <w:color w:val="4A5058"/>
                <w:sz w:val="19"/>
                <w:szCs w:val="19"/>
                <w:lang w:val="fr-FR"/>
              </w:rPr>
              <w:t xml:space="preserve">Union – Discipline – Travail</w:t>
            </w:r>
          </w:p>
          <w:p>
            <w:pPr>
              <w:pBdr>
                <w:bottom w:val="single" w:color="D9730D" w:sz="6"/>
              </w:pBdr>
              <w:spacing w:after="70" w:before="0" w:line="70" w:lineRule="exact"/>
              <w:ind w:right="7823"/>
            </w:pP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aps/>
                <w:color w:val="1F2328"/>
                <w:spacing w:val="6"/>
                <w:sz w:val="19"/>
                <w:szCs w:val="19"/>
                <w:lang w:val="fr-FR"/>
              </w:rPr>
              <w:t xml:space="preserve">Ministère de l’Agriculture, du Développement Rural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aps/>
                <w:color w:val="1F2328"/>
                <w:spacing w:val="6"/>
                <w:sz w:val="19"/>
                <w:szCs w:val="19"/>
                <w:lang w:val="fr-FR"/>
              </w:rPr>
              <w:t xml:space="preserve">et des Productions Vivrières</w:t>
            </w:r>
          </w:p>
          <w:p>
            <w:pPr>
              <w:spacing w:after="0" w:before="6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1B7A4C"/>
                <w:spacing w:val="40"/>
                <w:sz w:val="16"/>
                <w:szCs w:val="16"/>
                <w:lang w:val="fr-FR"/>
              </w:rPr>
              <w:t xml:space="preserve">Cabinet du Ministre</w:t>
            </w:r>
          </w:p>
        </w:tc>
      </w:tr>
    </w:tbl>
    <w:p>
      <w:pPr>
        <w:spacing w:after="30" w:before="250" w:line="252" w:lineRule="auto"/>
      </w:pPr>
      <w:r>
        <w:rPr>
          <w:rFonts w:ascii="Garamond" w:cs="Garamond" w:eastAsia="Garamond" w:hAnsi="Garamond"/>
          <w:b/>
          <w:bCs/>
          <w:color w:val="1F2328"/>
          <w:spacing w:val="10"/>
          <w:sz w:val="33"/>
          <w:szCs w:val="33"/>
          <w:lang w:val="fr-FR"/>
        </w:rPr>
        <w:t xml:space="preserve">FICHE DE REVUE ET DE SÉCURISATION DOCUMENTAIRE</w:t>
      </w:r>
    </w:p>
    <w:p>
      <w:pPr>
        <w:spacing w:after="130" w:before="0" w:line="252" w:lineRule="auto"/>
      </w:pPr>
      <w:r>
        <w:rPr>
          <w:rFonts w:ascii="Garamond" w:cs="Garamond" w:eastAsia="Garamond" w:hAnsi="Garamond"/>
          <w:i/>
          <w:iCs/>
          <w:color w:val="4A5058"/>
          <w:sz w:val="23"/>
          <w:szCs w:val="23"/>
          <w:lang w:val="fr-FR"/>
        </w:rPr>
        <w:t xml:space="preserve">Points relevés lors de l’examen du document transmis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80"/>
        <w:gridCol w:w="2480"/>
        <w:gridCol w:w="2480"/>
        <w:gridCol w:w="2482"/>
      </w:tblGrid>
      <w:tr>
        <w:trPr>
          <w:cantSplit/>
        </w:trPr>
        <w:tc>
          <w:tcPr>
            <w:tcW w:type="dxa" w:w="9922"/>
            <w:gridSpan w:val="4"/>
            <w:tcBorders>
              <w:top w:val="single" w:color="1B7A4C" w:sz="8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9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Document examiné</w:t>
            </w:r>
          </w:p>
          <w:p>
            <w:pPr>
              <w:spacing w:after="0" w:before="0" w:line="260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24"/>
                <w:szCs w:val="24"/>
                <w:lang w:val="fr-FR"/>
              </w:rPr>
              <w:t xml:space="preserve">Communication en Conseil des Ministres – Informations relatives à la collecte et à l’utilisation des redevances prélevées sur la filière café-cacao au 30 juin 2026</w:t>
            </w:r>
          </w:p>
        </w:tc>
      </w:tr>
      <w:tr>
        <w:trPr>
          <w:cantSplit/>
        </w:trPr>
        <w:tc>
          <w:tcPr>
            <w:tcW w:type="dxa" w:w="2480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Structure émettrice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MINADER – MEFB</w:t>
            </w:r>
          </w:p>
          <w:p>
            <w:pPr>
              <w:spacing w:after="0" w:before="20" w:line="252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Communication conjointe · données du Conseil du Café-Cacao</w:t>
            </w:r>
          </w:p>
        </w:tc>
        <w:tc>
          <w:tcPr>
            <w:tcW w:type="dxa" w:w="2480"/>
            <w:tcBorders>
              <w:top w:val="none" w:color="FFFFFF" w:sz="0"/>
              <w:left w:val="single" w:color="E3E6E9" w:sz="4"/>
              <w:bottom w:val="single" w:color="E3E6E9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Version / date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Version du 12 août 2026</w:t>
            </w:r>
          </w:p>
          <w:p>
            <w:pPr>
              <w:spacing w:after="0" w:before="20" w:line="252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17 pages</w:t>
            </w:r>
          </w:p>
        </w:tc>
        <w:tc>
          <w:tcPr>
            <w:tcW w:type="dxa" w:w="2480"/>
            <w:tcBorders>
              <w:top w:val="none" w:color="FFFFFF" w:sz="0"/>
              <w:left w:val="single" w:color="E3E6E9" w:sz="4"/>
              <w:bottom w:val="single" w:color="E3E6E9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Date de revue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1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vertAlign w:val="superscript"/>
                <w:lang w:val="fr-FR"/>
              </w:rPr>
              <w:t xml:space="preserve">er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octobre 2026</w:t>
            </w:r>
          </w:p>
        </w:tc>
        <w:tc>
          <w:tcPr>
            <w:tcW w:type="dxa" w:w="2482"/>
            <w:tcBorders>
              <w:top w:val="none" w:color="FFFFFF" w:sz="0"/>
              <w:left w:val="single" w:color="E3E6E9" w:sz="4"/>
              <w:bottom w:val="single" w:color="E3E6E9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Destinataire final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Conseil des Ministres</w:t>
            </w:r>
          </w:p>
        </w:tc>
      </w:tr>
      <w:tr>
        <w:trPr>
          <w:cantSplit/>
        </w:trPr>
        <w:tc>
          <w:tcPr>
            <w:tcW w:type="dxa" w:w="9922"/>
            <w:gridSpan w:val="4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80"/>
              <w:left w:type="dxa" w:w="0"/>
              <w:bottom w:type="dxa" w:w="90"/>
              <w:right w:type="dxa" w:w="90"/>
            </w:tcMar>
            <w:vAlign w:val="top"/>
          </w:tcPr>
          <w:p>
            <w:pPr>
              <w:spacing w:after="3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Objet</w:t>
            </w:r>
          </w:p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Contrôle de la fiabilité des données et de la cohérence du texte avant transmission</w:t>
            </w: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28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Coup d’œil Cabinet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48"/>
        <w:gridCol w:w="170"/>
        <w:gridCol w:w="1848"/>
        <w:gridCol w:w="170"/>
        <w:gridCol w:w="1848"/>
        <w:gridCol w:w="170"/>
        <w:gridCol w:w="1848"/>
        <w:gridCol w:w="170"/>
        <w:gridCol w:w="1850"/>
      </w:tblGrid>
      <w:tr>
        <w:trPr>
          <w:cantSplit/>
        </w:trPr>
        <w:tc>
          <w:tcPr>
            <w:tcW w:type="dxa" w:w="1848"/>
            <w:tcBorders>
              <w:top w:val="single" w:color="1F2328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46"/>
                <w:szCs w:val="46"/>
                <w:lang w:val="fr-FR"/>
              </w:rPr>
              <w:t xml:space="preserve">21</w:t>
            </w:r>
          </w:p>
          <w:p>
            <w:pPr>
              <w:spacing w:after="0" w:before="1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Observations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848"/>
            <w:tcBorders>
              <w:top w:val="single" w:color="B03A12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46"/>
                <w:szCs w:val="46"/>
                <w:lang w:val="fr-FR"/>
              </w:rPr>
              <w:t xml:space="preserve">1</w:t>
            </w:r>
          </w:p>
          <w:p>
            <w:pPr>
              <w:spacing w:after="0" w:before="10" w:line="252" w:lineRule="auto"/>
            </w:pPr>
            <w:r>
              <w:rPr>
                <w:rFonts w:ascii="Arial" w:cs="Arial" w:eastAsia="Arial" w:hAnsi="Arial"/>
                <w:color w:val="B03A12"/>
                <w:sz w:val="14"/>
                <w:szCs w:val="14"/>
                <w:lang w:val="fr-FR"/>
              </w:rPr>
              <w:t xml:space="preserve">■</w:t>
            </w:r>
            <w:r>
              <w:rPr>
                <w:sz w:val="14"/>
                <w:szCs w:val="14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Critique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848"/>
            <w:tcBorders>
              <w:top w:val="single" w:color="D9730D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46"/>
                <w:szCs w:val="46"/>
                <w:lang w:val="fr-FR"/>
              </w:rPr>
              <w:t xml:space="preserve">6</w:t>
            </w:r>
          </w:p>
          <w:p>
            <w:pPr>
              <w:spacing w:after="0" w:before="10" w:line="252" w:lineRule="auto"/>
            </w:pPr>
            <w:r>
              <w:rPr>
                <w:rFonts w:ascii="Arial" w:cs="Arial" w:eastAsia="Arial" w:hAnsi="Arial"/>
                <w:color w:val="D9730D"/>
                <w:sz w:val="14"/>
                <w:szCs w:val="14"/>
                <w:lang w:val="fr-FR"/>
              </w:rPr>
              <w:t xml:space="preserve">▲</w:t>
            </w:r>
            <w:r>
              <w:rPr>
                <w:sz w:val="14"/>
                <w:szCs w:val="14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Majeures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848"/>
            <w:tcBorders>
              <w:top w:val="single" w:color="1B7A4C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46"/>
                <w:szCs w:val="46"/>
                <w:lang w:val="fr-FR"/>
              </w:rPr>
              <w:t xml:space="preserve">8</w:t>
            </w:r>
          </w:p>
          <w:p>
            <w:pPr>
              <w:spacing w:after="0" w:before="10" w:line="252" w:lineRule="auto"/>
            </w:pPr>
            <w:r>
              <w:rPr>
                <w:rFonts w:ascii="Arial" w:cs="Arial" w:eastAsia="Arial" w:hAnsi="Arial"/>
                <w:color w:val="1B7A4C"/>
                <w:sz w:val="14"/>
                <w:szCs w:val="14"/>
                <w:lang w:val="fr-FR"/>
              </w:rPr>
              <w:t xml:space="preserve">●</w:t>
            </w:r>
            <w:r>
              <w:rPr>
                <w:sz w:val="14"/>
                <w:szCs w:val="14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À corriger</w:t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  <w:vAlign w:val="top"/>
          </w:tcPr>
          <w:p>
            <w:pPr>
              <w:spacing w:after="0" w:before="0" w:line="252" w:lineRule="auto"/>
            </w:pPr>
          </w:p>
        </w:tc>
        <w:tc>
          <w:tcPr>
            <w:tcW w:type="dxa" w:w="1850"/>
            <w:tcBorders>
              <w:top w:val="single" w:color="8A9096" w:sz="18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50"/>
              <w:left w:type="dxa" w:w="40"/>
              <w:bottom w:type="dxa" w:w="70"/>
              <w:right w:type="dxa" w:w="4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46"/>
                <w:szCs w:val="46"/>
                <w:lang w:val="fr-FR"/>
              </w:rPr>
              <w:t xml:space="preserve">6</w:t>
            </w:r>
          </w:p>
          <w:p>
            <w:pPr>
              <w:spacing w:after="0" w:before="10" w:line="252" w:lineRule="auto"/>
            </w:pPr>
            <w:r>
              <w:rPr>
                <w:rFonts w:ascii="Arial" w:cs="Arial" w:eastAsia="Arial" w:hAnsi="Arial"/>
                <w:color w:val="8A9096"/>
                <w:sz w:val="14"/>
                <w:szCs w:val="14"/>
                <w:lang w:val="fr-FR"/>
              </w:rPr>
              <w:t xml:space="preserve">○</w:t>
            </w:r>
            <w:r>
              <w:rPr>
                <w:sz w:val="14"/>
                <w:szCs w:val="14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De forme</w:t>
            </w:r>
          </w:p>
        </w:tc>
      </w:tr>
    </w:tbl>
    <w:p>
      <w:pPr>
        <w:spacing w:after="90" w:before="0" w:line="252" w:lineRule="auto"/>
      </w:pP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61"/>
        <w:gridCol w:w="6861"/>
      </w:tblGrid>
      <w:tr>
        <w:trPr>
          <w:cantSplit/>
        </w:trPr>
        <w:tc>
          <w:tcPr>
            <w:tcW w:type="dxa" w:w="3061"/>
            <w:tcBorders>
              <w:top w:val="none" w:color="FFFFFF" w:sz="0"/>
              <w:left w:val="single" w:color="B03A12" w:sz="24"/>
              <w:bottom w:val="none" w:color="FFFFFF" w:sz="0"/>
              <w:right w:val="none" w:color="FFFFFF" w:sz="0"/>
            </w:tcBorders>
            <w:tcMar>
              <w:top w:type="dxa" w:w="90"/>
              <w:left w:type="dxa" w:w="170"/>
              <w:bottom w:type="dxa" w:w="90"/>
              <w:right w:type="dxa" w:w="90"/>
            </w:tcMar>
            <w:vAlign w:val="center"/>
          </w:tcPr>
          <w:p>
            <w:pP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Statut global</w:t>
            </w:r>
          </w:p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B03A12"/>
                <w:spacing w:val="6"/>
                <w:sz w:val="21"/>
                <w:szCs w:val="21"/>
                <w:lang w:val="fr-FR"/>
              </w:rPr>
              <w:t xml:space="preserve">À corriger avant transmission</w:t>
            </w:r>
          </w:p>
          <w:p>
            <w:pPr>
              <w:spacing w:after="0" w:before="50" w:line="252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2 arbitrages · 4 vérifications</w:t>
            </w:r>
          </w:p>
        </w:tc>
        <w:tc>
          <w:tcPr>
            <w:tcW w:type="dxa" w:w="6861"/>
            <w:tcBorders>
              <w:top w:val="none" w:color="FFFFFF" w:sz="0"/>
              <w:left w:val="single" w:color="E3E6E9" w:sz="4"/>
              <w:bottom w:val="none" w:color="FFFFFF" w:sz="0"/>
              <w:right w:val="none" w:color="FFFFFF" w:sz="0"/>
            </w:tcBorders>
            <w:tcMar>
              <w:top w:type="dxa" w:w="90"/>
              <w:left w:type="dxa" w:w="220"/>
              <w:bottom w:type="dxa" w:w="90"/>
              <w:right w:type="dxa" w:w="90"/>
            </w:tcMar>
            <w:vAlign w:val="center"/>
          </w:tcPr>
          <w:p>
            <w:pPr>
              <w:spacing w:after="5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6B7280"/>
                <w:spacing w:val="20"/>
                <w:sz w:val="14"/>
                <w:szCs w:val="14"/>
                <w:lang w:val="fr-FR"/>
              </w:rPr>
              <w:t xml:space="preserve">Appréciation</w:t>
            </w:r>
          </w:p>
          <w:p>
            <w:pPr>
              <w:spacing w:after="0" w:before="0" w:line="264" w:lineRule="auto"/>
            </w:pPr>
            <w:r>
              <w:rPr>
                <w:rFonts w:ascii="Garamond" w:cs="Garamond" w:eastAsia="Garamond" w:hAnsi="Garamond"/>
                <w:i/>
                <w:iCs/>
                <w:color w:val="4A5058"/>
                <w:sz w:val="21"/>
                <w:szCs w:val="21"/>
                <w:lang w:val="fr-FR"/>
              </w:rPr>
              <w:t xml:space="preserve">Document complet et bien structuré ; les totaux des dix tableaux sont exacts. Les corrections portent sur un montant clé, des incohérences ponctuelles et la forme.</w:t>
            </w:r>
          </w:p>
        </w:tc>
      </w:tr>
    </w:tbl>
    <w:p>
      <w:pPr>
        <w:keepLines/>
        <w:spacing w:after="0" w:before="120" w:line="260" w:lineRule="auto"/>
      </w:pPr>
      <w:r>
        <w:rPr>
          <w:rFonts w:ascii="Calibri" w:cs="Calibri" w:eastAsia="Calibri" w:hAnsi="Calibri"/>
          <w:b/>
          <w:bCs/>
          <w:caps/>
          <w:color w:val="6B7280"/>
          <w:spacing w:val="20"/>
          <w:sz w:val="14"/>
          <w:szCs w:val="14"/>
          <w:lang w:val="fr-FR"/>
        </w:rPr>
        <w:t xml:space="preserve">Suite proposée  </w:t>
      </w:r>
      <w:r>
        <w:rPr>
          <w:rFonts w:ascii="Garamond" w:cs="Garamond" w:eastAsia="Garamond" w:hAnsi="Garamond"/>
          <w:color w:val="1F2328"/>
          <w:sz w:val="21"/>
          <w:szCs w:val="21"/>
          <w:lang w:val="fr-FR"/>
        </w:rPr>
        <w:t xml:space="preserve">Retour à la structure émettrice ; levée prioritaire du point OBS</w:t>
        <w:noBreakHyphen/>
        <w:t xml:space="preserve">01 ; arbitrages A</w:t>
        <w:noBreakHyphen/>
        <w:t xml:space="preserve">1 et A</w:t>
        <w:noBreakHyphen/>
        <w:t xml:space="preserve">2.</w:t>
      </w:r>
    </w:p>
    <w:p>
      <w:pPr>
        <w:pStyle w:val="Heading1"/>
        <w:keepNext/>
        <w:keepLines/>
        <w:pBdr>
          <w:left w:val="single" w:color="D9730D" w:sz="18" w:space="5"/>
        </w:pBdr>
        <w:spacing w:after="100" w:before="25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Points critiques et corrections majeures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1"/>
        <w:gridCol w:w="8731"/>
      </w:tblGrid>
      <w:tr>
        <w:trPr>
          <w:cantSplit/>
        </w:trPr>
        <w:tc>
          <w:tcPr>
            <w:tcW w:type="dxa" w:w="1191"/>
            <w:tcBorders>
              <w:top w:val="single" w:color="C9CDD2" w:sz="4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B03A12"/>
                <w:sz w:val="17"/>
                <w:szCs w:val="17"/>
                <w:lang w:val="fr-FR"/>
              </w:rPr>
              <w:t xml:space="preserve">■</w:t>
            </w:r>
            <w:r>
              <w:rPr>
                <w:sz w:val="17"/>
                <w:szCs w:val="17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01</w:t>
            </w:r>
          </w:p>
        </w:tc>
        <w:tc>
          <w:tcPr>
            <w:tcW w:type="dxa" w:w="8731"/>
            <w:tcBorders>
              <w:top w:val="single" w:color="C9CDD2" w:sz="4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21"/>
                <w:szCs w:val="21"/>
                <w:lang w:val="fr-FR"/>
              </w:rPr>
              <w:t xml:space="preserve">Revenu brut des producteurs de cacao (janvier-juin 2026).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1 688,78 Mds annoncés ; les données du document conduisent à 1 642,29 Mds (+51,03 % et non +55,31 %). À confirmer avant transmission.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D9730D"/>
                <w:sz w:val="17"/>
                <w:szCs w:val="17"/>
                <w:lang w:val="fr-FR"/>
              </w:rPr>
              <w:t xml:space="preserve">▲</w:t>
            </w:r>
            <w:r>
              <w:rPr>
                <w:sz w:val="17"/>
                <w:szCs w:val="17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02</w:t>
            </w:r>
          </w:p>
        </w:tc>
        <w:tc>
          <w:tcPr>
            <w:tcW w:type="dxa" w:w="873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21"/>
                <w:szCs w:val="21"/>
                <w:lang w:val="fr-FR"/>
              </w:rPr>
              <w:t xml:space="preserve">Production de cacao.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Présentée comme ayant « doublé » : elle a progressé de 58,52 %.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D9730D"/>
                <w:sz w:val="17"/>
                <w:szCs w:val="17"/>
                <w:lang w:val="fr-FR"/>
              </w:rPr>
              <w:t xml:space="preserve">▲</w:t>
            </w:r>
            <w:r>
              <w:rPr>
                <w:sz w:val="17"/>
                <w:szCs w:val="17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03</w:t>
            </w:r>
          </w:p>
        </w:tc>
        <w:tc>
          <w:tcPr>
            <w:tcW w:type="dxa" w:w="873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21"/>
                <w:szCs w:val="21"/>
                <w:lang w:val="fr-FR"/>
              </w:rPr>
              <w:t xml:space="preserve">Exportations de café.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Présentées en hausse : il s’agit d’une baisse de 23,22 %.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D9730D"/>
                <w:sz w:val="17"/>
                <w:szCs w:val="17"/>
                <w:lang w:val="fr-FR"/>
              </w:rPr>
              <w:t xml:space="preserve">▲</w:t>
            </w:r>
            <w:r>
              <w:rPr>
                <w:sz w:val="17"/>
                <w:szCs w:val="17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04</w:t>
            </w:r>
          </w:p>
        </w:tc>
        <w:tc>
          <w:tcPr>
            <w:tcW w:type="dxa" w:w="873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21"/>
                <w:szCs w:val="21"/>
                <w:lang w:val="fr-FR"/>
              </w:rPr>
              <w:t xml:space="preserve">Objectif de traçabilité.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« Au moins 15 % » : incompatible avec la production déclarée (A</w:t>
              <w:noBreakHyphen/>
              <w:t xml:space="preserve">1).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D9730D"/>
                <w:sz w:val="17"/>
                <w:szCs w:val="17"/>
                <w:lang w:val="fr-FR"/>
              </w:rPr>
              <w:t xml:space="preserve">▲</w:t>
            </w:r>
            <w:r>
              <w:rPr>
                <w:sz w:val="17"/>
                <w:szCs w:val="17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05</w:t>
            </w:r>
          </w:p>
        </w:tc>
        <w:tc>
          <w:tcPr>
            <w:tcW w:type="dxa" w:w="873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21"/>
                <w:szCs w:val="21"/>
                <w:lang w:val="fr-FR"/>
              </w:rPr>
              <w:t xml:space="preserve">Cumuls éducation.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Nombres en lettres non actualisés (395, 354 et 73 au lieu de 413, 372 et 79).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D9730D"/>
                <w:sz w:val="17"/>
                <w:szCs w:val="17"/>
                <w:lang w:val="fr-FR"/>
              </w:rPr>
              <w:t xml:space="preserve">▲</w:t>
            </w:r>
            <w:r>
              <w:rPr>
                <w:sz w:val="17"/>
                <w:szCs w:val="17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06</w:t>
            </w:r>
          </w:p>
        </w:tc>
        <w:tc>
          <w:tcPr>
            <w:tcW w:type="dxa" w:w="873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21"/>
                <w:szCs w:val="21"/>
                <w:lang w:val="fr-FR"/>
              </w:rPr>
              <w:t xml:space="preserve">Hydraulique.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1 994 pompes posées pour 1 737 forages réalisés : écart de 257 à expliquer.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D9730D"/>
                <w:sz w:val="17"/>
                <w:szCs w:val="17"/>
                <w:lang w:val="fr-FR"/>
              </w:rPr>
              <w:t xml:space="preserve">▲</w:t>
            </w:r>
            <w:r>
              <w:rPr>
                <w:sz w:val="17"/>
                <w:szCs w:val="17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07</w:t>
            </w:r>
          </w:p>
        </w:tc>
        <w:tc>
          <w:tcPr>
            <w:tcW w:type="dxa" w:w="873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21"/>
                <w:szCs w:val="21"/>
                <w:lang w:val="fr-FR"/>
              </w:rPr>
              <w:t xml:space="preserve">Dépôts à la BNI.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47,48 Mds dans le texte, 46,38 Mds au Tableau 10.</w:t>
            </w: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25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Arbitrages attendus du Cabinet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1"/>
        <w:gridCol w:w="8731"/>
      </w:tblGrid>
      <w:tr>
        <w:trPr>
          <w:cantSplit/>
        </w:trPr>
        <w:tc>
          <w:tcPr>
            <w:tcW w:type="dxa" w:w="1191"/>
            <w:tcBorders>
              <w:top w:val="single" w:color="C9CDD2" w:sz="4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8"/>
                <w:szCs w:val="18"/>
                <w:lang w:val="fr-FR"/>
              </w:rPr>
              <w:t xml:space="preserve">A</w:t>
              <w:noBreakHyphen/>
              <w:t xml:space="preserve">1</w:t>
            </w:r>
          </w:p>
        </w:tc>
        <w:tc>
          <w:tcPr>
            <w:tcW w:type="dxa" w:w="8731"/>
            <w:tcBorders>
              <w:top w:val="single" w:color="C9CDD2" w:sz="4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21"/>
                <w:szCs w:val="21"/>
                <w:lang w:val="fr-FR"/>
              </w:rPr>
              <w:t xml:space="preserve">Objectif de traçabilité 2025-2026.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Recalculer le pourcentage, relever l’objectif en volume ou ne conserver que ce dernier.</w:t>
            </w:r>
          </w:p>
        </w:tc>
      </w:tr>
      <w:tr>
        <w:trPr>
          <w:cantSplit/>
        </w:trPr>
        <w:tc>
          <w:tcPr>
            <w:tcW w:type="dxa" w:w="119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8"/>
                <w:szCs w:val="18"/>
                <w:lang w:val="fr-FR"/>
              </w:rPr>
              <w:t xml:space="preserve">A</w:t>
              <w:noBreakHyphen/>
              <w:t xml:space="preserve">2</w:t>
            </w:r>
          </w:p>
        </w:tc>
        <w:tc>
          <w:tcPr>
            <w:tcW w:type="dxa" w:w="873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60"/>
              <w:bottom w:type="dxa" w:w="45"/>
              <w:right w:type="dxa" w:w="9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Garamond" w:cs="Garamond" w:eastAsia="Garamond" w:hAnsi="Garamond"/>
                <w:b/>
                <w:bCs/>
                <w:color w:val="1F2328"/>
                <w:sz w:val="21"/>
                <w:szCs w:val="21"/>
                <w:lang w:val="fr-FR"/>
              </w:rPr>
              <w:t xml:space="preserve">Échéances postérieures au 30 juin 2026.</w:t>
            </w:r>
            <w:r>
              <w:rPr>
                <w:rFonts w:ascii="Garamond" w:cs="Garamond" w:eastAsia="Garamond" w:hAnsi="Garamond"/>
                <w:color w:val="1F2328"/>
                <w:sz w:val="21"/>
                <w:szCs w:val="21"/>
                <w:lang w:val="fr-FR"/>
              </w:rPr>
              <w:t xml:space="preserve"> Maintenir la rédaction au 30 juin ou l’actualiser.</w:t>
            </w:r>
          </w:p>
        </w:tc>
      </w:tr>
    </w:tbl>
    <w:p>
      <w:pPr>
        <w:pStyle w:val="Heading1"/>
        <w:keepNext/>
        <w:keepLines/>
        <w:pageBreakBefore/>
        <w:pBdr>
          <w:left w:val="single" w:color="D9730D" w:sz="18" w:space="5"/>
        </w:pBdr>
        <w:spacing w:after="100" w:before="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Observations détaillées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80"/>
        <w:gridCol w:w="2480"/>
        <w:gridCol w:w="2480"/>
        <w:gridCol w:w="2482"/>
      </w:tblGrid>
      <w:tr>
        <w:trPr>
          <w:cantSplit/>
        </w:trPr>
        <w:tc>
          <w:tcPr>
            <w:tcW w:type="dxa" w:w="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B03A12"/>
                <w:sz w:val="15"/>
                <w:szCs w:val="15"/>
                <w:lang w:val="fr-FR"/>
              </w:rPr>
              <w:t xml:space="preserve">■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10"/>
                <w:sz w:val="15"/>
                <w:szCs w:val="15"/>
                <w:lang w:val="fr-FR"/>
              </w:rPr>
              <w:t xml:space="preserve">CRITIQUE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peut rendre le document inexact, contradictoire ou impropre à la transmission</w:t>
            </w:r>
          </w:p>
        </w:tc>
        <w:tc>
          <w:tcPr>
            <w:tcW w:type="dxa" w:w="2480"/>
            <w:tcBorders>
              <w:top w:val="none" w:color="FFFFFF" w:sz="0"/>
              <w:left w:val="single" w:color="E3E6E9" w:sz="4"/>
              <w:bottom w:val="none" w:color="FFFFFF" w:sz="0"/>
              <w:right w:val="none" w:color="FFFFFF" w:sz="0"/>
            </w:tcBorders>
            <w:tcMar>
              <w:top w:type="dxa" w:w="40"/>
              <w:left w:type="dxa" w:w="110"/>
              <w:bottom w:type="dxa" w:w="4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D9730D"/>
                <w:sz w:val="15"/>
                <w:szCs w:val="15"/>
                <w:lang w:val="fr-FR"/>
              </w:rPr>
              <w:t xml:space="preserve">▲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10"/>
                <w:sz w:val="15"/>
                <w:szCs w:val="15"/>
                <w:lang w:val="fr-FR"/>
              </w:rPr>
              <w:t xml:space="preserve">MAJEUR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modifie sensiblement le sens, la compréhension ou la crédibilité</w:t>
            </w:r>
          </w:p>
        </w:tc>
        <w:tc>
          <w:tcPr>
            <w:tcW w:type="dxa" w:w="2480"/>
            <w:tcBorders>
              <w:top w:val="none" w:color="FFFFFF" w:sz="0"/>
              <w:left w:val="single" w:color="E3E6E9" w:sz="4"/>
              <w:bottom w:val="none" w:color="FFFFFF" w:sz="0"/>
              <w:right w:val="none" w:color="FFFFFF" w:sz="0"/>
            </w:tcBorders>
            <w:tcMar>
              <w:top w:type="dxa" w:w="40"/>
              <w:left w:type="dxa" w:w="110"/>
              <w:bottom w:type="dxa" w:w="4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1B7A4C"/>
                <w:sz w:val="15"/>
                <w:szCs w:val="15"/>
                <w:lang w:val="fr-FR"/>
              </w:rPr>
              <w:t xml:space="preserve">●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10"/>
                <w:sz w:val="15"/>
                <w:szCs w:val="15"/>
                <w:lang w:val="fr-FR"/>
              </w:rPr>
              <w:t xml:space="preserve">À CORRIGER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à reprendre, sans remise en cause de l’ensemble du document</w:t>
            </w:r>
          </w:p>
        </w:tc>
        <w:tc>
          <w:tcPr>
            <w:tcW w:type="dxa" w:w="2482"/>
            <w:tcBorders>
              <w:top w:val="none" w:color="FFFFFF" w:sz="0"/>
              <w:left w:val="single" w:color="E3E6E9" w:sz="4"/>
              <w:bottom w:val="none" w:color="FFFFFF" w:sz="0"/>
              <w:right w:val="none" w:color="FFFFFF" w:sz="0"/>
            </w:tcBorders>
            <w:tcMar>
              <w:top w:type="dxa" w:w="40"/>
              <w:left w:type="dxa" w:w="110"/>
              <w:bottom w:type="dxa" w:w="40"/>
              <w:right w:type="dxa" w:w="6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8A9096"/>
                <w:sz w:val="15"/>
                <w:szCs w:val="15"/>
                <w:lang w:val="fr-FR"/>
              </w:rPr>
              <w:t xml:space="preserve">○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10"/>
                <w:sz w:val="15"/>
                <w:szCs w:val="15"/>
                <w:lang w:val="fr-FR"/>
              </w:rPr>
              <w:t xml:space="preserve">FORME</w:t>
            </w:r>
          </w:p>
          <w:p>
            <w:pPr>
              <w:spacing w:after="0" w:before="20" w:line="240" w:lineRule="auto"/>
            </w:pP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correction rédactionnelle, typographique ou graphique</w:t>
            </w:r>
          </w:p>
        </w:tc>
      </w:tr>
    </w:tbl>
    <w:p>
      <w:pPr>
        <w:spacing w:after="110" w:before="90" w:line="252" w:lineRule="auto"/>
      </w:pPr>
      <w:r>
        <w:rPr>
          <w:rFonts w:ascii="Calibri" w:cs="Calibri" w:eastAsia="Calibri" w:hAnsi="Calibri"/>
          <w:i/>
          <w:iCs/>
          <w:color w:val="6B7280"/>
          <w:sz w:val="15"/>
          <w:szCs w:val="15"/>
          <w:lang w:val="fr-FR"/>
        </w:rPr>
        <w:t xml:space="preserve">Localisation : partie ou section, paragraphe (§) et tableau du document examiné. Les observations sont classées par priorité, puis dans l’ordre du document.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65"/>
        <w:gridCol w:w="1361"/>
        <w:gridCol w:w="1134"/>
        <w:gridCol w:w="3402"/>
        <w:gridCol w:w="2211"/>
        <w:gridCol w:w="1049"/>
      </w:tblGrid>
      <w:tr>
        <w:trPr>
          <w:cantSplit/>
          <w:tblHeader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3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Réf.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Localisation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Catégorie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Constat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Correction / action attendue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Priorité</w:t>
            </w:r>
          </w:p>
        </w:tc>
      </w:tr>
      <w:tr>
        <w:trPr>
          <w:cantSplit/>
        </w:trPr>
        <w:tc>
          <w:tcPr>
            <w:tcW w:type="dxa" w:w="9922"/>
            <w:gridSpan w:val="6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30"/>
              <w:bottom w:type="dxa" w:w="45"/>
              <w:right w:type="dxa" w:w="90"/>
            </w:tcMar>
            <w:vAlign w:val="top"/>
          </w:tcPr>
          <w:p>
            <w:pPr>
              <w:keepNext/>
              <w:spacing w:after="0" w:before="0" w:line="252" w:lineRule="auto"/>
            </w:pPr>
            <w:r>
              <w:rPr>
                <w:rFonts w:ascii="Arial" w:cs="Arial" w:eastAsia="Arial" w:hAnsi="Arial"/>
                <w:color w:val="B03A12"/>
                <w:sz w:val="15"/>
                <w:szCs w:val="15"/>
                <w:lang w:val="fr-FR"/>
              </w:rPr>
              <w:t xml:space="preserve">■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20"/>
                <w:sz w:val="15"/>
                <w:szCs w:val="15"/>
                <w:lang w:val="fr-FR"/>
              </w:rPr>
              <w:t xml:space="preserve">CRITIQUE</w:t>
            </w: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  ·  1 observation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01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1.1 – Prix du cacao, § 1</w:t>
            </w:r>
          </w:p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Conclusion, § 2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Données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Revenu brut annoncé : 1 688,78 Mds (+55,31 %). Les données de la section 1.1 (879 819 t × 1 867 FCFA/kg) donnent environ 1 642,6 Mds ; le recoupement avec la partie 2 aboutit à 1 642,29 Mds (+51,03 %), la même méthode redonnant exactement le chiffre 2025. Montant repris en conclusion.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Recalculer à partir des données sources et harmoniser la section 1.1 et la conclusion. 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confirmer par la Direction</w:t>
            </w: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 (V</w:t>
              <w:noBreakHyphen/>
              <w:t xml:space="preserve">1).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B03A12"/>
                <w:sz w:val="18"/>
                <w:szCs w:val="18"/>
                <w:lang w:val="fr-FR"/>
              </w:rPr>
              <w:t xml:space="preserve">■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CRITIQUE</w:t>
            </w:r>
          </w:p>
        </w:tc>
      </w:tr>
      <w:tr>
        <w:trPr>
          <w:cantSplit/>
        </w:trPr>
        <w:tc>
          <w:tcPr>
            <w:tcW w:type="dxa" w:w="9922"/>
            <w:gridSpan w:val="6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30"/>
              <w:bottom w:type="dxa" w:w="45"/>
              <w:right w:type="dxa" w:w="90"/>
            </w:tcMar>
            <w:vAlign w:val="top"/>
          </w:tcPr>
          <w:p>
            <w:pPr>
              <w:keepNext/>
              <w:spacing w:after="0" w:before="0" w:line="252" w:lineRule="auto"/>
            </w:pPr>
            <w:r>
              <w:rPr>
                <w:rFonts w:ascii="Arial" w:cs="Arial" w:eastAsia="Arial" w:hAnsi="Arial"/>
                <w:color w:val="D9730D"/>
                <w:sz w:val="15"/>
                <w:szCs w:val="15"/>
                <w:lang w:val="fr-FR"/>
              </w:rPr>
              <w:t xml:space="preserve">▲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20"/>
                <w:sz w:val="15"/>
                <w:szCs w:val="15"/>
                <w:lang w:val="fr-FR"/>
              </w:rPr>
              <w:t xml:space="preserve">MAJEUR</w:t>
            </w: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  ·  6 observations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02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1.1 – Prix du cacao, § 1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Fond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La hausse du revenu est attribuée à une production qui « a doublé ». La production est passée de 555 030 t à 879 819 t, soit +58,52 %.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Remplacer par « a progressé de 58,52 % ».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D9730D"/>
                <w:sz w:val="18"/>
                <w:szCs w:val="18"/>
                <w:lang w:val="fr-FR"/>
              </w:rPr>
              <w:t xml:space="preserve">▲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MAJEUR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03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1.1 – Production du café, § 2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Cohérence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Exportations de café : 12 570 t contre 16 372 t, présentées « en hausse de 23,22 % ». Il s’agit d’une baisse ; la conclusion (§ 4) l’indique correctement.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Remplacer « hausse » par « baisse ».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D9730D"/>
                <w:sz w:val="18"/>
                <w:szCs w:val="18"/>
                <w:lang w:val="fr-FR"/>
              </w:rPr>
              <w:t xml:space="preserve">▲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MAJEUR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04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3.1 – SNT, résultats (point 4)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Cohérence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Objectif de 300 000 t de cacao tracé « soit au moins 15 % » : ce ratio suppose une production d’environ 2,0 Mt, alors que 2 063 070 t sont déjà déclarées au 30 juin 2026 (partie 2).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Arbitrage requis (A</w:t>
              <w:noBreakHyphen/>
              <w:t xml:space="preserve">1).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D9730D"/>
                <w:sz w:val="18"/>
                <w:szCs w:val="18"/>
                <w:lang w:val="fr-FR"/>
              </w:rPr>
              <w:t xml:space="preserve">▲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MAJEUR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05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Partie 3 – Éducation, § 4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Cohérence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Cumuls 2012-2026 : les nombres en lettres ne concordent pas avec les chiffres (« trois cent quatre-vingt-quinze (413) » classes ; de même 354 / 372 logements de maîtres et 73 / 79 cantines). Seuls les chiffres semblent actualisés.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Aligner les lettres sur les chiffres actualisés, après confirmation des valeurs (V</w:t>
              <w:noBreakHyphen/>
              <w:t xml:space="preserve">3).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D9730D"/>
                <w:sz w:val="18"/>
                <w:szCs w:val="18"/>
                <w:lang w:val="fr-FR"/>
              </w:rPr>
              <w:t xml:space="preserve">▲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MAJEUR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06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Partie 3 – Hydraulique, § 3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Cohérence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1 994 pompes posées pour 1 737 forages réalisés sur 2012-2026, soit 257 pompes de plus que d’ouvrages. Les 500 pompes réparées, citées à part, n’expliquent pas l’écart.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Expliquer l’écart (pose sur forages existants, par exemple) ou corriger l’un des chiffres. 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confirmer par la Direction</w:t>
            </w: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 (V</w:t>
              <w:noBreakHyphen/>
              <w:t xml:space="preserve">2).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D9730D"/>
                <w:sz w:val="18"/>
                <w:szCs w:val="18"/>
                <w:lang w:val="fr-FR"/>
              </w:rPr>
              <w:t xml:space="preserve">▲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MAJEUR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07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Partie 3 – Soldes bancaires, § 2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Données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Dépôts à la BNI : 47,48 Mds dans le texte, contre 46,38 Mds au Tableau 10. Le premier montant correspondrait au total BNI de la communication au 31 mars 2026. La mention « plus de 95 % » reste exacte (96,6 %).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Remplacer 47,48 par 46,38 milliards de FCFA.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D9730D"/>
                <w:sz w:val="18"/>
                <w:szCs w:val="18"/>
                <w:lang w:val="fr-FR"/>
              </w:rPr>
              <w:t xml:space="preserve">▲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MAJEUR</w:t>
            </w:r>
          </w:p>
        </w:tc>
      </w:tr>
      <w:tr>
        <w:trPr>
          <w:cantSplit/>
        </w:trPr>
        <w:tc>
          <w:tcPr>
            <w:tcW w:type="dxa" w:w="9922"/>
            <w:gridSpan w:val="6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30"/>
              <w:bottom w:type="dxa" w:w="45"/>
              <w:right w:type="dxa" w:w="90"/>
            </w:tcMar>
            <w:vAlign w:val="top"/>
          </w:tcPr>
          <w:p>
            <w:pPr>
              <w:keepNext/>
              <w:spacing w:after="0" w:before="0" w:line="252" w:lineRule="auto"/>
            </w:pPr>
            <w:r>
              <w:rPr>
                <w:rFonts w:ascii="Arial" w:cs="Arial" w:eastAsia="Arial" w:hAnsi="Arial"/>
                <w:color w:val="1B7A4C"/>
                <w:sz w:val="15"/>
                <w:szCs w:val="15"/>
                <w:lang w:val="fr-FR"/>
              </w:rPr>
              <w:t xml:space="preserve">●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20"/>
                <w:sz w:val="15"/>
                <w:szCs w:val="15"/>
                <w:lang w:val="fr-FR"/>
              </w:rPr>
              <w:t xml:space="preserve">À CORRIGER</w:t>
            </w: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  ·  8 observations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08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Introduction, dernier §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Cohérence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Le plan annonce deux parties ; le document en comporte trois. La partie 3 (activités d’appui et soldes bancaires) n’est pas annoncée.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Annoncer la troisième partie ; écrire « deuxième » au lieu de « seconde ».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8"/>
                <w:szCs w:val="18"/>
                <w:lang w:val="fr-FR"/>
              </w:rPr>
              <w:t xml:space="preserve">●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CORRIGER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09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Introduction ; 1.3</w:t>
            </w:r>
          </w:p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Tableaux 2, 3, 7 et 8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Institutionnel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Les fonds portent des noms différents dans le texte (FIA, Fonds de la relance caféière…) et dans les tableaux (CCC-Investissement, Diversification agricole, Programme 2QC). L’auteur indique que les intitulés de comptes ont été conservés.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Ajouter une note de correspondance entre fonds, programmes et intitulés de comptes (V</w:t>
              <w:noBreakHyphen/>
              <w:t xml:space="preserve">4).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8"/>
                <w:szCs w:val="18"/>
                <w:lang w:val="fr-FR"/>
              </w:rPr>
              <w:t xml:space="preserve">●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CORRIGER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10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1.2, § 2 ; 1.3, § 2</w:t>
            </w:r>
          </w:p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Conclusion, § 5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Formulation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Les hausses de janvier-juin 2026 (+60,83 % et +66,67 %) sont rapportées à « l’année 2025 », alors que la comparaison porte sur la même période de 2025.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Écrire « par rapport à la même période de 2025 » dans les trois passages.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8"/>
                <w:szCs w:val="18"/>
                <w:lang w:val="fr-FR"/>
              </w:rPr>
              <w:t xml:space="preserve">●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CORRIGER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11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1.4 – Tableau 3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Formulation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Le titre « Investissements réalisés de janvier à juin 2026 » ne correspond pas au contenu : le tableau présente le cumul d’octobre 2005 à juin 2026.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Corriger le titre : « Investissements réalisés d’octobre 2005 à fin juin 2026 ».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8"/>
                <w:szCs w:val="18"/>
                <w:lang w:val="fr-FR"/>
              </w:rPr>
              <w:t xml:space="preserve">●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CORRIGER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12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1.5, § 1 ; Tableau 4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Cohérence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Le solde net de 41,38 Mds est renvoyé au Tableau 4, qui n’affiche que 47,99 Mds ; il figure au Tableau 5. La ligne H du Tableau 4, dite « solde net », inclut la trésorerie (6,61 Mds).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Renvoyer au Tableau 5 ; aligner l’intitulé de la ligne H sur celui du solde bancaire (Tableau 5).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8"/>
                <w:szCs w:val="18"/>
                <w:lang w:val="fr-FR"/>
              </w:rPr>
              <w:t xml:space="preserve">●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CORRIGER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13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2.1 – Prix du cacao, § 2</w:t>
            </w:r>
          </w:p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Tableau 8 ; 3.1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Données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Dates erronées ou incomplètes : « octobre 2024 à juin 2026 » (campagne 2024-2025) ; « au 31 juin 2026 » (sacs brousse) ; « entre le 1</w:t>
            </w:r>
            <w:r>
              <w:rPr>
                <w:rFonts w:ascii="Calibri" w:cs="Calibri" w:eastAsia="Calibri" w:hAnsi="Calibri"/>
                <w:color w:val="1F2328"/>
                <w:sz w:val="18"/>
                <w:szCs w:val="18"/>
                <w:vertAlign w:val="superscript"/>
                <w:lang w:val="fr-FR"/>
              </w:rPr>
              <w:t xml:space="preserve">er</w:t>
            </w: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 octobre et le 30 juin 2026 » (SNT) ; « TOTAL D’OCTOBRE A FIN JUIN 2026 » (Tableau 8).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Lire « juin 2025 », « 30 juin 2026 », « 1</w:t>
            </w:r>
            <w:r>
              <w:rPr>
                <w:rFonts w:ascii="Calibri" w:cs="Calibri" w:eastAsia="Calibri" w:hAnsi="Calibri"/>
                <w:color w:val="1F2328"/>
                <w:sz w:val="18"/>
                <w:szCs w:val="18"/>
                <w:vertAlign w:val="superscript"/>
                <w:lang w:val="fr-FR"/>
              </w:rPr>
              <w:t xml:space="preserve">er</w:t>
            </w: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 octobre 2025 » et « d’octobre 2025 à fin juin 2026 ».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8"/>
                <w:szCs w:val="18"/>
                <w:lang w:val="fr-FR"/>
              </w:rPr>
              <w:t xml:space="preserve">●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CORRIGER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14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Partie 3 – Tableau 9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Données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Le Tableau 9 ne concorde pas avec le Tableau 10, dont les totaux par compte sont exacts : 22,75 et 11,94 Mds (comptes CCC-Projets et CCC-Investissement) contre 22,76 et 11,93.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Reprendre 22,76 et 11,93 ; variations 11,04 et 8,86. Totaux inchangés (47,99 et 29,62).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8"/>
                <w:szCs w:val="18"/>
                <w:lang w:val="fr-FR"/>
              </w:rPr>
              <w:t xml:space="preserve">●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CORRIGER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15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Conclusion, § 5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Données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La hausse des redevances d’investissement est chiffrée à 66,69 %, contre 66,67 % au § 1.3 et au Tableau 2 (35,05 / 21,03).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Retenir 66,67 %.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1B7A4C"/>
                <w:sz w:val="18"/>
                <w:szCs w:val="18"/>
                <w:lang w:val="fr-FR"/>
              </w:rPr>
              <w:t xml:space="preserve">●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À CORRIGER</w:t>
            </w:r>
          </w:p>
        </w:tc>
      </w:tr>
      <w:tr>
        <w:trPr>
          <w:cantSplit/>
        </w:trPr>
        <w:tc>
          <w:tcPr>
            <w:tcW w:type="dxa" w:w="9922"/>
            <w:gridSpan w:val="6"/>
            <w:tcBorders>
              <w:top w:val="none" w:color="FFFFFF" w:sz="0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30"/>
              <w:bottom w:type="dxa" w:w="45"/>
              <w:right w:type="dxa" w:w="90"/>
            </w:tcMar>
            <w:vAlign w:val="top"/>
          </w:tcPr>
          <w:p>
            <w:pPr>
              <w:keepNext/>
              <w:spacing w:after="0" w:before="0" w:line="252" w:lineRule="auto"/>
            </w:pPr>
            <w:r>
              <w:rPr>
                <w:rFonts w:ascii="Arial" w:cs="Arial" w:eastAsia="Arial" w:hAnsi="Arial"/>
                <w:color w:val="8A9096"/>
                <w:sz w:val="15"/>
                <w:szCs w:val="15"/>
                <w:lang w:val="fr-FR"/>
              </w:rPr>
              <w:t xml:space="preserve">○</w:t>
            </w:r>
            <w:r>
              <w:rPr>
                <w:sz w:val="15"/>
                <w:szCs w:val="15"/>
              </w:rPr>
              <w:t xml:space="preserve">  </w:t>
            </w:r>
            <w:r>
              <w:rPr>
                <w:rFonts w:ascii="Calibri" w:cs="Calibri" w:eastAsia="Calibri" w:hAnsi="Calibri"/>
                <w:b/>
                <w:bCs/>
                <w:color w:val="1F2328"/>
                <w:spacing w:val="20"/>
                <w:sz w:val="15"/>
                <w:szCs w:val="15"/>
                <w:lang w:val="fr-FR"/>
              </w:rPr>
              <w:t xml:space="preserve">FORME</w:t>
            </w:r>
            <w:r>
              <w:rPr>
                <w:rFonts w:ascii="Calibri" w:cs="Calibri" w:eastAsia="Calibri" w:hAnsi="Calibri"/>
                <w:color w:val="6B7280"/>
                <w:sz w:val="15"/>
                <w:szCs w:val="15"/>
                <w:lang w:val="fr-FR"/>
              </w:rPr>
              <w:t xml:space="preserve">  ·  6 observations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16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En-tête ; titres des parties 1 et 2</w:t>
            </w:r>
          </w:p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Tableaux 3 et 8 ; signatures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Forme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Accentuation des majuscules non harmonisée : « MINISTÈRE » mais « ECONOMIE » ; « ÉVOLUTION » et « EVOLUTION » ; « A FIN JUIN » ; « l’Etat », « l’Economie ». « conseil du café-cacao » en minuscules (3.1).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Accentuer toutes les majuscules (É, À) ; rétablir « Conseil du Café-Cacao ».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8A9096"/>
                <w:sz w:val="18"/>
                <w:szCs w:val="18"/>
                <w:lang w:val="fr-FR"/>
              </w:rPr>
              <w:t xml:space="preserve">○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FORME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17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Introduction ; Tableau 2</w:t>
            </w:r>
          </w:p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3.1 ; partie 3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Forme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Accords et orthographe : « demeure supérieure » ; « Il est composé » (la fiscalité) ; « Régénérat° » ; « plants équivalent » ; « a été mis en place » (la Plateforme) ; « recensement… achevée » ; « soixante -six », « vingt -un » ; « cinq cent (500) ».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Lire « supérieur », « Elle est composée », « Régénération », « équivalents », « mise », « achevé », « soixante-six », « vingt et un », « cinq cents ».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8A9096"/>
                <w:sz w:val="18"/>
                <w:szCs w:val="18"/>
                <w:lang w:val="fr-FR"/>
              </w:rPr>
              <w:t xml:space="preserve">○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FORME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18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Tableaux 1 et 2</w:t>
            </w:r>
          </w:p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3.1 ; partie 3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Forme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Doublons, mots superflus ou manquants : « de construction de construction » ; « pour les pour les » ; « à nouveau » (en-têtes) ; « couvrir de » ; « taux d’exécution est de » ; « démarré également » ; « en lien le rythme » ; point manquant avant « À partir du 1</w:t>
            </w:r>
            <w:r>
              <w:rPr>
                <w:rFonts w:ascii="Calibri" w:cs="Calibri" w:eastAsia="Calibri" w:hAnsi="Calibri"/>
                <w:color w:val="1F2328"/>
                <w:sz w:val="18"/>
                <w:szCs w:val="18"/>
                <w:vertAlign w:val="superscript"/>
                <w:lang w:val="fr-FR"/>
              </w:rPr>
              <w:t xml:space="preserve">er</w:t>
            </w: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 septembre ».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Supprimer doublons et mots superflus ; lire « en lien avec le rythme » ; rétablir le point.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8A9096"/>
                <w:sz w:val="18"/>
                <w:szCs w:val="18"/>
                <w:lang w:val="fr-FR"/>
              </w:rPr>
              <w:t xml:space="preserve">○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FORME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19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1.1 ; 2.1 ; 3.1</w:t>
            </w:r>
          </w:p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Partie 3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Forme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Écriture des nombres hétérogène : points comme séparateurs de milliers (593.465 ; 1.000.000 ; 1.101.000 ; 1.994…) ; montants sans unité (7,1 et 2,48 milliards) ; « CFA » au lieu de « FCFA » (2,42 milliards ; 464 millions).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Espace comme séparateur de milliers ; « de FCFA » après chaque montant.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8A9096"/>
                <w:sz w:val="18"/>
                <w:szCs w:val="18"/>
                <w:lang w:val="fr-FR"/>
              </w:rPr>
              <w:t xml:space="preserve">○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FORME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20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Tableau 1 ; 3.1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Données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Arrondis non homogènes : taux tronqués (105,01 % pour 105,015 % ; 50,15 % pour 50,155 % ; 92,68 % pour 92,6875 %) ; variations du Tableau 1 non retrouvables à partir des montants affichés (2,91 / 1,88 donne +54,79 %, contre +54,50 % affiché).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Arrondir au plus proche ; préciser en note que les variations portent sur des valeurs non arrondies.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8A9096"/>
                <w:sz w:val="18"/>
                <w:szCs w:val="18"/>
                <w:lang w:val="fr-FR"/>
              </w:rPr>
              <w:t xml:space="preserve">○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FORME</w:t>
            </w:r>
          </w:p>
        </w:tc>
      </w:tr>
      <w:tr>
        <w:trPr>
          <w:cantSplit/>
        </w:trPr>
        <w:tc>
          <w:tcPr>
            <w:tcW w:type="dxa" w:w="76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30"/>
            </w:tcMar>
            <w:vAlign w:val="top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OBS</w:t>
              <w:noBreakHyphen/>
              <w:t xml:space="preserve">21</w:t>
            </w:r>
          </w:p>
        </w:tc>
        <w:tc>
          <w:tcPr>
            <w:tcW w:type="dxa" w:w="136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5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3.1 – Swollen shoot, § 4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3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Formulation</w:t>
            </w:r>
          </w:p>
        </w:tc>
        <w:tc>
          <w:tcPr>
            <w:tcW w:type="dxa" w:w="340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Le total de 195 625,4 ha est donné sans période. Les § 1 et 3 établissent qu’il couvre 2018-2025 (105 015,01 + 90 610,39 ha). « Près de » ne convient pas à un chiffre donné à la décimale.</w:t>
            </w:r>
          </w:p>
        </w:tc>
        <w:tc>
          <w:tcPr>
            <w:tcW w:type="dxa" w:w="221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6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Préciser « sur la période 2018-2025 » (et non 2021-2025) ; supprimer « près de ».</w:t>
            </w:r>
          </w:p>
        </w:tc>
        <w:tc>
          <w:tcPr>
            <w:tcW w:type="dxa" w:w="1049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40"/>
              <w:bottom w:type="dxa" w:w="45"/>
              <w:right w:type="dxa" w:w="40"/>
            </w:tcMar>
            <w:vAlign w:val="top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cs="Arial" w:eastAsia="Arial" w:hAnsi="Arial"/>
                <w:color w:val="8A9096"/>
                <w:sz w:val="18"/>
                <w:szCs w:val="18"/>
                <w:lang w:val="fr-FR"/>
              </w:rPr>
              <w:t xml:space="preserve">○</w:t>
            </w:r>
          </w:p>
          <w:p>
            <w:pPr>
              <w:spacing w:after="0" w:before="10" w:line="252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FORME</w:t>
            </w: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30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Points nécessitant arbitrage</w:t>
      </w:r>
    </w:p>
    <w:p>
      <w:pPr>
        <w:keepNext/>
        <w:spacing w:after="100" w:before="0" w:line="252" w:lineRule="auto"/>
      </w:pPr>
      <w:r>
        <w:rPr>
          <w:rFonts w:ascii="Garamond" w:cs="Garamond" w:eastAsia="Garamond" w:hAnsi="Garamond"/>
          <w:i/>
          <w:iCs/>
          <w:color w:val="4A5058"/>
          <w:sz w:val="21"/>
          <w:szCs w:val="21"/>
          <w:lang w:val="fr-FR"/>
        </w:rPr>
        <w:t xml:space="preserve">Ces points relèvent d’un choix à effectuer et non d’une erreur à corriger.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4"/>
        <w:gridCol w:w="2041"/>
        <w:gridCol w:w="3912"/>
        <w:gridCol w:w="3175"/>
      </w:tblGrid>
      <w:tr>
        <w:trPr>
          <w:cantSplit/>
          <w:tblHeader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3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Réf.</w:t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Sujet</w:t>
            </w:r>
          </w:p>
        </w:tc>
        <w:tc>
          <w:tcPr>
            <w:tcW w:type="dxa" w:w="3912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Problème</w:t>
            </w:r>
          </w:p>
        </w:tc>
        <w:tc>
          <w:tcPr>
            <w:tcW w:type="dxa" w:w="3175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Arbitrage attendu</w:t>
            </w:r>
          </w:p>
        </w:tc>
      </w:tr>
      <w:tr>
        <w:trPr>
          <w:cantSplit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8"/>
                <w:szCs w:val="18"/>
                <w:lang w:val="fr-FR"/>
              </w:rPr>
              <w:t xml:space="preserve">A</w:t>
              <w:noBreakHyphen/>
              <w:t xml:space="preserve">1</w:t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Objectif de traçabilité 2025-2026</w:t>
            </w:r>
          </w:p>
          <w:p>
            <w:pPr>
              <w:spacing w:after="0" w:before="30" w:line="252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Lien : OBS</w:t>
              <w:noBreakHyphen/>
              <w:t xml:space="preserve">04</w:t>
            </w:r>
          </w:p>
        </w:tc>
        <w:tc>
          <w:tcPr>
            <w:tcW w:type="dxa" w:w="391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« Au moins 300 000 t, soit au moins 15 % » : le ratio suppose une production de 2,0 Mt, déjà dépassée au 30 juin 2026 (2 063 070 t ; 300 000 t n’en représentent que 14,5 %).</w:t>
            </w:r>
          </w:p>
        </w:tc>
        <w:tc>
          <w:tcPr>
            <w:tcW w:type="dxa" w:w="317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Retenir l’une des options : recalculer le pourcentage sur la production prévisionnelle de la campagne ; relever l’objectif en volume ; ne conserver que l’objectif en volume.</w:t>
            </w:r>
          </w:p>
        </w:tc>
      </w:tr>
      <w:tr>
        <w:trPr>
          <w:cantSplit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8"/>
                <w:szCs w:val="18"/>
                <w:lang w:val="fr-FR"/>
              </w:rPr>
              <w:t xml:space="preserve">A</w:t>
              <w:noBreakHyphen/>
              <w:t xml:space="preserve">2</w:t>
            </w:r>
          </w:p>
        </w:tc>
        <w:tc>
          <w:tcPr>
            <w:tcW w:type="dxa" w:w="204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8"/>
                <w:szCs w:val="18"/>
                <w:lang w:val="fr-FR"/>
              </w:rPr>
              <w:t xml:space="preserve">Échéances postérieures au 30 juin 2026</w:t>
            </w:r>
          </w:p>
          <w:p>
            <w:pPr>
              <w:spacing w:after="0" w:before="30" w:line="252" w:lineRule="auto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  <w:lang w:val="fr-FR"/>
              </w:rPr>
              <w:t xml:space="preserve">Lien : 3.1 ; partie 3 ; introduction</w:t>
            </w:r>
          </w:p>
        </w:tc>
        <w:tc>
          <w:tcPr>
            <w:tcW w:type="dxa" w:w="3912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Le texte présente au futur des échéances aujourd’hui passées : fin de la campagne intermédiaire (31 août 2026), ouverture de la campagne 2026-2027 et digitalisation des achats bord champ (1</w:t>
            </w:r>
            <w:r>
              <w:rPr>
                <w:rFonts w:ascii="Calibri" w:cs="Calibri" w:eastAsia="Calibri" w:hAnsi="Calibri"/>
                <w:color w:val="1F2328"/>
                <w:sz w:val="18"/>
                <w:szCs w:val="18"/>
                <w:vertAlign w:val="superscript"/>
                <w:lang w:val="fr-FR"/>
              </w:rPr>
              <w:t xml:space="preserve">er</w:t>
            </w: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 septembre 2026), travaux d’électrification (juillet 2026), objectif SNT (30 septembre 2026).</w:t>
            </w:r>
          </w:p>
        </w:tc>
        <w:tc>
          <w:tcPr>
            <w:tcW w:type="dxa" w:w="3175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Maintenir la rédaction arrêtée au 30 juin 2026, en le précisant, ou actualiser ces passages à la date de présentation en Conseil des Ministres.</w:t>
            </w: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30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Vérifications à effectuer</w:t>
      </w:r>
    </w:p>
    <w:p>
      <w:pPr>
        <w:keepNext/>
        <w:spacing w:after="100" w:before="0" w:line="252" w:lineRule="auto"/>
      </w:pPr>
      <w:r>
        <w:rPr>
          <w:rFonts w:ascii="Garamond" w:cs="Garamond" w:eastAsia="Garamond" w:hAnsi="Garamond"/>
          <w:i/>
          <w:iCs/>
          <w:color w:val="4A5058"/>
          <w:sz w:val="21"/>
          <w:szCs w:val="21"/>
          <w:lang w:val="fr-FR"/>
        </w:rPr>
        <w:t xml:space="preserve">Informations qui n’ont pas pu être confirmées avec les pièces disponibles ; elles ne sont pas réputées erronées.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4"/>
        <w:gridCol w:w="7881"/>
        <w:gridCol w:w="1247"/>
      </w:tblGrid>
      <w:tr>
        <w:trPr>
          <w:cantSplit/>
          <w:tblHeader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3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Réf.</w:t>
            </w:r>
          </w:p>
        </w:tc>
        <w:tc>
          <w:tcPr>
            <w:tcW w:type="dxa" w:w="7881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Vérification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1B7A4C" w:sz="8"/>
              <w:right w:val="none" w:color="FFFFFF" w:sz="0"/>
            </w:tcBorders>
            <w:tcMar>
              <w:top w:type="dxa" w:w="40"/>
              <w:left w:type="dxa" w:w="80"/>
              <w:bottom w:type="dxa" w:w="60"/>
              <w:right w:type="dxa" w:w="80"/>
            </w:tcMar>
            <w:vAlign w:val="bottom"/>
          </w:tcPr>
          <w:p>
            <w:pPr>
              <w:spacing w:after="0" w:before="0" w:line="252" w:lineRule="auto"/>
            </w:pPr>
            <w:r>
              <w:rPr>
                <w:rFonts w:ascii="Calibri" w:cs="Calibri" w:eastAsia="Calibri" w:hAnsi="Calibri"/>
                <w:b/>
                <w:bCs/>
                <w:caps/>
                <w:color w:val="4A5058"/>
                <w:spacing w:val="20"/>
                <w:sz w:val="14"/>
                <w:szCs w:val="14"/>
                <w:lang w:val="fr-FR"/>
              </w:rPr>
              <w:t xml:space="preserve">Lien</w:t>
            </w:r>
          </w:p>
        </w:tc>
      </w:tr>
      <w:tr>
        <w:trPr>
          <w:cantSplit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8"/>
                <w:szCs w:val="18"/>
                <w:lang w:val="fr-FR"/>
              </w:rPr>
              <w:t xml:space="preserve">V</w:t>
              <w:noBreakHyphen/>
              <w:t xml:space="preserve">1</w:t>
            </w:r>
          </w:p>
        </w:tc>
        <w:tc>
          <w:tcPr>
            <w:tcW w:type="dxa" w:w="788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Confirmer auprès du Conseil du Café-Cacao le revenu brut des producteurs de cacao de janvier à juin 2026 et sa variation, à partir des volumes et prix sources.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OBS</w:t>
              <w:noBreakHyphen/>
              <w:t xml:space="preserve">01</w:t>
            </w:r>
          </w:p>
        </w:tc>
      </w:tr>
      <w:tr>
        <w:trPr>
          <w:cantSplit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8"/>
                <w:szCs w:val="18"/>
                <w:lang w:val="fr-FR"/>
              </w:rPr>
              <w:t xml:space="preserve">V</w:t>
              <w:noBreakHyphen/>
              <w:t xml:space="preserve">2</w:t>
            </w:r>
          </w:p>
        </w:tc>
        <w:tc>
          <w:tcPr>
            <w:tcW w:type="dxa" w:w="788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Obtenir du Conseil du Café-Cacao l’explication de l’écart entre pompes posées (1 994) et forages réalisés (1 737) sur 2012-2026, ou les valeurs corrigées.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OBS</w:t>
              <w:noBreakHyphen/>
              <w:t xml:space="preserve">06</w:t>
            </w:r>
          </w:p>
        </w:tc>
      </w:tr>
      <w:tr>
        <w:trPr>
          <w:cantSplit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8"/>
                <w:szCs w:val="18"/>
                <w:lang w:val="fr-FR"/>
              </w:rPr>
              <w:t xml:space="preserve">V</w:t>
              <w:noBreakHyphen/>
              <w:t xml:space="preserve">3</w:t>
            </w:r>
          </w:p>
        </w:tc>
        <w:tc>
          <w:tcPr>
            <w:tcW w:type="dxa" w:w="788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Confirmer les cumuls 2012-2026 des classes, logements de maîtres et cantines (413, 372 et 79) au 30 juin 2026.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OBS</w:t>
              <w:noBreakHyphen/>
              <w:t xml:space="preserve">05</w:t>
            </w:r>
          </w:p>
        </w:tc>
      </w:tr>
      <w:tr>
        <w:trPr>
          <w:cantSplit/>
        </w:trPr>
        <w:tc>
          <w:tcPr>
            <w:tcW w:type="dxa" w:w="794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3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b/>
                <w:bCs/>
                <w:color w:val="1B7A4C"/>
                <w:sz w:val="18"/>
                <w:szCs w:val="18"/>
                <w:lang w:val="fr-FR"/>
              </w:rPr>
              <w:t xml:space="preserve">V</w:t>
              <w:noBreakHyphen/>
              <w:t xml:space="preserve">4</w:t>
            </w:r>
          </w:p>
        </w:tc>
        <w:tc>
          <w:tcPr>
            <w:tcW w:type="dxa" w:w="7881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1F2328"/>
                <w:sz w:val="18"/>
                <w:szCs w:val="18"/>
                <w:lang w:val="fr-FR"/>
              </w:rPr>
              <w:t xml:space="preserve">Confirmer la correspondance entre fonds, programmes et intitulés de comptes (FIA, Fonds de la relance caféière, Programme 2QC).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E3E6E9" w:sz="4"/>
              <w:right w:val="none" w:color="FFFFFF" w:sz="0"/>
            </w:tcBorders>
            <w:tcMar>
              <w:top w:type="dxa" w:w="45"/>
              <w:left w:type="dxa" w:w="80"/>
              <w:bottom w:type="dxa" w:w="45"/>
              <w:right w:type="dxa" w:w="80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Calibri" w:cs="Calibri" w:eastAsia="Calibri" w:hAnsi="Calibri"/>
                <w:color w:val="4A5058"/>
                <w:sz w:val="18"/>
                <w:szCs w:val="18"/>
                <w:lang w:val="fr-FR"/>
              </w:rPr>
              <w:t xml:space="preserve">OBS</w:t>
              <w:noBreakHyphen/>
              <w:t xml:space="preserve">09</w:t>
            </w:r>
          </w:p>
        </w:tc>
      </w:tr>
    </w:tbl>
    <w:p>
      <w:pPr>
        <w:pStyle w:val="Heading1"/>
        <w:keepNext/>
        <w:keepLines/>
        <w:pBdr>
          <w:left w:val="single" w:color="D9730D" w:sz="18" w:space="5"/>
        </w:pBdr>
        <w:spacing w:after="100" w:before="300" w:line="252" w:lineRule="auto"/>
        <w:ind w:left="130"/>
      </w:pPr>
      <w:r>
        <w:rPr>
          <w:rFonts w:ascii="Calibri" w:cs="Calibri" w:eastAsia="Calibri" w:hAnsi="Calibri"/>
          <w:b/>
          <w:bCs/>
          <w:caps/>
          <w:color w:val="1B7A4C"/>
          <w:spacing w:val="24"/>
          <w:sz w:val="18"/>
          <w:szCs w:val="18"/>
          <w:lang w:val="fr-FR"/>
        </w:rPr>
        <w:t xml:space="preserve">Suite à donner</w:t>
      </w:r>
    </w:p>
    <w:tbl>
      <w:tblPr>
        <w:tblW w:type="dxa" w:w="992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22"/>
      </w:tblGrid>
      <w:tr>
        <w:trPr>
          <w:cantSplit/>
        </w:trPr>
        <w:tc>
          <w:tcPr>
            <w:tcW w:type="dxa" w:w="9922"/>
            <w:tcBorders>
              <w:top w:val="none" w:color="FFFFFF" w:sz="0"/>
              <w:left w:val="single" w:color="1B7A4C" w:sz="24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130"/>
              <w:left w:type="dxa" w:w="230"/>
              <w:bottom w:type="dxa" w:w="130"/>
              <w:right w:type="dxa" w:w="20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Garamond" w:cs="Garamond" w:eastAsia="Garamond" w:hAnsi="Garamond"/>
                <w:color w:val="1F2328"/>
                <w:sz w:val="22"/>
                <w:szCs w:val="22"/>
                <w:lang w:val="fr-FR"/>
              </w:rPr>
              <w:t xml:space="preserve">Il est proposé de retourner le projet de communication à la structure émettrice pour prise en compte des observations ci-dessus avant toute transmission. Le point critique OBS</w:t>
              <w:noBreakHyphen/>
              <w:t xml:space="preserve">01 doit être levé en priorité, sur la base des données du Conseil du Café-Cacao. Les arbitrages A</w:t>
              <w:noBreakHyphen/>
              <w:t xml:space="preserve">1 et A</w:t>
              <w:noBreakHyphen/>
              <w:t xml:space="preserve">2 sont à soumettre à la validation du Cabinet. La version corrigée pourra être accompagnée de la fiche de suivi des corrections dûment renseignée.</w:t>
            </w:r>
          </w:p>
        </w:tc>
      </w:tr>
    </w:tbl>
    <w:sectPr>
      <w:footerReference w:type="default" r:id="rId7"/>
      <w:pgSz w:w="11906" w:h="16838" w:orient="portrait"/>
      <w:pgMar w:top="851" w:right="992" w:bottom="1020" w:left="992" w:header="454" w:footer="48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DePageCabinet"/>
      <w:pBdr>
        <w:top w:val="single" w:color="C9CDD2" w:sz="4" w:space="6"/>
      </w:pBdr>
      <w:tabs>
        <w:tab w:val="right" w:pos="9922"/>
      </w:tabs>
      <w:spacing w:after="0" w:before="0" w:line="252" w:lineRule="auto"/>
    </w:pPr>
    <w:r>
      <w:rPr>
        <w:rFonts w:ascii="Calibri" w:cs="Calibri" w:eastAsia="Calibri" w:hAnsi="Calibri"/>
        <w:color w:val="6B7280"/>
        <w:sz w:val="14"/>
        <w:szCs w:val="14"/>
        <w:lang w:val="fr-FR"/>
      </w:rPr>
      <w:t xml:space="preserve">Cabinet du Ministre  ·  Fiche de revue documentaire  ·  CCM café-cacao au 30 juin 2026</w:t>
    </w:r>
    <w:r>
      <w:rPr>
        <w:rFonts w:ascii="Calibri" w:cs="Calibri" w:eastAsia="Calibri" w:hAnsi="Calibri"/>
        <w:sz w:val="14"/>
        <w:szCs w:val="14"/>
      </w:rPr>
      <w:tab/>
    </w:r>
    <w:r>
      <w:rPr>
        <w:rFonts w:ascii="Calibri" w:cs="Calibri" w:eastAsia="Calibri" w:hAnsi="Calibri"/>
        <w:color w:val="6B7280"/>
        <w:sz w:val="14"/>
        <w:szCs w:val="14"/>
        <w:lang w:val="fr-FR"/>
      </w:rPr>
      <w:t xml:space="preserve">1</w:t>
    </w:r>
    <w:r>
      <w:rPr>
        <w:rFonts w:ascii="Calibri" w:cs="Calibri" w:eastAsia="Calibri" w:hAnsi="Calibri"/>
        <w:color w:val="6B7280"/>
        <w:sz w:val="14"/>
        <w:szCs w:val="14"/>
        <w:vertAlign w:val="superscript"/>
        <w:lang w:val="fr-FR"/>
      </w:rPr>
      <w:t xml:space="preserve">er</w:t>
    </w:r>
    <w:r>
      <w:rPr>
        <w:rFonts w:ascii="Calibri" w:cs="Calibri" w:eastAsia="Calibri" w:hAnsi="Calibri"/>
        <w:color w:val="6B7280"/>
        <w:sz w:val="14"/>
        <w:szCs w:val="14"/>
        <w:lang w:val="fr-FR"/>
      </w:rPr>
      <w:t xml:space="preserve"> octobre 2026  ·  </w:t>
    </w:r>
    <w:r>
      <w:rPr>
        <w:rFonts w:ascii="Calibri" w:cs="Calibri" w:eastAsia="Calibri" w:hAnsi="Calibri"/>
        <w:color w:val="4A5058"/>
        <w:sz w:val="14"/>
        <w:szCs w:val="14"/>
        <w:lang w:val="fr-FR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F2328"/>
        <w:sz w:val="22"/>
        <w:szCs w:val="22"/>
        <w:lang w:val="fr-FR"/>
      </w:rPr>
    </w:rPrDefault>
    <w:pPrDefault>
      <w:pPr>
        <w:spacing w:after="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50"/>
      <w:outlineLvl w:val="0"/>
    </w:pPr>
    <w:rPr>
      <w:rFonts w:ascii="Calibri" w:cs="Calibri" w:eastAsia="Calibri" w:hAnsi="Calibri"/>
      <w:b/>
      <w:bCs/>
      <w:color w:val="1B7A4C"/>
      <w:sz w:val="18"/>
      <w:szCs w:val="18"/>
    </w:rPr>
  </w:style>
  <w:style w:type="paragraph" w:styleId="PiedDePageCabinet">
    <w:name w:val="Pied de page Cabinet"/>
    <w:basedOn w:val="Normal"/>
    <w:qFormat/>
    <w:rPr>
      <w:rFonts w:ascii="Calibri" w:cs="Calibri" w:eastAsia="Calibri" w:hAnsi="Calibri"/>
      <w:color w:val="4A5058"/>
      <w:sz w:val="14"/>
      <w:szCs w:val="1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d35b96083e71235bdb1e77794537f25c579b4e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revue documentaire – CCM café-cacao au 30 juin 2026</dc:title>
  <dc:subject>Revue et sécurisation de la Communication en Conseil des Ministres sur les redevances café-cacao au 30 juin 2026</dc:subject>
  <dc:creator>Cabinet du Ministre – MINADER</dc:creator>
  <cp:keywords>revue documentaire, Cabinet, MINADER, café-cacao, redevances, Conseil des Ministres</cp:keywords>
  <dc:description>Revue et sécurisation de la Communication en Conseil des Ministres sur les redevances café-cacao au 30 juin 2026</dc:description>
  <cp:lastModifiedBy>Cabinet du Ministre – MINADER</cp:lastModifiedBy>
  <cp:revision>1</cp:revision>
  <dcterms:created xsi:type="dcterms:W3CDTF">2026-10-01T00:21:09.709Z</dcterms:created>
  <dcterms:modified xsi:type="dcterms:W3CDTF">2026-10-01T00:21:09.709Z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