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val="0"/>
          <w:i w:val="0"/>
          <w:color w:val="52514E"/>
          <w:sz w:val="14"/>
        </w:rPr>
        <w:t>NOTE AU MINISTRE  •  Cellule d'études  •  1er octobre 2026  •  Diffusion restreinte</w:t>
      </w:r>
    </w:p>
    <w:p>
      <w:pPr>
        <w:spacing w:after="0"/>
      </w:pPr>
      <w:r>
        <w:rPr>
          <w:b/>
          <w:i w:val="0"/>
          <w:color w:val="1F4E3D"/>
          <w:sz w:val="28"/>
        </w:rPr>
        <w:t>LES FILIÈRES AGRICOLES IVOIRIENNES RÉSISTENT-ELLES AUX CHOCS INTERNATIONAUX ?</w:t>
      </w:r>
    </w:p>
    <w:p>
      <w:pPr>
        <w:spacing w:after="80"/>
      </w:pPr>
      <w:r>
        <w:rPr>
          <w:b w:val="0"/>
          <w:i/>
          <w:sz w:val="20"/>
        </w:rPr>
        <w:t>Benchmark international de la résilience des prix et des revenus agricoles</w:t>
      </w:r>
    </w:p>
    <w:tbl>
      <w:tblPr>
        <w:tblW w:type="auto" w:w="0"/>
        <w:jc w:val="center"/>
        <w:tblLook w:firstColumn="1" w:firstRow="1" w:lastColumn="0" w:lastRow="0" w:noHBand="0" w:noVBand="1" w:val="04A0"/>
        <w:tblCellMar>
          <w:top w:w="85" w:type="dxa"/>
          <w:left w:w="85" w:type="dxa"/>
          <w:bottom w:w="85" w:type="dxa"/>
          <w:right w:w="85" w:type="dxa"/>
        </w:tblCellMar>
      </w:tblPr>
      <w:tblGrid>
        <w:gridCol w:w="10206"/>
      </w:tblGrid>
      <w:tr>
        <w:tc>
          <w:tcPr>
            <w:tcW w:type="dxa" w:w="10205"/>
            <w:shd w:val="clear" w:color="auto" w:fill="EAF2EE"/>
          </w:tcPr>
          <w:p>
            <w:pPr>
              <w:spacing w:after="30"/>
            </w:pPr>
            <w:r>
              <w:rPr>
                <w:b/>
                <w:i w:val="0"/>
                <w:sz w:val="15"/>
              </w:rPr>
              <w:t>Question.</w:t>
            </w:r>
            <w:r>
              <w:rPr>
                <w:b w:val="0"/>
                <w:i w:val="0"/>
                <w:sz w:val="15"/>
              </w:rPr>
              <w:t xml:space="preserve"> Les grandes filières ivoiriennes sont-elles assez résilientes face aux chocs de prix mondiaux, et comment leur capacité d'absorption se compare-t-elle à celle des pays concurrents ?</w:t>
            </w:r>
          </w:p>
          <w:p>
            <w:pPr>
              <w:spacing w:after="30"/>
            </w:pPr>
            <w:r>
              <w:rPr>
                <w:b/>
                <w:i w:val="0"/>
                <w:sz w:val="15"/>
              </w:rPr>
              <w:t>Résilience</w:t>
            </w:r>
            <w:r>
              <w:rPr>
                <w:b w:val="0"/>
                <w:i w:val="0"/>
                <w:sz w:val="15"/>
              </w:rPr>
              <w:t xml:space="preserve"> = capacité d'une filière à absorber un choc international défavorable, à en limiter l'effet sur les producteurs, puis à revenir à une trajectoire soutenable </w:t>
            </w:r>
            <w:r>
              <w:rPr>
                <w:b/>
                <w:i w:val="0"/>
                <w:sz w:val="15"/>
              </w:rPr>
              <w:t>sans déséquilibre financier excessif</w:t>
            </w:r>
            <w:r>
              <w:rPr>
                <w:b w:val="0"/>
                <w:i w:val="0"/>
                <w:sz w:val="15"/>
              </w:rPr>
              <w:t xml:space="preserve">. Elle est mesurée selon 5 dimensions : </w:t>
            </w:r>
            <w:r>
              <w:rPr>
                <w:b/>
                <w:i w:val="0"/>
                <w:sz w:val="15"/>
              </w:rPr>
              <w:t>exposition</w:t>
            </w:r>
            <w:r>
              <w:rPr>
                <w:b w:val="0"/>
                <w:i w:val="0"/>
                <w:sz w:val="15"/>
              </w:rPr>
              <w:t xml:space="preserve">, </w:t>
            </w:r>
            <w:r>
              <w:rPr>
                <w:b/>
                <w:i w:val="0"/>
                <w:sz w:val="15"/>
              </w:rPr>
              <w:t>transmission</w:t>
            </w:r>
            <w:r>
              <w:rPr>
                <w:b w:val="0"/>
                <w:i w:val="0"/>
                <w:sz w:val="15"/>
              </w:rPr>
              <w:t xml:space="preserve"> (variation du prix producteur ÷ variation du prix mondial), </w:t>
            </w:r>
            <w:r>
              <w:rPr>
                <w:b/>
                <w:i w:val="0"/>
                <w:sz w:val="15"/>
              </w:rPr>
              <w:t>absorption</w:t>
            </w:r>
            <w:r>
              <w:rPr>
                <w:b w:val="0"/>
                <w:i w:val="0"/>
                <w:sz w:val="15"/>
              </w:rPr>
              <w:t xml:space="preserve"> (1 − transmission, et qui paie), </w:t>
            </w:r>
            <w:r>
              <w:rPr>
                <w:b/>
                <w:i w:val="0"/>
                <w:sz w:val="15"/>
              </w:rPr>
              <w:t>récupération</w:t>
            </w:r>
            <w:r>
              <w:rPr>
                <w:b w:val="0"/>
                <w:i w:val="0"/>
                <w:sz w:val="15"/>
              </w:rPr>
              <w:t xml:space="preserve"> (délai de retour au niveau pré-choc), </w:t>
            </w:r>
            <w:r>
              <w:rPr>
                <w:b/>
                <w:i w:val="0"/>
                <w:sz w:val="15"/>
              </w:rPr>
              <w:t>soutenabilité</w:t>
            </w:r>
            <w:r>
              <w:rPr>
                <w:b w:val="0"/>
                <w:i w:val="0"/>
                <w:sz w:val="15"/>
              </w:rPr>
              <w:t xml:space="preserve"> (coût et financement). </w:t>
            </w:r>
            <w:r>
              <w:rPr>
                <w:b/>
                <w:i w:val="0"/>
                <w:sz w:val="15"/>
              </w:rPr>
              <w:t>Un prix stable n'est pas un prix résilient</w:t>
            </w:r>
            <w:r>
              <w:rPr>
                <w:b w:val="0"/>
                <w:i w:val="0"/>
                <w:sz w:val="15"/>
              </w:rPr>
              <w:t xml:space="preserve"> : il peut cacher une dette, une subvention ou un simple retard.</w:t>
            </w:r>
          </w:p>
        </w:tc>
      </w:tr>
    </w:tbl>
    <w:p>
      <w:pPr>
        <w:spacing w:after="0"/>
      </w:pPr>
    </w:p>
    <w:p>
      <w:pPr>
        <w:pStyle w:val="Heading2"/>
      </w:pPr>
      <w:r>
        <w:t>Six constats majeurs</w:t>
      </w:r>
    </w:p>
    <w:p>
      <w:pPr>
        <w:pStyle w:val="ListNumber"/>
        <w:spacing w:after="30"/>
        <w:ind w:left="255"/>
      </w:pPr>
      <w:r>
        <w:rPr>
          <w:b/>
          <w:i w:val="0"/>
          <w:sz w:val="15"/>
        </w:rPr>
        <w:t>Le cacao retarde le choc plus qu'il ne l'amortit.</w:t>
      </w:r>
      <w:r>
        <w:rPr>
          <w:b w:val="0"/>
          <w:i w:val="0"/>
          <w:sz w:val="15"/>
        </w:rPr>
        <w:t xml:space="preserve"> Les ventes anticipées protègent le producteur pendant la campagne (transmission ≈ 0,2 sur le prix moyen de campagne), mais le choc est presque intégralement répercuté à la campagne suivante : transmission de </w:t>
      </w:r>
      <w:r>
        <w:rPr>
          <w:b/>
          <w:i w:val="0"/>
          <w:sz w:val="15"/>
        </w:rPr>
        <w:t>1,11</w:t>
      </w:r>
      <w:r>
        <w:rPr>
          <w:b w:val="0"/>
          <w:i w:val="0"/>
          <w:sz w:val="15"/>
        </w:rPr>
        <w:t xml:space="preserve"> en 2016-17 (délai 8 mois) et de </w:t>
      </w:r>
      <w:r>
        <w:rPr>
          <w:b/>
          <w:i w:val="0"/>
          <w:sz w:val="15"/>
        </w:rPr>
        <w:t>0,88</w:t>
      </w:r>
      <w:r>
        <w:rPr>
          <w:b w:val="0"/>
          <w:i w:val="0"/>
          <w:sz w:val="15"/>
        </w:rPr>
        <w:t xml:space="preserve"> en 2025-26.</w:t>
      </w:r>
    </w:p>
    <w:p>
      <w:pPr>
        <w:pStyle w:val="ListNumber"/>
        <w:spacing w:after="30"/>
        <w:ind w:left="255"/>
      </w:pPr>
      <w:r>
        <w:rPr>
          <w:b/>
          <w:i w:val="0"/>
          <w:sz w:val="15"/>
        </w:rPr>
        <w:t>Le dispositif cacao n'a pas résisté au retournement de 2025-26.</w:t>
      </w:r>
      <w:r>
        <w:rPr>
          <w:b w:val="0"/>
          <w:i w:val="0"/>
          <w:sz w:val="15"/>
        </w:rPr>
        <w:t xml:space="preserve"> Le prix mondial a chuté de 64 % (en USD) ; le prix bord champ est passé de 2 800 à 1 200 FCFA/kg (−57 %). Environ 200 000 t d'invendus ont été rachetées par l'État : coût estimé à </w:t>
      </w:r>
      <w:r>
        <w:rPr>
          <w:b/>
          <w:i w:val="0"/>
          <w:sz w:val="15"/>
        </w:rPr>
        <w:t>~240 Mds FCFA</w:t>
      </w:r>
      <w:r>
        <w:rPr>
          <w:b w:val="0"/>
          <w:i w:val="0"/>
          <w:sz w:val="15"/>
        </w:rPr>
        <w:t xml:space="preserve">. La recette des planteurs baisse d'environ </w:t>
      </w:r>
      <w:r>
        <w:rPr>
          <w:b/>
          <w:i w:val="0"/>
          <w:sz w:val="15"/>
        </w:rPr>
        <w:t>2 400 Mds FCFA</w:t>
      </w:r>
      <w:r>
        <w:rPr>
          <w:b w:val="0"/>
          <w:i w:val="0"/>
          <w:sz w:val="15"/>
        </w:rPr>
        <w:t xml:space="preserve"> en 2026/27.</w:t>
      </w:r>
    </w:p>
    <w:p>
      <w:pPr>
        <w:pStyle w:val="ListNumber"/>
        <w:spacing w:after="30"/>
        <w:ind w:left="255"/>
      </w:pPr>
      <w:r>
        <w:rPr>
          <w:b/>
          <w:i w:val="0"/>
          <w:sz w:val="15"/>
        </w:rPr>
        <w:t>Les hausses sont mal transmises et ne sont pas épargnées.</w:t>
      </w:r>
      <w:r>
        <w:rPr>
          <w:b w:val="0"/>
          <w:i w:val="0"/>
          <w:sz w:val="15"/>
        </w:rPr>
        <w:t xml:space="preserve"> Pendant l'envolée de 2023-25, la transmission des hausses a été de </w:t>
      </w:r>
      <w:r>
        <w:rPr>
          <w:b/>
          <w:i w:val="0"/>
          <w:sz w:val="15"/>
        </w:rPr>
        <w:t>0,57</w:t>
      </w:r>
      <w:r>
        <w:rPr>
          <w:b w:val="0"/>
          <w:i w:val="0"/>
          <w:sz w:val="15"/>
        </w:rPr>
        <w:t xml:space="preserve"> en Côte d'Ivoire, contre 0,97 au Ghana et 1,34 au Cameroun. Pour le coton en 2021-22, elle a été de </w:t>
      </w:r>
      <w:r>
        <w:rPr>
          <w:b/>
          <w:i w:val="0"/>
          <w:sz w:val="15"/>
        </w:rPr>
        <w:t>0,00</w:t>
      </w:r>
      <w:r>
        <w:rPr>
          <w:b w:val="0"/>
          <w:i w:val="0"/>
          <w:sz w:val="15"/>
        </w:rPr>
        <w:t xml:space="preserve"> alors que les cours progressaient de 81 %. La filière renonce aux gains des années fastes sans les mettre en réserve pour les années de crise.</w:t>
      </w:r>
    </w:p>
    <w:p>
      <w:pPr>
        <w:pStyle w:val="ListNumber"/>
        <w:spacing w:after="30"/>
        <w:ind w:left="255"/>
      </w:pPr>
      <w:r>
        <w:rPr>
          <w:b/>
          <w:i w:val="0"/>
          <w:sz w:val="15"/>
        </w:rPr>
        <w:t>Anacarde, hévéa et palmier : aucun amortisseur.</w:t>
      </w:r>
      <w:r>
        <w:rPr>
          <w:b w:val="0"/>
          <w:i w:val="0"/>
          <w:sz w:val="15"/>
        </w:rPr>
        <w:t xml:space="preserve"> Les producteurs portent 100 % du choc. La transmission a été de 1,40 pour l'anacarde en 2018-19 et de 1,17 pour l'hévéa en 2011-16 ; le prix de l'hévéa n'a jamais retrouvé son niveau de 2011. Ce sont les filières dont la recette baisse le plus en cas de choc de −30 %.</w:t>
      </w:r>
    </w:p>
    <w:p>
      <w:pPr>
        <w:pStyle w:val="ListNumber"/>
        <w:spacing w:after="30"/>
        <w:ind w:left="255"/>
      </w:pPr>
      <w:r>
        <w:rPr>
          <w:b/>
          <w:i w:val="0"/>
          <w:sz w:val="15"/>
        </w:rPr>
        <w:t>Un prix protégé ne garantit pas la recette.</w:t>
      </w:r>
      <w:r>
        <w:rPr>
          <w:b w:val="0"/>
          <w:i w:val="0"/>
          <w:sz w:val="15"/>
        </w:rPr>
        <w:t xml:space="preserve"> Coton 2022/23 : prix maintenu, production en baisse de 58 % (jassides), recette des producteurs −56 %. 99 % de la variabilité de la recette cotonnière vient des volumes et non du prix.</w:t>
      </w:r>
    </w:p>
    <w:p>
      <w:pPr>
        <w:pStyle w:val="ListNumber"/>
        <w:spacing w:after="30"/>
        <w:ind w:left="255"/>
      </w:pPr>
      <w:r>
        <w:rPr>
          <w:b/>
          <w:i w:val="0"/>
          <w:sz w:val="15"/>
        </w:rPr>
        <w:t>À l'étranger, les dispositifs qui tiennent sont pilotés par une règle.</w:t>
      </w:r>
      <w:r>
        <w:rPr>
          <w:b w:val="0"/>
          <w:i w:val="0"/>
          <w:sz w:val="15"/>
        </w:rPr>
        <w:t xml:space="preserve"> Ils combinent une réserve constituée en haut de cycle (fonds de lissage du Burkina Faso, prélèvement progressif en Indonésie), un déclenchement automatique et plafonné (IPG en Malaisie) et une règle de partage connue d'avance (Ghana, Act 2026 : ≥ 70 % du FOB). La stabilisation financée par la dette (Cocobod) et les ajustements brutaux (Mali, coton 2020 : production −80 %) échouent.</w:t>
      </w:r>
    </w:p>
    <w:p>
      <w:pPr>
        <w:pStyle w:val="Heading2"/>
      </w:pPr>
      <w:r>
        <w:t>Principaux chocs identifiés (seuil : baisse ≥ 15 % ; sensibilité à 20 % en annexe)</w:t>
      </w:r>
    </w:p>
    <w:p>
      <w:pPr>
        <w:spacing w:after="40"/>
      </w:pPr>
      <w:r>
        <w:rPr>
          <w:b w:val="0"/>
          <w:i w:val="0"/>
          <w:sz w:val="15"/>
        </w:rPr>
        <w:t>Hévéa 2011-16 (−70 % en USD) • Cacao 2016-17 (−36 %) • Anacarde 2018-19 (−32 %) • Coton COVID 2020 (−17 %) • Huile de palme 2022 (−50 %) • Riz importé 2023 (+28 %, choc consommateur) • Envolée cacao et café 2023-25 (+191 % et +113 %) • Retournement du cacao 2025-26 (−64 %).</w:t>
      </w:r>
    </w:p>
    <w:p>
      <w:pPr>
        <w:spacing w:after="0"/>
        <w:jc w:val="center"/>
      </w:pPr>
      <w:r>
        <w:drawing>
          <wp:inline xmlns:a="http://schemas.openxmlformats.org/drawingml/2006/main" xmlns:pic="http://schemas.openxmlformats.org/drawingml/2006/picture">
            <wp:extent cx="3671999" cy="2409861"/>
            <wp:docPr id="1" name="Picture 1"/>
            <wp:cNvGraphicFramePr>
              <a:graphicFrameLocks noChangeAspect="1"/>
            </wp:cNvGraphicFramePr>
            <a:graphic>
              <a:graphicData uri="http://schemas.openxmlformats.org/drawingml/2006/picture">
                <pic:pic>
                  <pic:nvPicPr>
                    <pic:cNvPr id="0" name="G1_choc_int_vs_producteur.png"/>
                    <pic:cNvPicPr/>
                  </pic:nvPicPr>
                  <pic:blipFill>
                    <a:blip r:embed="rId10"/>
                    <a:stretch>
                      <a:fillRect/>
                    </a:stretch>
                  </pic:blipFill>
                  <pic:spPr>
                    <a:xfrm>
                      <a:off x="0" y="0"/>
                      <a:ext cx="3671999" cy="2409861"/>
                    </a:xfrm>
                    <a:prstGeom prst="rect"/>
                  </pic:spPr>
                </pic:pic>
              </a:graphicData>
            </a:graphic>
          </wp:inline>
        </w:drawing>
      </w:r>
    </w:p>
    <w:p>
      <w:pPr>
        <w:spacing w:after="40"/>
      </w:pPr>
      <w:r>
        <w:rPr>
          <w:b w:val="0"/>
          <w:i/>
          <w:color w:val="52514E"/>
          <w:sz w:val="13"/>
        </w:rPr>
        <w:t>Lecture : un point situé sous la diagonale signale un choc amorti. La plupart des épisodes ivoiriens sont sur la diagonale ou au-dessus (transmission ≥ 1, prix producteur mesuré après ajustement). Source : base Excel, onglet EPISODES.</w:t>
      </w:r>
    </w:p>
    <w:p>
      <w:r>
        <w:br w:type="page"/>
      </w:r>
    </w:p>
    <w:p>
      <w:pPr>
        <w:pStyle w:val="Heading1"/>
      </w:pPr>
      <w:r>
        <w:t>1. Carte de vulnérabilité des filières : le même choc n'a pas le même effet</w:t>
      </w:r>
    </w:p>
    <w:p>
      <w:pPr>
        <w:spacing w:after="40"/>
      </w:pPr>
      <w:r>
        <w:rPr>
          <w:b w:val="0"/>
          <w:i/>
          <w:sz w:val="15"/>
        </w:rPr>
        <w:t>Indicateurs observés (onglets EPISODES, INDICATEURS, STRESS_TEST). Aucune note synthétique n'est attribuée : les colonnes décrivent des faits mesurés.</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907"/>
        <w:gridCol w:w="1530"/>
        <w:gridCol w:w="1474"/>
        <w:gridCol w:w="1644"/>
        <w:gridCol w:w="1360"/>
        <w:gridCol w:w="1134"/>
        <w:gridCol w:w="2154"/>
      </w:tblGrid>
      <w:tr>
        <w:tc>
          <w:tcPr>
            <w:tcW w:type="dxa" w:w="907"/>
            <w:shd w:val="clear" w:color="auto" w:fill="1F4E3D"/>
          </w:tcPr>
          <w:p>
            <w:pPr>
              <w:spacing w:after="0"/>
            </w:pPr>
            <w:r>
              <w:rPr>
                <w:b/>
                <w:i w:val="0"/>
                <w:color w:val="FFFFFF"/>
                <w:sz w:val="13"/>
              </w:rPr>
              <w:t>Filière</w:t>
            </w:r>
          </w:p>
        </w:tc>
        <w:tc>
          <w:tcPr>
            <w:tcW w:type="dxa" w:w="1531"/>
            <w:shd w:val="clear" w:color="auto" w:fill="1F4E3D"/>
          </w:tcPr>
          <w:p>
            <w:pPr>
              <w:spacing w:after="0"/>
            </w:pPr>
            <w:r>
              <w:rPr>
                <w:b/>
                <w:i w:val="0"/>
                <w:color w:val="FFFFFF"/>
                <w:sz w:val="13"/>
              </w:rPr>
              <w:t>Exposition</w:t>
            </w:r>
          </w:p>
        </w:tc>
        <w:tc>
          <w:tcPr>
            <w:tcW w:type="dxa" w:w="1474"/>
            <w:shd w:val="clear" w:color="auto" w:fill="1F4E3D"/>
          </w:tcPr>
          <w:p>
            <w:pPr>
              <w:spacing w:after="0"/>
            </w:pPr>
            <w:r>
              <w:rPr>
                <w:b/>
                <w:i w:val="0"/>
                <w:color w:val="FFFFFF"/>
                <w:sz w:val="13"/>
              </w:rPr>
              <w:t>Transmission des baisses (β) et délai</w:t>
            </w:r>
          </w:p>
        </w:tc>
        <w:tc>
          <w:tcPr>
            <w:tcW w:type="dxa" w:w="1644"/>
            <w:shd w:val="clear" w:color="auto" w:fill="1F4E3D"/>
          </w:tcPr>
          <w:p>
            <w:pPr>
              <w:spacing w:after="0"/>
            </w:pPr>
            <w:r>
              <w:rPr>
                <w:b/>
                <w:i w:val="0"/>
                <w:color w:val="FFFFFF"/>
                <w:sz w:val="13"/>
              </w:rPr>
              <w:t>Protection du producteur</w:t>
            </w:r>
          </w:p>
        </w:tc>
        <w:tc>
          <w:tcPr>
            <w:tcW w:type="dxa" w:w="1361"/>
            <w:shd w:val="clear" w:color="auto" w:fill="1F4E3D"/>
          </w:tcPr>
          <w:p>
            <w:pPr>
              <w:spacing w:after="0"/>
            </w:pPr>
            <w:r>
              <w:rPr>
                <w:b/>
                <w:i w:val="0"/>
                <w:color w:val="FFFFFF"/>
                <w:sz w:val="13"/>
              </w:rPr>
              <w:t>Coût de la stabilisation</w:t>
            </w:r>
          </w:p>
        </w:tc>
        <w:tc>
          <w:tcPr>
            <w:tcW w:type="dxa" w:w="1134"/>
            <w:shd w:val="clear" w:color="auto" w:fill="1F4E3D"/>
          </w:tcPr>
          <w:p>
            <w:pPr>
              <w:spacing w:after="0"/>
            </w:pPr>
            <w:r>
              <w:rPr>
                <w:b/>
                <w:i w:val="0"/>
                <w:color w:val="FFFFFF"/>
                <w:sz w:val="13"/>
              </w:rPr>
              <w:t>Récupération</w:t>
            </w:r>
          </w:p>
        </w:tc>
        <w:tc>
          <w:tcPr>
            <w:tcW w:type="dxa" w:w="2154"/>
            <w:shd w:val="clear" w:color="auto" w:fill="1F4E3D"/>
          </w:tcPr>
          <w:p>
            <w:pPr>
              <w:spacing w:after="0"/>
            </w:pPr>
            <w:r>
              <w:rPr>
                <w:b/>
                <w:i w:val="0"/>
                <w:color w:val="FFFFFF"/>
                <w:sz w:val="13"/>
              </w:rPr>
              <w:t>Vulnérabilité principale</w:t>
            </w:r>
          </w:p>
        </w:tc>
      </w:tr>
      <w:tr>
        <w:tc>
          <w:tcPr>
            <w:tcW w:type="dxa" w:w="907"/>
          </w:tcPr>
          <w:p>
            <w:pPr>
              <w:spacing w:after="0"/>
            </w:pPr>
            <w:r>
              <w:rPr>
                <w:b/>
                <w:i w:val="0"/>
                <w:sz w:val="13"/>
              </w:rPr>
              <w:t>Cacao</w:t>
            </w:r>
          </w:p>
        </w:tc>
        <w:tc>
          <w:tcPr>
            <w:tcW w:type="dxa" w:w="1531"/>
          </w:tcPr>
          <w:p>
            <w:pPr>
              <w:spacing w:after="0"/>
            </w:pPr>
            <w:r>
              <w:rPr>
                <w:b w:val="0"/>
                <w:i w:val="0"/>
                <w:sz w:val="13"/>
              </w:rPr>
              <w:t>Très forte : 1er exportateur mondial (~40 %) ; prix USD/GBP ; ~1,8 Mt</w:t>
            </w:r>
          </w:p>
        </w:tc>
        <w:tc>
          <w:tcPr>
            <w:tcW w:type="dxa" w:w="1474"/>
          </w:tcPr>
          <w:p>
            <w:pPr>
              <w:spacing w:after="0"/>
            </w:pPr>
            <w:r>
              <w:rPr>
                <w:b w:val="0"/>
                <w:i w:val="0"/>
                <w:sz w:val="13"/>
              </w:rPr>
              <w:t>β = 1,11 (2017) ; 0,88 (2026) ; délai de 5 à 15 mois</w:t>
            </w:r>
          </w:p>
        </w:tc>
        <w:tc>
          <w:tcPr>
            <w:tcW w:type="dxa" w:w="1644"/>
          </w:tcPr>
          <w:p>
            <w:pPr>
              <w:spacing w:after="0"/>
            </w:pPr>
            <w:r>
              <w:rPr>
                <w:b w:val="0"/>
                <w:i w:val="0"/>
                <w:sz w:val="13"/>
              </w:rPr>
              <w:t xml:space="preserve">Prix minimum garanti + ventes anticipées (~70 %) : protection </w:t>
            </w:r>
            <w:r>
              <w:rPr>
                <w:b/>
                <w:i w:val="0"/>
                <w:sz w:val="13"/>
              </w:rPr>
              <w:t>pendant</w:t>
            </w:r>
            <w:r>
              <w:rPr>
                <w:b w:val="0"/>
                <w:i w:val="0"/>
                <w:sz w:val="13"/>
              </w:rPr>
              <w:t xml:space="preserve"> la campagne</w:t>
            </w:r>
          </w:p>
        </w:tc>
        <w:tc>
          <w:tcPr>
            <w:tcW w:type="dxa" w:w="1361"/>
          </w:tcPr>
          <w:p>
            <w:pPr>
              <w:spacing w:after="0"/>
            </w:pPr>
            <w:r>
              <w:rPr>
                <w:b w:val="0"/>
                <w:i w:val="0"/>
                <w:sz w:val="13"/>
              </w:rPr>
              <w:t>~240 Mds (rachats 2026, estimation) ; FRP non publié</w:t>
            </w:r>
          </w:p>
        </w:tc>
        <w:tc>
          <w:tcPr>
            <w:tcW w:type="dxa" w:w="1134"/>
          </w:tcPr>
          <w:p>
            <w:pPr>
              <w:spacing w:after="0"/>
            </w:pPr>
            <w:r>
              <w:rPr>
                <w:b w:val="0"/>
                <w:i w:val="0"/>
                <w:sz w:val="13"/>
              </w:rPr>
              <w:t>42 mois (2017-20, retour à 91 %) ; 2026 en cours</w:t>
            </w:r>
          </w:p>
        </w:tc>
        <w:tc>
          <w:tcPr>
            <w:tcW w:type="dxa" w:w="2154"/>
          </w:tcPr>
          <w:p>
            <w:pPr>
              <w:spacing w:after="0"/>
            </w:pPr>
            <w:r>
              <w:rPr>
                <w:b w:val="0"/>
                <w:i w:val="0"/>
                <w:sz w:val="13"/>
              </w:rPr>
              <w:t>Pas de réserve dimensionnée pour un choc &gt; 40 % ou de 2 campagnes ; risque de défaut des exportateurs</w:t>
            </w:r>
          </w:p>
        </w:tc>
      </w:tr>
      <w:tr>
        <w:tc>
          <w:tcPr>
            <w:tcW w:type="dxa" w:w="907"/>
            <w:shd w:val="clear" w:color="auto" w:fill="F3F3F1"/>
          </w:tcPr>
          <w:p>
            <w:pPr>
              <w:spacing w:after="0"/>
            </w:pPr>
            <w:r>
              <w:rPr>
                <w:b/>
                <w:i w:val="0"/>
                <w:sz w:val="13"/>
              </w:rPr>
              <w:t>Café</w:t>
            </w:r>
          </w:p>
        </w:tc>
        <w:tc>
          <w:tcPr>
            <w:tcW w:type="dxa" w:w="1531"/>
            <w:shd w:val="clear" w:color="auto" w:fill="F3F3F1"/>
          </w:tcPr>
          <w:p>
            <w:pPr>
              <w:spacing w:after="0"/>
            </w:pPr>
            <w:r>
              <w:rPr>
                <w:b w:val="0"/>
                <w:i w:val="0"/>
                <w:sz w:val="13"/>
              </w:rPr>
              <w:t>Forte mais volumes marginaux (~60 kt)</w:t>
            </w:r>
          </w:p>
        </w:tc>
        <w:tc>
          <w:tcPr>
            <w:tcW w:type="dxa" w:w="1474"/>
            <w:shd w:val="clear" w:color="auto" w:fill="F3F3F1"/>
          </w:tcPr>
          <w:p>
            <w:pPr>
              <w:spacing w:after="0"/>
            </w:pPr>
            <w:r>
              <w:rPr>
                <w:b w:val="0"/>
                <w:i w:val="0"/>
                <w:sz w:val="13"/>
              </w:rPr>
              <w:t>β = 1,12 (2026, une campagne de retard)</w:t>
            </w:r>
          </w:p>
        </w:tc>
        <w:tc>
          <w:tcPr>
            <w:tcW w:type="dxa" w:w="1644"/>
            <w:shd w:val="clear" w:color="auto" w:fill="F3F3F1"/>
          </w:tcPr>
          <w:p>
            <w:pPr>
              <w:spacing w:after="0"/>
            </w:pPr>
            <w:r>
              <w:rPr>
                <w:b w:val="0"/>
                <w:i w:val="0"/>
                <w:sz w:val="13"/>
              </w:rPr>
              <w:t>Prix minimum garanti annuel</w:t>
            </w:r>
          </w:p>
        </w:tc>
        <w:tc>
          <w:tcPr>
            <w:tcW w:type="dxa" w:w="1361"/>
            <w:shd w:val="clear" w:color="auto" w:fill="F3F3F1"/>
          </w:tcPr>
          <w:p>
            <w:pPr>
              <w:spacing w:after="0"/>
            </w:pPr>
            <w:r>
              <w:rPr>
                <w:b w:val="0"/>
                <w:i w:val="0"/>
                <w:sz w:val="13"/>
              </w:rPr>
              <w:t>Faible (≈ 7 Mds en cas de choc de −30 %)</w:t>
            </w:r>
          </w:p>
        </w:tc>
        <w:tc>
          <w:tcPr>
            <w:tcW w:type="dxa" w:w="1134"/>
            <w:shd w:val="clear" w:color="auto" w:fill="F3F3F1"/>
          </w:tcPr>
          <w:p>
            <w:pPr>
              <w:spacing w:after="0"/>
            </w:pPr>
            <w:r>
              <w:rPr>
                <w:b w:val="0"/>
                <w:i w:val="0"/>
                <w:sz w:val="13"/>
              </w:rPr>
              <w:t>—</w:t>
            </w:r>
          </w:p>
        </w:tc>
        <w:tc>
          <w:tcPr>
            <w:tcW w:type="dxa" w:w="2154"/>
            <w:shd w:val="clear" w:color="auto" w:fill="F3F3F1"/>
          </w:tcPr>
          <w:p>
            <w:pPr>
              <w:spacing w:after="0"/>
            </w:pPr>
            <w:r>
              <w:rPr>
                <w:b w:val="0"/>
                <w:i w:val="0"/>
                <w:sz w:val="13"/>
              </w:rPr>
              <w:t>Déclin structurel de la production : le prix n'est pas le problème</w:t>
            </w:r>
          </w:p>
        </w:tc>
      </w:tr>
      <w:tr>
        <w:tc>
          <w:tcPr>
            <w:tcW w:type="dxa" w:w="907"/>
          </w:tcPr>
          <w:p>
            <w:pPr>
              <w:spacing w:after="0"/>
            </w:pPr>
            <w:r>
              <w:rPr>
                <w:b/>
                <w:i w:val="0"/>
                <w:sz w:val="13"/>
              </w:rPr>
              <w:t>Coton</w:t>
            </w:r>
          </w:p>
        </w:tc>
        <w:tc>
          <w:tcPr>
            <w:tcW w:type="dxa" w:w="1531"/>
          </w:tcPr>
          <w:p>
            <w:pPr>
              <w:spacing w:after="0"/>
            </w:pPr>
            <w:r>
              <w:rPr>
                <w:b w:val="0"/>
                <w:i w:val="0"/>
                <w:sz w:val="13"/>
              </w:rPr>
              <w:t>Forte (fibre exportée en USD) ; ~575 kt de coton-graine</w:t>
            </w:r>
          </w:p>
        </w:tc>
        <w:tc>
          <w:tcPr>
            <w:tcW w:type="dxa" w:w="1474"/>
          </w:tcPr>
          <w:p>
            <w:pPr>
              <w:spacing w:after="0"/>
            </w:pPr>
            <w:r>
              <w:rPr>
                <w:b w:val="0"/>
                <w:i w:val="0"/>
                <w:sz w:val="13"/>
              </w:rPr>
              <w:t>β = 0 (2020) ; hausses : β = 0,00</w:t>
            </w:r>
          </w:p>
        </w:tc>
        <w:tc>
          <w:tcPr>
            <w:tcW w:type="dxa" w:w="1644"/>
          </w:tcPr>
          <w:p>
            <w:pPr>
              <w:spacing w:after="0"/>
            </w:pPr>
            <w:r>
              <w:rPr>
                <w:b w:val="0"/>
                <w:i w:val="0"/>
                <w:sz w:val="13"/>
              </w:rPr>
              <w:t>Prix fixé avant les semis pour toute la campagne</w:t>
            </w:r>
          </w:p>
        </w:tc>
        <w:tc>
          <w:tcPr>
            <w:tcW w:type="dxa" w:w="1361"/>
          </w:tcPr>
          <w:p>
            <w:pPr>
              <w:spacing w:after="0"/>
            </w:pPr>
            <w:r>
              <w:rPr>
                <w:b w:val="0"/>
                <w:i w:val="0"/>
                <w:sz w:val="13"/>
              </w:rPr>
              <w:t>Subvention de 25,3 Mds en 2025/26 (44 FCFA/kg, 14 % de la valeur)</w:t>
            </w:r>
          </w:p>
        </w:tc>
        <w:tc>
          <w:tcPr>
            <w:tcW w:type="dxa" w:w="1134"/>
          </w:tcPr>
          <w:p>
            <w:pPr>
              <w:spacing w:after="0"/>
            </w:pPr>
            <w:r>
              <w:rPr>
                <w:b w:val="0"/>
                <w:i w:val="0"/>
                <w:sz w:val="13"/>
              </w:rPr>
              <w:t>Volumes : 3 campagnes après 2022/23</w:t>
            </w:r>
          </w:p>
        </w:tc>
        <w:tc>
          <w:tcPr>
            <w:tcW w:type="dxa" w:w="2154"/>
          </w:tcPr>
          <w:p>
            <w:pPr>
              <w:spacing w:after="0"/>
            </w:pPr>
            <w:r>
              <w:rPr>
                <w:b w:val="0"/>
                <w:i w:val="0"/>
                <w:sz w:val="13"/>
              </w:rPr>
              <w:t>Recette exposée aux chocs de rendement ; protection financée par le budget, sans fonds de lissage</w:t>
            </w:r>
          </w:p>
        </w:tc>
      </w:tr>
      <w:tr>
        <w:tc>
          <w:tcPr>
            <w:tcW w:type="dxa" w:w="907"/>
            <w:shd w:val="clear" w:color="auto" w:fill="F3F3F1"/>
          </w:tcPr>
          <w:p>
            <w:pPr>
              <w:spacing w:after="0"/>
            </w:pPr>
            <w:r>
              <w:rPr>
                <w:b/>
                <w:i w:val="0"/>
                <w:sz w:val="13"/>
              </w:rPr>
              <w:t>Anacarde</w:t>
            </w:r>
          </w:p>
        </w:tc>
        <w:tc>
          <w:tcPr>
            <w:tcW w:type="dxa" w:w="1531"/>
            <w:shd w:val="clear" w:color="auto" w:fill="F3F3F1"/>
          </w:tcPr>
          <w:p>
            <w:pPr>
              <w:spacing w:after="0"/>
            </w:pPr>
            <w:r>
              <w:rPr>
                <w:b w:val="0"/>
                <w:i w:val="0"/>
                <w:sz w:val="13"/>
              </w:rPr>
              <w:t>Très forte : 1er producteur mondial ; ~75 % de la récolte exportée brute vers l'Inde et le Vietnam</w:t>
            </w:r>
          </w:p>
        </w:tc>
        <w:tc>
          <w:tcPr>
            <w:tcW w:type="dxa" w:w="1474"/>
            <w:shd w:val="clear" w:color="auto" w:fill="F3F3F1"/>
          </w:tcPr>
          <w:p>
            <w:pPr>
              <w:spacing w:after="0"/>
            </w:pPr>
            <w:r>
              <w:rPr>
                <w:b w:val="0"/>
                <w:i w:val="0"/>
                <w:sz w:val="13"/>
              </w:rPr>
              <w:t>β = 1,40 (2019) ; délai &lt; 2 mois</w:t>
            </w:r>
          </w:p>
        </w:tc>
        <w:tc>
          <w:tcPr>
            <w:tcW w:type="dxa" w:w="1644"/>
            <w:shd w:val="clear" w:color="auto" w:fill="F3F3F1"/>
          </w:tcPr>
          <w:p>
            <w:pPr>
              <w:spacing w:after="0"/>
            </w:pPr>
            <w:r>
              <w:rPr>
                <w:b w:val="0"/>
                <w:i w:val="0"/>
                <w:sz w:val="13"/>
              </w:rPr>
              <w:t>Prix plancher sans fonds ni obligation d'achat (non respecté en 2018)</w:t>
            </w:r>
          </w:p>
        </w:tc>
        <w:tc>
          <w:tcPr>
            <w:tcW w:type="dxa" w:w="1361"/>
            <w:shd w:val="clear" w:color="auto" w:fill="F3F3F1"/>
          </w:tcPr>
          <w:p>
            <w:pPr>
              <w:spacing w:after="0"/>
            </w:pPr>
            <w:r>
              <w:rPr>
                <w:b w:val="0"/>
                <w:i w:val="0"/>
                <w:sz w:val="13"/>
              </w:rPr>
              <w:t>Aucun</w:t>
            </w:r>
          </w:p>
        </w:tc>
        <w:tc>
          <w:tcPr>
            <w:tcW w:type="dxa" w:w="1134"/>
            <w:shd w:val="clear" w:color="auto" w:fill="F3F3F1"/>
          </w:tcPr>
          <w:p>
            <w:pPr>
              <w:spacing w:after="0"/>
            </w:pPr>
            <w:r>
              <w:rPr>
                <w:b w:val="0"/>
                <w:i w:val="0"/>
                <w:sz w:val="13"/>
              </w:rPr>
              <w:t>72 mois (2019-24)</w:t>
            </w:r>
          </w:p>
        </w:tc>
        <w:tc>
          <w:tcPr>
            <w:tcW w:type="dxa" w:w="2154"/>
            <w:shd w:val="clear" w:color="auto" w:fill="F3F3F1"/>
          </w:tcPr>
          <w:p>
            <w:pPr>
              <w:spacing w:after="0"/>
            </w:pPr>
            <w:r>
              <w:rPr>
                <w:b w:val="0"/>
                <w:i w:val="0"/>
                <w:sz w:val="13"/>
              </w:rPr>
              <w:t>Dépendance à 2 acheteurs ; transformation locale encore minoritaire</w:t>
            </w:r>
          </w:p>
        </w:tc>
      </w:tr>
      <w:tr>
        <w:tc>
          <w:tcPr>
            <w:tcW w:type="dxa" w:w="907"/>
          </w:tcPr>
          <w:p>
            <w:pPr>
              <w:spacing w:after="0"/>
            </w:pPr>
            <w:r>
              <w:rPr>
                <w:b/>
                <w:i w:val="0"/>
                <w:sz w:val="13"/>
              </w:rPr>
              <w:t>Hévéa</w:t>
            </w:r>
          </w:p>
        </w:tc>
        <w:tc>
          <w:tcPr>
            <w:tcW w:type="dxa" w:w="1531"/>
          </w:tcPr>
          <w:p>
            <w:pPr>
              <w:spacing w:after="0"/>
            </w:pPr>
            <w:r>
              <w:rPr>
                <w:b w:val="0"/>
                <w:i w:val="0"/>
                <w:sz w:val="13"/>
              </w:rPr>
              <w:t>Très forte : 3e producteur mondial ; prix SICOM (USD)</w:t>
            </w:r>
          </w:p>
        </w:tc>
        <w:tc>
          <w:tcPr>
            <w:tcW w:type="dxa" w:w="1474"/>
          </w:tcPr>
          <w:p>
            <w:pPr>
              <w:spacing w:after="0"/>
            </w:pPr>
            <w:r>
              <w:rPr>
                <w:b w:val="0"/>
                <w:i w:val="0"/>
                <w:sz w:val="13"/>
              </w:rPr>
              <w:t>β = 1,17 (2011-16) ; délai d'un mois (formule)</w:t>
            </w:r>
          </w:p>
        </w:tc>
        <w:tc>
          <w:tcPr>
            <w:tcW w:type="dxa" w:w="1644"/>
          </w:tcPr>
          <w:p>
            <w:pPr>
              <w:spacing w:after="0"/>
            </w:pPr>
            <w:r>
              <w:rPr>
                <w:b w:val="0"/>
                <w:i w:val="0"/>
                <w:sz w:val="13"/>
              </w:rPr>
              <w:t>Aucune : indexation (66 % du prix net depuis mai 2026)</w:t>
            </w:r>
          </w:p>
        </w:tc>
        <w:tc>
          <w:tcPr>
            <w:tcW w:type="dxa" w:w="1361"/>
          </w:tcPr>
          <w:p>
            <w:pPr>
              <w:spacing w:after="0"/>
            </w:pPr>
            <w:r>
              <w:rPr>
                <w:b w:val="0"/>
                <w:i w:val="0"/>
                <w:sz w:val="13"/>
              </w:rPr>
              <w:t>Aucun</w:t>
            </w:r>
          </w:p>
        </w:tc>
        <w:tc>
          <w:tcPr>
            <w:tcW w:type="dxa" w:w="1134"/>
          </w:tcPr>
          <w:p>
            <w:pPr>
              <w:spacing w:after="0"/>
            </w:pPr>
            <w:r>
              <w:rPr>
                <w:b w:val="0"/>
                <w:i w:val="0"/>
                <w:sz w:val="13"/>
              </w:rPr>
              <w:t>Jamais revenu au niveau de 2011</w:t>
            </w:r>
          </w:p>
        </w:tc>
        <w:tc>
          <w:tcPr>
            <w:tcW w:type="dxa" w:w="2154"/>
          </w:tcPr>
          <w:p>
            <w:pPr>
              <w:spacing w:after="0"/>
            </w:pPr>
            <w:r>
              <w:rPr>
                <w:b w:val="0"/>
                <w:i w:val="0"/>
                <w:sz w:val="13"/>
              </w:rPr>
              <w:t>Perte la plus élevée en test de stress (~399 Mds pour −30 %)</w:t>
            </w:r>
          </w:p>
        </w:tc>
      </w:tr>
      <w:tr>
        <w:tc>
          <w:tcPr>
            <w:tcW w:type="dxa" w:w="907"/>
            <w:shd w:val="clear" w:color="auto" w:fill="F3F3F1"/>
          </w:tcPr>
          <w:p>
            <w:pPr>
              <w:spacing w:after="0"/>
            </w:pPr>
            <w:r>
              <w:rPr>
                <w:b/>
                <w:i w:val="0"/>
                <w:sz w:val="13"/>
              </w:rPr>
              <w:t>Palmier à huile</w:t>
            </w:r>
          </w:p>
        </w:tc>
        <w:tc>
          <w:tcPr>
            <w:tcW w:type="dxa" w:w="1531"/>
            <w:shd w:val="clear" w:color="auto" w:fill="F3F3F1"/>
          </w:tcPr>
          <w:p>
            <w:pPr>
              <w:spacing w:after="0"/>
            </w:pPr>
            <w:r>
              <w:rPr>
                <w:b w:val="0"/>
                <w:i w:val="0"/>
                <w:sz w:val="13"/>
              </w:rPr>
              <w:t>Moyenne : marché régional (CEDEAO) en partie protégé</w:t>
            </w:r>
          </w:p>
        </w:tc>
        <w:tc>
          <w:tcPr>
            <w:tcW w:type="dxa" w:w="1474"/>
            <w:shd w:val="clear" w:color="auto" w:fill="F3F3F1"/>
          </w:tcPr>
          <w:p>
            <w:pPr>
              <w:spacing w:after="0"/>
            </w:pPr>
            <w:r>
              <w:rPr>
                <w:b w:val="0"/>
                <w:i w:val="0"/>
                <w:sz w:val="13"/>
              </w:rPr>
              <w:t>β ≈ 0,74 (2022)</w:t>
            </w:r>
          </w:p>
        </w:tc>
        <w:tc>
          <w:tcPr>
            <w:tcW w:type="dxa" w:w="1644"/>
            <w:shd w:val="clear" w:color="auto" w:fill="F3F3F1"/>
          </w:tcPr>
          <w:p>
            <w:pPr>
              <w:spacing w:after="0"/>
            </w:pPr>
            <w:r>
              <w:rPr>
                <w:b w:val="0"/>
                <w:i w:val="0"/>
                <w:sz w:val="13"/>
              </w:rPr>
              <w:t>Indexation mensuelle des régimes</w:t>
            </w:r>
          </w:p>
        </w:tc>
        <w:tc>
          <w:tcPr>
            <w:tcW w:type="dxa" w:w="1361"/>
            <w:shd w:val="clear" w:color="auto" w:fill="F3F3F1"/>
          </w:tcPr>
          <w:p>
            <w:pPr>
              <w:spacing w:after="0"/>
            </w:pPr>
            <w:r>
              <w:rPr>
                <w:b w:val="0"/>
                <w:i w:val="0"/>
                <w:sz w:val="13"/>
              </w:rPr>
              <w:t>Aucun</w:t>
            </w:r>
          </w:p>
        </w:tc>
        <w:tc>
          <w:tcPr>
            <w:tcW w:type="dxa" w:w="1134"/>
            <w:shd w:val="clear" w:color="auto" w:fill="F3F3F1"/>
          </w:tcPr>
          <w:p>
            <w:pPr>
              <w:spacing w:after="0"/>
            </w:pPr>
            <w:r>
              <w:rPr>
                <w:b w:val="0"/>
                <w:i w:val="0"/>
                <w:sz w:val="13"/>
              </w:rPr>
              <w:t>À documenter</w:t>
            </w:r>
          </w:p>
        </w:tc>
        <w:tc>
          <w:tcPr>
            <w:tcW w:type="dxa" w:w="2154"/>
            <w:shd w:val="clear" w:color="auto" w:fill="F3F3F1"/>
          </w:tcPr>
          <w:p>
            <w:pPr>
              <w:spacing w:after="0"/>
            </w:pPr>
            <w:r>
              <w:rPr>
                <w:b w:val="0"/>
                <w:i w:val="0"/>
                <w:sz w:val="13"/>
              </w:rPr>
              <w:t>Petits planteurs villageois sans couverture</w:t>
            </w:r>
          </w:p>
        </w:tc>
      </w:tr>
      <w:tr>
        <w:tc>
          <w:tcPr>
            <w:tcW w:type="dxa" w:w="907"/>
          </w:tcPr>
          <w:p>
            <w:pPr>
              <w:spacing w:after="0"/>
            </w:pPr>
            <w:r>
              <w:rPr>
                <w:b/>
                <w:i w:val="0"/>
                <w:sz w:val="13"/>
              </w:rPr>
              <w:t>Banane, ananas, mangue</w:t>
            </w:r>
          </w:p>
        </w:tc>
        <w:tc>
          <w:tcPr>
            <w:tcW w:type="dxa" w:w="1531"/>
          </w:tcPr>
          <w:p>
            <w:pPr>
              <w:spacing w:after="0"/>
            </w:pPr>
            <w:r>
              <w:rPr>
                <w:b w:val="0"/>
                <w:i w:val="0"/>
                <w:sz w:val="13"/>
              </w:rPr>
              <w:t>Forte (UE), contrats en EUR</w:t>
            </w:r>
          </w:p>
        </w:tc>
        <w:tc>
          <w:tcPr>
            <w:tcW w:type="dxa" w:w="1474"/>
          </w:tcPr>
          <w:p>
            <w:pPr>
              <w:spacing w:after="0"/>
            </w:pPr>
            <w:r>
              <w:rPr>
                <w:b w:val="0"/>
                <w:i w:val="0"/>
                <w:sz w:val="13"/>
              </w:rPr>
              <w:t>Non mesurable (prix contractuels)</w:t>
            </w:r>
          </w:p>
        </w:tc>
        <w:tc>
          <w:tcPr>
            <w:tcW w:type="dxa" w:w="1644"/>
          </w:tcPr>
          <w:p>
            <w:pPr>
              <w:spacing w:after="0"/>
            </w:pPr>
            <w:r>
              <w:rPr>
                <w:b w:val="0"/>
                <w:i w:val="0"/>
                <w:sz w:val="13"/>
              </w:rPr>
              <w:t>Intégration des plantations ; aucun risque de change (FCFA arrimé à l'euro)</w:t>
            </w:r>
          </w:p>
        </w:tc>
        <w:tc>
          <w:tcPr>
            <w:tcW w:type="dxa" w:w="1361"/>
          </w:tcPr>
          <w:p>
            <w:pPr>
              <w:spacing w:after="0"/>
            </w:pPr>
            <w:r>
              <w:rPr>
                <w:b w:val="0"/>
                <w:i w:val="0"/>
                <w:sz w:val="13"/>
              </w:rPr>
              <w:t>—</w:t>
            </w:r>
          </w:p>
        </w:tc>
        <w:tc>
          <w:tcPr>
            <w:tcW w:type="dxa" w:w="1134"/>
          </w:tcPr>
          <w:p>
            <w:pPr>
              <w:spacing w:after="0"/>
            </w:pPr>
            <w:r>
              <w:rPr>
                <w:b w:val="0"/>
                <w:i w:val="0"/>
                <w:sz w:val="13"/>
              </w:rPr>
              <w:t>—</w:t>
            </w:r>
          </w:p>
        </w:tc>
        <w:tc>
          <w:tcPr>
            <w:tcW w:type="dxa" w:w="2154"/>
          </w:tcPr>
          <w:p>
            <w:pPr>
              <w:spacing w:after="0"/>
            </w:pPr>
            <w:r>
              <w:rPr>
                <w:b w:val="0"/>
                <w:i w:val="0"/>
                <w:sz w:val="13"/>
              </w:rPr>
              <w:t>Risque d'accès au marché et de normes (MD2, mouche des fruits), plus que de prix</w:t>
            </w:r>
          </w:p>
        </w:tc>
      </w:tr>
      <w:tr>
        <w:tc>
          <w:tcPr>
            <w:tcW w:type="dxa" w:w="907"/>
            <w:shd w:val="clear" w:color="auto" w:fill="F3F3F1"/>
          </w:tcPr>
          <w:p>
            <w:pPr>
              <w:spacing w:after="0"/>
            </w:pPr>
            <w:r>
              <w:rPr>
                <w:b/>
                <w:i w:val="0"/>
                <w:sz w:val="13"/>
              </w:rPr>
              <w:t>Riz importé, blé</w:t>
            </w:r>
          </w:p>
        </w:tc>
        <w:tc>
          <w:tcPr>
            <w:tcW w:type="dxa" w:w="1531"/>
            <w:shd w:val="clear" w:color="auto" w:fill="F3F3F1"/>
          </w:tcPr>
          <w:p>
            <w:pPr>
              <w:spacing w:after="0"/>
            </w:pPr>
            <w:r>
              <w:rPr>
                <w:b w:val="0"/>
                <w:i w:val="0"/>
                <w:sz w:val="13"/>
              </w:rPr>
              <w:t>Forte côté consommateur (~1,5 Mt de riz importé)</w:t>
            </w:r>
          </w:p>
        </w:tc>
        <w:tc>
          <w:tcPr>
            <w:tcW w:type="dxa" w:w="1474"/>
            <w:shd w:val="clear" w:color="auto" w:fill="F3F3F1"/>
          </w:tcPr>
          <w:p>
            <w:pPr>
              <w:spacing w:after="0"/>
            </w:pPr>
            <w:r>
              <w:rPr>
                <w:b w:val="0"/>
                <w:i w:val="0"/>
                <w:sz w:val="13"/>
              </w:rPr>
              <w:t>β ≈ 0,42 vers le consommateur (2023)</w:t>
            </w:r>
          </w:p>
        </w:tc>
        <w:tc>
          <w:tcPr>
            <w:tcW w:type="dxa" w:w="1644"/>
            <w:shd w:val="clear" w:color="auto" w:fill="F3F3F1"/>
          </w:tcPr>
          <w:p>
            <w:pPr>
              <w:spacing w:after="0"/>
            </w:pPr>
            <w:r>
              <w:rPr>
                <w:b w:val="0"/>
                <w:i w:val="0"/>
                <w:sz w:val="13"/>
              </w:rPr>
              <w:t>Plafonnement des prix, mesures fiscales</w:t>
            </w:r>
          </w:p>
        </w:tc>
        <w:tc>
          <w:tcPr>
            <w:tcW w:type="dxa" w:w="1361"/>
            <w:shd w:val="clear" w:color="auto" w:fill="F3F3F1"/>
          </w:tcPr>
          <w:p>
            <w:pPr>
              <w:spacing w:after="0"/>
            </w:pPr>
            <w:r>
              <w:rPr>
                <w:b w:val="0"/>
                <w:i w:val="0"/>
                <w:sz w:val="13"/>
              </w:rPr>
              <w:t>Dépense fiscale</w:t>
            </w:r>
          </w:p>
        </w:tc>
        <w:tc>
          <w:tcPr>
            <w:tcW w:type="dxa" w:w="1134"/>
            <w:shd w:val="clear" w:color="auto" w:fill="F3F3F1"/>
          </w:tcPr>
          <w:p>
            <w:pPr>
              <w:spacing w:after="0"/>
            </w:pPr>
            <w:r>
              <w:rPr>
                <w:b w:val="0"/>
                <w:i w:val="0"/>
                <w:sz w:val="13"/>
              </w:rPr>
              <w:t>—</w:t>
            </w:r>
          </w:p>
        </w:tc>
        <w:tc>
          <w:tcPr>
            <w:tcW w:type="dxa" w:w="2154"/>
            <w:shd w:val="clear" w:color="auto" w:fill="F3F3F1"/>
          </w:tcPr>
          <w:p>
            <w:pPr>
              <w:spacing w:after="0"/>
            </w:pPr>
            <w:r>
              <w:rPr>
                <w:b w:val="0"/>
                <w:i w:val="0"/>
                <w:sz w:val="13"/>
              </w:rPr>
              <w:t>Choc sur le pouvoir d'achat urbain, pas sur le revenu agricole</w:t>
            </w:r>
          </w:p>
        </w:tc>
      </w:tr>
      <w:tr>
        <w:tc>
          <w:tcPr>
            <w:tcW w:type="dxa" w:w="907"/>
          </w:tcPr>
          <w:p>
            <w:pPr>
              <w:spacing w:after="0"/>
            </w:pPr>
            <w:r>
              <w:rPr>
                <w:b/>
                <w:i w:val="0"/>
                <w:sz w:val="13"/>
              </w:rPr>
              <w:t>Sucre, maïs</w:t>
            </w:r>
          </w:p>
        </w:tc>
        <w:tc>
          <w:tcPr>
            <w:tcW w:type="dxa" w:w="1531"/>
          </w:tcPr>
          <w:p>
            <w:pPr>
              <w:spacing w:after="0"/>
            </w:pPr>
            <w:r>
              <w:rPr>
                <w:b w:val="0"/>
                <w:i w:val="0"/>
                <w:sz w:val="13"/>
              </w:rPr>
              <w:t>Faible (marché intérieur protégé / peu échangé)</w:t>
            </w:r>
          </w:p>
        </w:tc>
        <w:tc>
          <w:tcPr>
            <w:tcW w:type="dxa" w:w="1474"/>
          </w:tcPr>
          <w:p>
            <w:pPr>
              <w:spacing w:after="0"/>
            </w:pPr>
            <w:r>
              <w:rPr>
                <w:b w:val="0"/>
                <w:i w:val="0"/>
                <w:sz w:val="13"/>
              </w:rPr>
              <w:t>Non significative</w:t>
            </w:r>
          </w:p>
        </w:tc>
        <w:tc>
          <w:tcPr>
            <w:tcW w:type="dxa" w:w="1644"/>
          </w:tcPr>
          <w:p>
            <w:pPr>
              <w:spacing w:after="0"/>
            </w:pPr>
            <w:r>
              <w:rPr>
                <w:b w:val="0"/>
                <w:i w:val="0"/>
                <w:sz w:val="13"/>
              </w:rPr>
              <w:t>Protection à l'importation</w:t>
            </w:r>
          </w:p>
        </w:tc>
        <w:tc>
          <w:tcPr>
            <w:tcW w:type="dxa" w:w="1361"/>
          </w:tcPr>
          <w:p>
            <w:pPr>
              <w:spacing w:after="0"/>
            </w:pPr>
            <w:r>
              <w:rPr>
                <w:b w:val="0"/>
                <w:i w:val="0"/>
                <w:sz w:val="13"/>
              </w:rPr>
              <w:t>Supporté par le consommateur</w:t>
            </w:r>
          </w:p>
        </w:tc>
        <w:tc>
          <w:tcPr>
            <w:tcW w:type="dxa" w:w="1134"/>
          </w:tcPr>
          <w:p>
            <w:pPr>
              <w:spacing w:after="0"/>
            </w:pPr>
            <w:r>
              <w:rPr>
                <w:b w:val="0"/>
                <w:i w:val="0"/>
                <w:sz w:val="13"/>
              </w:rPr>
              <w:t>—</w:t>
            </w:r>
          </w:p>
        </w:tc>
        <w:tc>
          <w:tcPr>
            <w:tcW w:type="dxa" w:w="2154"/>
          </w:tcPr>
          <w:p>
            <w:pPr>
              <w:spacing w:after="0"/>
            </w:pPr>
            <w:r>
              <w:rPr>
                <w:b w:val="0"/>
                <w:i w:val="0"/>
                <w:sz w:val="13"/>
              </w:rPr>
              <w:t>Analyse internationale non pertinente</w:t>
            </w:r>
          </w:p>
        </w:tc>
      </w:tr>
    </w:tbl>
    <w:p>
      <w:pPr>
        <w:spacing w:after="20"/>
      </w:pPr>
    </w:p>
    <w:p>
      <w:pPr>
        <w:pStyle w:val="Heading2"/>
      </w:pPr>
      <w:r>
        <w:t>Quatre profils de résilience</w:t>
      </w:r>
    </w:p>
    <w:p>
      <w:pPr>
        <w:pStyle w:val="ListBullet"/>
        <w:spacing w:after="30"/>
        <w:ind w:left="255"/>
      </w:pPr>
      <w:r>
        <w:rPr>
          <w:b/>
          <w:i w:val="0"/>
          <w:sz w:val="15"/>
        </w:rPr>
        <w:t>Stable mais fragile : cacao et coton.</w:t>
      </w:r>
      <w:r>
        <w:rPr>
          <w:b w:val="0"/>
          <w:i w:val="0"/>
          <w:sz w:val="15"/>
        </w:rPr>
        <w:t xml:space="preserve"> Le prix est tenu, mais par des engagements (contrats à terme, budget) sans réserve publiée : la stabilité casse au-delà d'un certain choc (cacao 2017 et 2026) ou se paie chaque année (coton).</w:t>
      </w:r>
    </w:p>
    <w:p>
      <w:pPr>
        <w:pStyle w:val="ListBullet"/>
        <w:spacing w:after="30"/>
        <w:ind w:left="255"/>
      </w:pPr>
      <w:r>
        <w:rPr>
          <w:b/>
          <w:i w:val="0"/>
          <w:sz w:val="15"/>
        </w:rPr>
        <w:t>Volatile et sans amortisseur : anacarde, hévéa, palmier.</w:t>
      </w:r>
      <w:r>
        <w:rPr>
          <w:b w:val="0"/>
          <w:i w:val="0"/>
          <w:sz w:val="15"/>
        </w:rPr>
        <w:t xml:space="preserve"> Ces filières transmettent le choc en 1 à 2 mois. Leur résilience repose sur la croissance des volumes (production d'hévéa multipliée par 7 depuis 2011) et sur l'épargne des ménages, deux amortisseurs non pilotés.</w:t>
      </w:r>
    </w:p>
    <w:p>
      <w:pPr>
        <w:pStyle w:val="ListBullet"/>
        <w:spacing w:after="30"/>
        <w:ind w:left="255"/>
      </w:pPr>
      <w:r>
        <w:rPr>
          <w:b/>
          <w:i w:val="0"/>
          <w:sz w:val="15"/>
        </w:rPr>
        <w:t>Prix protégé, recette non protégée : coton 2022/23 et cacao 2023/24.</w:t>
      </w:r>
      <w:r>
        <w:rPr>
          <w:b w:val="0"/>
          <w:i w:val="0"/>
          <w:sz w:val="15"/>
        </w:rPr>
        <w:t xml:space="preserve"> En 2023/24, le prix du cacao a augmenté (+22 %) mais la production a baissé de 22 % : la recette a reculé (−5 %) en pleine envolée des cours.</w:t>
      </w:r>
    </w:p>
    <w:p>
      <w:pPr>
        <w:pStyle w:val="ListBullet"/>
        <w:spacing w:after="30"/>
        <w:ind w:left="255"/>
      </w:pPr>
      <w:r>
        <w:rPr>
          <w:b/>
          <w:i w:val="0"/>
          <w:sz w:val="15"/>
        </w:rPr>
        <w:t>Peu exposées au prix mondial : banane, sucre, maïs.</w:t>
      </w:r>
      <w:r>
        <w:rPr>
          <w:b w:val="0"/>
          <w:i w:val="0"/>
          <w:sz w:val="15"/>
        </w:rPr>
        <w:t xml:space="preserve"> Leur vulnérabilité est ailleurs (accès aux marchés, climat, compétitivité).</w:t>
      </w:r>
    </w:p>
    <w:p>
      <w:pPr>
        <w:spacing w:after="0"/>
        <w:jc w:val="center"/>
      </w:pPr>
      <w:r>
        <w:drawing>
          <wp:inline xmlns:a="http://schemas.openxmlformats.org/drawingml/2006/main" xmlns:pic="http://schemas.openxmlformats.org/drawingml/2006/picture">
            <wp:extent cx="3780000" cy="1695644"/>
            <wp:docPr id="2" name="Picture 2"/>
            <wp:cNvGraphicFramePr>
              <a:graphicFrameLocks noChangeAspect="1"/>
            </wp:cNvGraphicFramePr>
            <a:graphic>
              <a:graphicData uri="http://schemas.openxmlformats.org/drawingml/2006/picture">
                <pic:pic>
                  <pic:nvPicPr>
                    <pic:cNvPr id="0" name="G3_qui_absorbe.png"/>
                    <pic:cNvPicPr/>
                  </pic:nvPicPr>
                  <pic:blipFill>
                    <a:blip r:embed="rId11"/>
                    <a:stretch>
                      <a:fillRect/>
                    </a:stretch>
                  </pic:blipFill>
                  <pic:spPr>
                    <a:xfrm>
                      <a:off x="0" y="0"/>
                      <a:ext cx="3780000" cy="1695644"/>
                    </a:xfrm>
                    <a:prstGeom prst="rect"/>
                  </pic:spPr>
                </pic:pic>
              </a:graphicData>
            </a:graphic>
          </wp:inline>
        </w:drawing>
      </w:r>
    </w:p>
    <w:p>
      <w:pPr>
        <w:spacing w:after="40"/>
      </w:pPr>
      <w:r>
        <w:rPr>
          <w:b w:val="0"/>
          <w:i/>
          <w:color w:val="52514E"/>
          <w:sz w:val="13"/>
        </w:rPr>
        <w:t>Répartition de la charge d'une baisse des cours pendant la campagne en cours (paramètres de l'onglet STRESS_PARAM : β1 observé ; partage public/privé de la part non transmise = hypothèse documentée).</w:t>
      </w:r>
    </w:p>
    <w:p>
      <w:r>
        <w:br w:type="page"/>
      </w:r>
    </w:p>
    <w:p>
      <w:pPr>
        <w:pStyle w:val="Heading1"/>
      </w:pPr>
      <w:r>
        <w:t>2. Que s'est-il passé lors des grands chocs ?</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1134"/>
        <w:gridCol w:w="1360"/>
        <w:gridCol w:w="1927"/>
        <w:gridCol w:w="1757"/>
        <w:gridCol w:w="1814"/>
        <w:gridCol w:w="2211"/>
      </w:tblGrid>
      <w:tr>
        <w:tc>
          <w:tcPr>
            <w:tcW w:type="dxa" w:w="1134"/>
            <w:shd w:val="clear" w:color="auto" w:fill="1F4E3D"/>
          </w:tcPr>
          <w:p>
            <w:pPr>
              <w:spacing w:after="0"/>
            </w:pPr>
            <w:r>
              <w:rPr>
                <w:b/>
                <w:i w:val="0"/>
                <w:color w:val="FFFFFF"/>
                <w:sz w:val="13"/>
              </w:rPr>
              <w:t>Épisode</w:t>
            </w:r>
          </w:p>
        </w:tc>
        <w:tc>
          <w:tcPr>
            <w:tcW w:type="dxa" w:w="1361"/>
            <w:shd w:val="clear" w:color="auto" w:fill="1F4E3D"/>
          </w:tcPr>
          <w:p>
            <w:pPr>
              <w:spacing w:after="0"/>
            </w:pPr>
            <w:r>
              <w:rPr>
                <w:b/>
                <w:i w:val="0"/>
                <w:color w:val="FFFFFF"/>
                <w:sz w:val="13"/>
              </w:rPr>
              <w:t>Choc mondial</w:t>
            </w:r>
          </w:p>
        </w:tc>
        <w:tc>
          <w:tcPr>
            <w:tcW w:type="dxa" w:w="1928"/>
            <w:shd w:val="clear" w:color="auto" w:fill="1F4E3D"/>
          </w:tcPr>
          <w:p>
            <w:pPr>
              <w:spacing w:after="0"/>
            </w:pPr>
            <w:r>
              <w:rPr>
                <w:b/>
                <w:i w:val="0"/>
                <w:color w:val="FFFFFF"/>
                <w:sz w:val="13"/>
              </w:rPr>
              <w:t>Réaction de la Côte d'Ivoire</w:t>
            </w:r>
          </w:p>
        </w:tc>
        <w:tc>
          <w:tcPr>
            <w:tcW w:type="dxa" w:w="1757"/>
            <w:shd w:val="clear" w:color="auto" w:fill="1F4E3D"/>
          </w:tcPr>
          <w:p>
            <w:pPr>
              <w:spacing w:after="0"/>
            </w:pPr>
            <w:r>
              <w:rPr>
                <w:b/>
                <w:i w:val="0"/>
                <w:color w:val="FFFFFF"/>
                <w:sz w:val="13"/>
              </w:rPr>
              <w:t>Impact producteur</w:t>
            </w:r>
          </w:p>
        </w:tc>
        <w:tc>
          <w:tcPr>
            <w:tcW w:type="dxa" w:w="1814"/>
            <w:shd w:val="clear" w:color="auto" w:fill="1F4E3D"/>
          </w:tcPr>
          <w:p>
            <w:pPr>
              <w:spacing w:after="0"/>
            </w:pPr>
            <w:r>
              <w:rPr>
                <w:b/>
                <w:i w:val="0"/>
                <w:color w:val="FFFFFF"/>
                <w:sz w:val="13"/>
              </w:rPr>
              <w:t>Qui a absorbé ?</w:t>
            </w:r>
          </w:p>
        </w:tc>
        <w:tc>
          <w:tcPr>
            <w:tcW w:type="dxa" w:w="2211"/>
            <w:shd w:val="clear" w:color="auto" w:fill="1F4E3D"/>
          </w:tcPr>
          <w:p>
            <w:pPr>
              <w:spacing w:after="0"/>
            </w:pPr>
            <w:r>
              <w:rPr>
                <w:b/>
                <w:i w:val="0"/>
                <w:color w:val="FFFFFF"/>
                <w:sz w:val="13"/>
              </w:rPr>
              <w:t>Résultat</w:t>
            </w:r>
          </w:p>
        </w:tc>
      </w:tr>
      <w:tr>
        <w:tc>
          <w:tcPr>
            <w:tcW w:type="dxa" w:w="1134"/>
          </w:tcPr>
          <w:p>
            <w:pPr>
              <w:spacing w:after="0"/>
            </w:pPr>
            <w:r>
              <w:rPr>
                <w:b/>
                <w:i w:val="0"/>
                <w:sz w:val="13"/>
              </w:rPr>
              <w:t>Cacao 2016-17</w:t>
            </w:r>
          </w:p>
        </w:tc>
        <w:tc>
          <w:tcPr>
            <w:tcW w:type="dxa" w:w="1361"/>
          </w:tcPr>
          <w:p>
            <w:pPr>
              <w:spacing w:after="0"/>
            </w:pPr>
            <w:r>
              <w:rPr>
                <w:b w:val="0"/>
                <w:i w:val="0"/>
                <w:sz w:val="13"/>
              </w:rPr>
              <w:t>ICCO −36 % (juil. 2016 → fév. 2017)</w:t>
            </w:r>
          </w:p>
        </w:tc>
        <w:tc>
          <w:tcPr>
            <w:tcW w:type="dxa" w:w="1928"/>
          </w:tcPr>
          <w:p>
            <w:pPr>
              <w:spacing w:after="0"/>
            </w:pPr>
            <w:r>
              <w:rPr>
                <w:b w:val="0"/>
                <w:i w:val="0"/>
                <w:sz w:val="13"/>
              </w:rPr>
              <w:t>Prix principal maintenu à 1 100 FCFA jusqu'en mars, puis 700 FCFA à la campagne intermédiaire</w:t>
            </w:r>
          </w:p>
        </w:tc>
        <w:tc>
          <w:tcPr>
            <w:tcW w:type="dxa" w:w="1757"/>
          </w:tcPr>
          <w:p>
            <w:pPr>
              <w:spacing w:after="0"/>
            </w:pPr>
            <w:r>
              <w:rPr>
                <w:b w:val="0"/>
                <w:i w:val="0"/>
                <w:sz w:val="13"/>
              </w:rPr>
              <w:t>−36 % sur le prix ; recette −38 % ; β = 1,11</w:t>
            </w:r>
          </w:p>
        </w:tc>
        <w:tc>
          <w:tcPr>
            <w:tcW w:type="dxa" w:w="1814"/>
          </w:tcPr>
          <w:p>
            <w:pPr>
              <w:spacing w:after="0"/>
            </w:pPr>
            <w:r>
              <w:rPr>
                <w:b w:val="0"/>
                <w:i w:val="0"/>
                <w:sz w:val="13"/>
              </w:rPr>
              <w:t>Acheteurs à terme (6 mois), puis producteurs ; contrats d'exportateurs défaillants repris par le CCC</w:t>
            </w:r>
          </w:p>
        </w:tc>
        <w:tc>
          <w:tcPr>
            <w:tcW w:type="dxa" w:w="2211"/>
          </w:tcPr>
          <w:p>
            <w:pPr>
              <w:spacing w:after="0"/>
            </w:pPr>
            <w:r>
              <w:rPr>
                <w:b w:val="0"/>
                <w:i w:val="0"/>
                <w:sz w:val="13"/>
              </w:rPr>
              <w:t>Retour à 91 % du prix pré-choc après 42 mois. Ghana : prix nominal gelé (β = 0), financé par l'emprunt</w:t>
            </w:r>
          </w:p>
        </w:tc>
      </w:tr>
      <w:tr>
        <w:tc>
          <w:tcPr>
            <w:tcW w:type="dxa" w:w="1134"/>
            <w:shd w:val="clear" w:color="auto" w:fill="F3F3F1"/>
          </w:tcPr>
          <w:p>
            <w:pPr>
              <w:spacing w:after="0"/>
            </w:pPr>
            <w:r>
              <w:rPr>
                <w:b/>
                <w:i w:val="0"/>
                <w:sz w:val="13"/>
              </w:rPr>
              <w:t>Coton 2020 (COVID)</w:t>
            </w:r>
          </w:p>
        </w:tc>
        <w:tc>
          <w:tcPr>
            <w:tcW w:type="dxa" w:w="1361"/>
            <w:shd w:val="clear" w:color="auto" w:fill="F3F3F1"/>
          </w:tcPr>
          <w:p>
            <w:pPr>
              <w:spacing w:after="0"/>
            </w:pPr>
            <w:r>
              <w:rPr>
                <w:b w:val="0"/>
                <w:i w:val="0"/>
                <w:sz w:val="13"/>
              </w:rPr>
              <w:t>Cotlook A −16 % (janv. → avril 2020)</w:t>
            </w:r>
          </w:p>
        </w:tc>
        <w:tc>
          <w:tcPr>
            <w:tcW w:type="dxa" w:w="1928"/>
            <w:shd w:val="clear" w:color="auto" w:fill="F3F3F1"/>
          </w:tcPr>
          <w:p>
            <w:pPr>
              <w:spacing w:after="0"/>
            </w:pPr>
            <w:r>
              <w:rPr>
                <w:b w:val="0"/>
                <w:i w:val="0"/>
                <w:sz w:val="13"/>
              </w:rPr>
              <w:t>Prix de 300 FCFA/kg maintenu ; soutien public</w:t>
            </w:r>
          </w:p>
        </w:tc>
        <w:tc>
          <w:tcPr>
            <w:tcW w:type="dxa" w:w="1757"/>
            <w:shd w:val="clear" w:color="auto" w:fill="F3F3F1"/>
          </w:tcPr>
          <w:p>
            <w:pPr>
              <w:spacing w:after="0"/>
            </w:pPr>
            <w:r>
              <w:rPr>
                <w:b w:val="0"/>
                <w:i w:val="0"/>
                <w:sz w:val="13"/>
              </w:rPr>
              <w:t>Prix 0 % ; recette +14 % (volumes)</w:t>
            </w:r>
          </w:p>
        </w:tc>
        <w:tc>
          <w:tcPr>
            <w:tcW w:type="dxa" w:w="1814"/>
            <w:shd w:val="clear" w:color="auto" w:fill="F3F3F1"/>
          </w:tcPr>
          <w:p>
            <w:pPr>
              <w:spacing w:after="0"/>
            </w:pPr>
            <w:r>
              <w:rPr>
                <w:b w:val="0"/>
                <w:i w:val="0"/>
                <w:sz w:val="13"/>
              </w:rPr>
              <w:t>État et sociétés cotonnières</w:t>
            </w:r>
          </w:p>
        </w:tc>
        <w:tc>
          <w:tcPr>
            <w:tcW w:type="dxa" w:w="2211"/>
            <w:shd w:val="clear" w:color="auto" w:fill="F3F3F1"/>
          </w:tcPr>
          <w:p>
            <w:pPr>
              <w:spacing w:after="0"/>
            </w:pPr>
            <w:r>
              <w:rPr>
                <w:b w:val="0"/>
                <w:i w:val="0"/>
                <w:sz w:val="13"/>
              </w:rPr>
              <w:t>Mali : prix −27 %, production −79 %, recette −85 %. Burkina Faso : fonds de lissage, β = 0,39</w:t>
            </w:r>
          </w:p>
        </w:tc>
      </w:tr>
      <w:tr>
        <w:tc>
          <w:tcPr>
            <w:tcW w:type="dxa" w:w="1134"/>
          </w:tcPr>
          <w:p>
            <w:pPr>
              <w:spacing w:after="0"/>
            </w:pPr>
            <w:r>
              <w:rPr>
                <w:b/>
                <w:i w:val="0"/>
                <w:sz w:val="13"/>
              </w:rPr>
              <w:t>Hévéa 2011-16</w:t>
            </w:r>
          </w:p>
        </w:tc>
        <w:tc>
          <w:tcPr>
            <w:tcW w:type="dxa" w:w="1361"/>
          </w:tcPr>
          <w:p>
            <w:pPr>
              <w:spacing w:after="0"/>
            </w:pPr>
            <w:r>
              <w:rPr>
                <w:b w:val="0"/>
                <w:i w:val="0"/>
                <w:sz w:val="13"/>
              </w:rPr>
              <w:t>TSR20 −70 % (moyenne 2011 → 2016)</w:t>
            </w:r>
          </w:p>
        </w:tc>
        <w:tc>
          <w:tcPr>
            <w:tcW w:type="dxa" w:w="1928"/>
          </w:tcPr>
          <w:p>
            <w:pPr>
              <w:spacing w:after="0"/>
            </w:pPr>
            <w:r>
              <w:rPr>
                <w:b w:val="0"/>
                <w:i w:val="0"/>
                <w:sz w:val="13"/>
              </w:rPr>
              <w:t>Aucune (prix indexé) ; ajustements fiscaux ponctuels</w:t>
            </w:r>
          </w:p>
        </w:tc>
        <w:tc>
          <w:tcPr>
            <w:tcW w:type="dxa" w:w="1757"/>
          </w:tcPr>
          <w:p>
            <w:pPr>
              <w:spacing w:after="0"/>
            </w:pPr>
            <w:r>
              <w:rPr>
                <w:b w:val="0"/>
                <w:i w:val="0"/>
                <w:sz w:val="13"/>
              </w:rPr>
              <w:t>Prix −73 % ; recette −47 % grâce aux volumes</w:t>
            </w:r>
          </w:p>
        </w:tc>
        <w:tc>
          <w:tcPr>
            <w:tcW w:type="dxa" w:w="1814"/>
          </w:tcPr>
          <w:p>
            <w:pPr>
              <w:spacing w:after="0"/>
            </w:pPr>
            <w:r>
              <w:rPr>
                <w:b w:val="0"/>
                <w:i w:val="0"/>
                <w:sz w:val="13"/>
              </w:rPr>
              <w:t>Producteurs ; dépréciation de l'euro (et donc du FCFA) face au dollar</w:t>
            </w:r>
          </w:p>
        </w:tc>
        <w:tc>
          <w:tcPr>
            <w:tcW w:type="dxa" w:w="2211"/>
          </w:tcPr>
          <w:p>
            <w:pPr>
              <w:spacing w:after="0"/>
            </w:pPr>
            <w:r>
              <w:rPr>
                <w:b w:val="0"/>
                <w:i w:val="0"/>
                <w:sz w:val="13"/>
              </w:rPr>
              <w:t>Prix toujours inférieur de moitié à 2011. Thaïlande : achats publics coûteux, puis garantie de revenu plafonnée</w:t>
            </w:r>
          </w:p>
        </w:tc>
      </w:tr>
      <w:tr>
        <w:tc>
          <w:tcPr>
            <w:tcW w:type="dxa" w:w="1134"/>
            <w:shd w:val="clear" w:color="auto" w:fill="F3F3F1"/>
          </w:tcPr>
          <w:p>
            <w:pPr>
              <w:spacing w:after="0"/>
            </w:pPr>
            <w:r>
              <w:rPr>
                <w:b/>
                <w:i w:val="0"/>
                <w:sz w:val="13"/>
              </w:rPr>
              <w:t>Cacao 2023-26 (envolée puis effondrement)</w:t>
            </w:r>
          </w:p>
        </w:tc>
        <w:tc>
          <w:tcPr>
            <w:tcW w:type="dxa" w:w="1361"/>
            <w:shd w:val="clear" w:color="auto" w:fill="F3F3F1"/>
          </w:tcPr>
          <w:p>
            <w:pPr>
              <w:spacing w:after="0"/>
            </w:pPr>
            <w:r>
              <w:rPr>
                <w:b w:val="0"/>
                <w:i w:val="0"/>
                <w:sz w:val="13"/>
              </w:rPr>
              <w:t>ICCO +191 % (2022/23 → 2024/25), puis −64 % jusqu'en mars 2026</w:t>
            </w:r>
          </w:p>
        </w:tc>
        <w:tc>
          <w:tcPr>
            <w:tcW w:type="dxa" w:w="1928"/>
            <w:shd w:val="clear" w:color="auto" w:fill="F3F3F1"/>
          </w:tcPr>
          <w:p>
            <w:pPr>
              <w:spacing w:after="0"/>
            </w:pPr>
            <w:r>
              <w:rPr>
                <w:b w:val="0"/>
                <w:i w:val="0"/>
                <w:sz w:val="13"/>
              </w:rPr>
              <w:t>Hausses progressives 1 000 → 1 500 → 1 800 → 2 200 → 2 800 ; puis 1 200 FCFA (mars 2026, reconduit en 2026/27)</w:t>
            </w:r>
          </w:p>
        </w:tc>
        <w:tc>
          <w:tcPr>
            <w:tcW w:type="dxa" w:w="1757"/>
            <w:shd w:val="clear" w:color="auto" w:fill="F3F3F1"/>
          </w:tcPr>
          <w:p>
            <w:pPr>
              <w:spacing w:after="0"/>
            </w:pPr>
            <w:r>
              <w:rPr>
                <w:b w:val="0"/>
                <w:i w:val="0"/>
                <w:sz w:val="13"/>
              </w:rPr>
              <w:t>Hausse transmise à 0,57 ; baisse de −57 % ; recette de 2026/27 ≈ 2 160 Mds contre 4 588 Mds</w:t>
            </w:r>
          </w:p>
        </w:tc>
        <w:tc>
          <w:tcPr>
            <w:tcW w:type="dxa" w:w="1814"/>
            <w:shd w:val="clear" w:color="auto" w:fill="F3F3F1"/>
          </w:tcPr>
          <w:p>
            <w:pPr>
              <w:spacing w:after="0"/>
            </w:pPr>
            <w:r>
              <w:rPr>
                <w:b w:val="0"/>
                <w:i w:val="0"/>
                <w:sz w:val="13"/>
              </w:rPr>
              <w:t>CCC/État : rachat d'environ 200 kt d'invendus ; exportateurs défaillants ; puis producteurs</w:t>
            </w:r>
          </w:p>
        </w:tc>
        <w:tc>
          <w:tcPr>
            <w:tcW w:type="dxa" w:w="2211"/>
            <w:shd w:val="clear" w:color="auto" w:fill="F3F3F1"/>
          </w:tcPr>
          <w:p>
            <w:pPr>
              <w:spacing w:after="0"/>
            </w:pPr>
            <w:r>
              <w:rPr>
                <w:b w:val="0"/>
                <w:i w:val="0"/>
                <w:sz w:val="13"/>
              </w:rPr>
              <w:t>Prix relevé à contre-courant en octobre 2025 (ventes conclues aux prix hauts) ; ajustement brutal de −57 % 5 mois plus tard. Ghana : −29 % en février 2026, nouvelle loi (≥ 70 % du FOB)</w:t>
            </w:r>
          </w:p>
        </w:tc>
      </w:tr>
    </w:tbl>
    <w:p>
      <w:pPr>
        <w:spacing w:after="20"/>
      </w:pPr>
    </w:p>
    <w:p>
      <w:pPr>
        <w:spacing w:after="0"/>
        <w:jc w:val="center"/>
      </w:pPr>
      <w:r>
        <w:drawing>
          <wp:inline xmlns:a="http://schemas.openxmlformats.org/drawingml/2006/main" xmlns:pic="http://schemas.openxmlformats.org/drawingml/2006/picture">
            <wp:extent cx="6120000" cy="2667324"/>
            <wp:docPr id="3" name="Picture 3"/>
            <wp:cNvGraphicFramePr>
              <a:graphicFrameLocks noChangeAspect="1"/>
            </wp:cNvGraphicFramePr>
            <a:graphic>
              <a:graphicData uri="http://schemas.openxmlformats.org/drawingml/2006/picture">
                <pic:pic>
                  <pic:nvPicPr>
                    <pic:cNvPr id="0" name="G5_cacao_part_producteur.png"/>
                    <pic:cNvPicPr/>
                  </pic:nvPicPr>
                  <pic:blipFill>
                    <a:blip r:embed="rId12"/>
                    <a:stretch>
                      <a:fillRect/>
                    </a:stretch>
                  </pic:blipFill>
                  <pic:spPr>
                    <a:xfrm>
                      <a:off x="0" y="0"/>
                      <a:ext cx="6120000" cy="2667324"/>
                    </a:xfrm>
                    <a:prstGeom prst="rect"/>
                  </pic:spPr>
                </pic:pic>
              </a:graphicData>
            </a:graphic>
          </wp:inline>
        </w:drawing>
      </w:r>
    </w:p>
    <w:p>
      <w:pPr>
        <w:spacing w:after="40"/>
      </w:pPr>
      <w:r>
        <w:rPr>
          <w:b w:val="0"/>
          <w:i/>
          <w:color w:val="52514E"/>
          <w:sz w:val="13"/>
        </w:rPr>
        <w:t>La part du prix mondial au comptant (spot) reçue par le planteur a chuté à ~30 % en 2023/24 puis a dépassé 90 % en 2025/26. Le mécanisme décale donc le choc dans le temps sans le réduire. Les ventes anticipées étant conclues à d'autres prix que le comptant, la part rapportée au prix effectivement réalisé (CAF) est moins volatile. Source : SERIES.</w:t>
      </w:r>
    </w:p>
    <w:p>
      <w:pPr>
        <w:spacing w:after="0"/>
        <w:jc w:val="center"/>
      </w:pPr>
      <w:r>
        <w:drawing>
          <wp:inline xmlns:a="http://schemas.openxmlformats.org/drawingml/2006/main" xmlns:pic="http://schemas.openxmlformats.org/drawingml/2006/picture">
            <wp:extent cx="3960000" cy="2142764"/>
            <wp:docPr id="4" name="Picture 4"/>
            <wp:cNvGraphicFramePr>
              <a:graphicFrameLocks noChangeAspect="1"/>
            </wp:cNvGraphicFramePr>
            <a:graphic>
              <a:graphicData uri="http://schemas.openxmlformats.org/drawingml/2006/picture">
                <pic:pic>
                  <pic:nvPicPr>
                    <pic:cNvPr id="0" name="G2_recuperation.png"/>
                    <pic:cNvPicPr/>
                  </pic:nvPicPr>
                  <pic:blipFill>
                    <a:blip r:embed="rId13"/>
                    <a:stretch>
                      <a:fillRect/>
                    </a:stretch>
                  </pic:blipFill>
                  <pic:spPr>
                    <a:xfrm>
                      <a:off x="0" y="0"/>
                      <a:ext cx="3960000" cy="2142764"/>
                    </a:xfrm>
                    <a:prstGeom prst="rect"/>
                  </pic:spPr>
                </pic:pic>
              </a:graphicData>
            </a:graphic>
          </wp:inline>
        </w:drawing>
      </w:r>
    </w:p>
    <w:p>
      <w:pPr>
        <w:spacing w:after="40"/>
      </w:pPr>
      <w:r>
        <w:rPr>
          <w:b w:val="0"/>
          <w:i/>
          <w:color w:val="52514E"/>
          <w:sz w:val="13"/>
        </w:rPr>
        <w:t>Barres hachurées : prix pré-choc non retrouvé au 1er octobre 2026. Un délai nul correspond à un prix maintenu, qui n'est pas un « retour » au sens de la résilience.</w:t>
      </w:r>
    </w:p>
    <w:p>
      <w:r>
        <w:br w:type="page"/>
      </w:r>
    </w:p>
    <w:p>
      <w:pPr>
        <w:pStyle w:val="Heading1"/>
      </w:pPr>
      <w:r>
        <w:t>3. Comment font les autres ? Les mécanismes étrangers les plus instructifs</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907"/>
        <w:gridCol w:w="793"/>
        <w:gridCol w:w="2381"/>
        <w:gridCol w:w="1814"/>
        <w:gridCol w:w="1927"/>
        <w:gridCol w:w="2381"/>
      </w:tblGrid>
      <w:tr>
        <w:tc>
          <w:tcPr>
            <w:tcW w:type="dxa" w:w="907"/>
            <w:shd w:val="clear" w:color="auto" w:fill="1F4E3D"/>
          </w:tcPr>
          <w:p>
            <w:pPr>
              <w:spacing w:after="0"/>
            </w:pPr>
            <w:r>
              <w:rPr>
                <w:b/>
                <w:i w:val="0"/>
                <w:color w:val="FFFFFF"/>
                <w:sz w:val="12"/>
              </w:rPr>
              <w:t>Pays</w:t>
            </w:r>
          </w:p>
        </w:tc>
        <w:tc>
          <w:tcPr>
            <w:tcW w:type="dxa" w:w="794"/>
            <w:shd w:val="clear" w:color="auto" w:fill="1F4E3D"/>
          </w:tcPr>
          <w:p>
            <w:pPr>
              <w:spacing w:after="0"/>
            </w:pPr>
            <w:r>
              <w:rPr>
                <w:b/>
                <w:i w:val="0"/>
                <w:color w:val="FFFFFF"/>
                <w:sz w:val="12"/>
              </w:rPr>
              <w:t>Filière</w:t>
            </w:r>
          </w:p>
        </w:tc>
        <w:tc>
          <w:tcPr>
            <w:tcW w:type="dxa" w:w="2381"/>
            <w:shd w:val="clear" w:color="auto" w:fill="1F4E3D"/>
          </w:tcPr>
          <w:p>
            <w:pPr>
              <w:spacing w:after="0"/>
            </w:pPr>
            <w:r>
              <w:rPr>
                <w:b/>
                <w:i w:val="0"/>
                <w:color w:val="FFFFFF"/>
                <w:sz w:val="12"/>
              </w:rPr>
              <w:t>Mécanisme</w:t>
            </w:r>
          </w:p>
        </w:tc>
        <w:tc>
          <w:tcPr>
            <w:tcW w:type="dxa" w:w="1814"/>
            <w:shd w:val="clear" w:color="auto" w:fill="1F4E3D"/>
          </w:tcPr>
          <w:p>
            <w:pPr>
              <w:spacing w:after="0"/>
            </w:pPr>
            <w:r>
              <w:rPr>
                <w:b/>
                <w:i w:val="0"/>
                <w:color w:val="FFFFFF"/>
                <w:sz w:val="12"/>
              </w:rPr>
              <w:t>Résultat observé</w:t>
            </w:r>
          </w:p>
        </w:tc>
        <w:tc>
          <w:tcPr>
            <w:tcW w:type="dxa" w:w="1928"/>
            <w:shd w:val="clear" w:color="auto" w:fill="1F4E3D"/>
          </w:tcPr>
          <w:p>
            <w:pPr>
              <w:spacing w:after="0"/>
            </w:pPr>
            <w:r>
              <w:rPr>
                <w:b/>
                <w:i w:val="0"/>
                <w:color w:val="FFFFFF"/>
                <w:sz w:val="12"/>
              </w:rPr>
              <w:t>Coût / limite</w:t>
            </w:r>
          </w:p>
        </w:tc>
        <w:tc>
          <w:tcPr>
            <w:tcW w:type="dxa" w:w="2381"/>
            <w:shd w:val="clear" w:color="auto" w:fill="1F4E3D"/>
          </w:tcPr>
          <w:p>
            <w:pPr>
              <w:spacing w:after="0"/>
            </w:pPr>
            <w:r>
              <w:rPr>
                <w:b/>
                <w:i w:val="0"/>
                <w:color w:val="FFFFFF"/>
                <w:sz w:val="12"/>
              </w:rPr>
              <w:t>Enseignement pour la Côte d'Ivoire</w:t>
            </w:r>
          </w:p>
        </w:tc>
      </w:tr>
      <w:tr>
        <w:tc>
          <w:tcPr>
            <w:tcW w:type="dxa" w:w="907"/>
          </w:tcPr>
          <w:p>
            <w:pPr>
              <w:spacing w:after="0"/>
            </w:pPr>
            <w:r>
              <w:rPr>
                <w:b/>
                <w:i w:val="0"/>
                <w:sz w:val="12"/>
              </w:rPr>
              <w:t>Ghana</w:t>
            </w:r>
          </w:p>
        </w:tc>
        <w:tc>
          <w:tcPr>
            <w:tcW w:type="dxa" w:w="794"/>
          </w:tcPr>
          <w:p>
            <w:pPr>
              <w:spacing w:after="0"/>
            </w:pPr>
            <w:r>
              <w:rPr>
                <w:b w:val="0"/>
                <w:i w:val="0"/>
                <w:sz w:val="12"/>
              </w:rPr>
              <w:t>Cacao</w:t>
            </w:r>
          </w:p>
        </w:tc>
        <w:tc>
          <w:tcPr>
            <w:tcW w:type="dxa" w:w="2381"/>
          </w:tcPr>
          <w:p>
            <w:pPr>
              <w:spacing w:after="0"/>
            </w:pPr>
            <w:r>
              <w:rPr>
                <w:b w:val="0"/>
                <w:i w:val="0"/>
                <w:sz w:val="12"/>
              </w:rPr>
              <w:t>Prix fixé par Cocobod, ventes à terme, prêts syndiqués ; Act 1182 (2026) : &gt;= 70 % du FOB</w:t>
            </w:r>
          </w:p>
        </w:tc>
        <w:tc>
          <w:tcPr>
            <w:tcW w:type="dxa" w:w="1814"/>
          </w:tcPr>
          <w:p>
            <w:pPr>
              <w:spacing w:after="0"/>
            </w:pPr>
            <w:r>
              <w:rPr>
                <w:b w:val="0"/>
                <w:i w:val="0"/>
                <w:sz w:val="12"/>
              </w:rPr>
              <w:t>Prix nominal intact en 2016-18 (transmission 0)</w:t>
            </w:r>
          </w:p>
        </w:tc>
        <w:tc>
          <w:tcPr>
            <w:tcW w:type="dxa" w:w="1928"/>
          </w:tcPr>
          <w:p>
            <w:pPr>
              <w:spacing w:after="0"/>
            </w:pPr>
            <w:r>
              <w:rPr>
                <w:b w:val="0"/>
                <w:i w:val="0"/>
                <w:sz w:val="12"/>
              </w:rPr>
              <w:t>Dette héritée 5,8 Mds GHS ; défaut sur facilité relais 70 M USD ; contrats 2023/24 reportés ; coupe de -29 % en fév. 2026</w:t>
            </w:r>
          </w:p>
        </w:tc>
        <w:tc>
          <w:tcPr>
            <w:tcW w:type="dxa" w:w="2381"/>
          </w:tcPr>
          <w:p>
            <w:pPr>
              <w:spacing w:after="0"/>
            </w:pPr>
            <w:r>
              <w:rPr>
                <w:b w:val="0"/>
                <w:i w:val="0"/>
                <w:sz w:val="12"/>
              </w:rPr>
              <w:t>Stabiliser par la dette n'est pas soutenable ; une règle de partage explicite (% FOB) rend les ajustements prévisibles</w:t>
            </w:r>
          </w:p>
        </w:tc>
      </w:tr>
      <w:tr>
        <w:tc>
          <w:tcPr>
            <w:tcW w:type="dxa" w:w="907"/>
            <w:shd w:val="clear" w:color="auto" w:fill="F3F3F1"/>
          </w:tcPr>
          <w:p>
            <w:pPr>
              <w:spacing w:after="0"/>
            </w:pPr>
            <w:r>
              <w:rPr>
                <w:b/>
                <w:i w:val="0"/>
                <w:sz w:val="12"/>
              </w:rPr>
              <w:t>Équateur</w:t>
            </w:r>
          </w:p>
        </w:tc>
        <w:tc>
          <w:tcPr>
            <w:tcW w:type="dxa" w:w="794"/>
            <w:shd w:val="clear" w:color="auto" w:fill="F3F3F1"/>
          </w:tcPr>
          <w:p>
            <w:pPr>
              <w:spacing w:after="0"/>
            </w:pPr>
            <w:r>
              <w:rPr>
                <w:b w:val="0"/>
                <w:i w:val="0"/>
                <w:sz w:val="12"/>
              </w:rPr>
              <w:t>Cacao</w:t>
            </w:r>
          </w:p>
        </w:tc>
        <w:tc>
          <w:tcPr>
            <w:tcW w:type="dxa" w:w="2381"/>
            <w:shd w:val="clear" w:color="auto" w:fill="F3F3F1"/>
          </w:tcPr>
          <w:p>
            <w:pPr>
              <w:spacing w:after="0"/>
            </w:pPr>
            <w:r>
              <w:rPr>
                <w:b w:val="0"/>
                <w:i w:val="0"/>
                <w:sz w:val="12"/>
              </w:rPr>
              <w:t>Marché libre, économie dollarisée, différenciation qualité (fino de aroma, CCN-51)</w:t>
            </w:r>
          </w:p>
        </w:tc>
        <w:tc>
          <w:tcPr>
            <w:tcW w:type="dxa" w:w="1814"/>
            <w:shd w:val="clear" w:color="auto" w:fill="F3F3F1"/>
          </w:tcPr>
          <w:p>
            <w:pPr>
              <w:spacing w:after="0"/>
            </w:pPr>
            <w:r>
              <w:rPr>
                <w:b w:val="0"/>
                <w:i w:val="0"/>
                <w:sz w:val="12"/>
              </w:rPr>
              <w:t>Producteurs ~85-90 % du FOB ; production presque doublée depuis 2016</w:t>
            </w:r>
          </w:p>
        </w:tc>
        <w:tc>
          <w:tcPr>
            <w:tcW w:type="dxa" w:w="1928"/>
            <w:shd w:val="clear" w:color="auto" w:fill="F3F3F1"/>
          </w:tcPr>
          <w:p>
            <w:pPr>
              <w:spacing w:after="0"/>
            </w:pPr>
            <w:r>
              <w:rPr>
                <w:b w:val="0"/>
                <w:i w:val="0"/>
                <w:sz w:val="12"/>
              </w:rPr>
              <w:t>Aucune protection contre les baisses</w:t>
            </w:r>
          </w:p>
        </w:tc>
        <w:tc>
          <w:tcPr>
            <w:tcW w:type="dxa" w:w="2381"/>
            <w:shd w:val="clear" w:color="auto" w:fill="F3F3F1"/>
          </w:tcPr>
          <w:p>
            <w:pPr>
              <w:spacing w:after="0"/>
            </w:pPr>
            <w:r>
              <w:rPr>
                <w:b w:val="0"/>
                <w:i w:val="0"/>
                <w:sz w:val="12"/>
              </w:rPr>
              <w:t>Transmettre les hausses finance l'investissement et la productivité</w:t>
            </w:r>
          </w:p>
        </w:tc>
      </w:tr>
      <w:tr>
        <w:tc>
          <w:tcPr>
            <w:tcW w:type="dxa" w:w="907"/>
          </w:tcPr>
          <w:p>
            <w:pPr>
              <w:spacing w:after="0"/>
            </w:pPr>
            <w:r>
              <w:rPr>
                <w:b/>
                <w:i w:val="0"/>
                <w:sz w:val="12"/>
              </w:rPr>
              <w:t>Burkina Faso</w:t>
            </w:r>
          </w:p>
        </w:tc>
        <w:tc>
          <w:tcPr>
            <w:tcW w:type="dxa" w:w="794"/>
          </w:tcPr>
          <w:p>
            <w:pPr>
              <w:spacing w:after="0"/>
            </w:pPr>
            <w:r>
              <w:rPr>
                <w:b w:val="0"/>
                <w:i w:val="0"/>
                <w:sz w:val="12"/>
              </w:rPr>
              <w:t>Coton</w:t>
            </w:r>
          </w:p>
        </w:tc>
        <w:tc>
          <w:tcPr>
            <w:tcW w:type="dxa" w:w="2381"/>
          </w:tcPr>
          <w:p>
            <w:pPr>
              <w:spacing w:after="0"/>
            </w:pPr>
            <w:r>
              <w:rPr>
                <w:b w:val="0"/>
                <w:i w:val="0"/>
                <w:sz w:val="12"/>
              </w:rPr>
              <w:t>Fonds de lissage AICB : prix plancher + ajustement selon moyenne mobile des cours ; abondé en bonnes années</w:t>
            </w:r>
          </w:p>
        </w:tc>
        <w:tc>
          <w:tcPr>
            <w:tcW w:type="dxa" w:w="1814"/>
          </w:tcPr>
          <w:p>
            <w:pPr>
              <w:spacing w:after="0"/>
            </w:pPr>
            <w:r>
              <w:rPr>
                <w:b w:val="0"/>
                <w:i w:val="0"/>
                <w:sz w:val="12"/>
              </w:rPr>
              <w:t>Choc 2020 amorti (transmission estimée ~0,3)</w:t>
            </w:r>
          </w:p>
        </w:tc>
        <w:tc>
          <w:tcPr>
            <w:tcW w:type="dxa" w:w="1928"/>
          </w:tcPr>
          <w:p>
            <w:pPr>
              <w:spacing w:after="0"/>
            </w:pPr>
            <w:r>
              <w:rPr>
                <w:b w:val="0"/>
                <w:i w:val="0"/>
                <w:sz w:val="12"/>
              </w:rPr>
              <w:t>Épuisé lors de chocs longs ; recapitalisations par bailleurs</w:t>
            </w:r>
          </w:p>
        </w:tc>
        <w:tc>
          <w:tcPr>
            <w:tcW w:type="dxa" w:w="2381"/>
          </w:tcPr>
          <w:p>
            <w:pPr>
              <w:spacing w:after="0"/>
            </w:pPr>
            <w:r>
              <w:rPr>
                <w:b w:val="0"/>
                <w:i w:val="0"/>
                <w:sz w:val="12"/>
              </w:rPr>
              <w:t>Règle automatique de dotation/décaissement, plafonnée</w:t>
            </w:r>
          </w:p>
        </w:tc>
      </w:tr>
      <w:tr>
        <w:tc>
          <w:tcPr>
            <w:tcW w:type="dxa" w:w="907"/>
            <w:shd w:val="clear" w:color="auto" w:fill="F3F3F1"/>
          </w:tcPr>
          <w:p>
            <w:pPr>
              <w:spacing w:after="0"/>
            </w:pPr>
            <w:r>
              <w:rPr>
                <w:b/>
                <w:i w:val="0"/>
                <w:sz w:val="12"/>
              </w:rPr>
              <w:t>Mali</w:t>
            </w:r>
          </w:p>
        </w:tc>
        <w:tc>
          <w:tcPr>
            <w:tcW w:type="dxa" w:w="794"/>
            <w:shd w:val="clear" w:color="auto" w:fill="F3F3F1"/>
          </w:tcPr>
          <w:p>
            <w:pPr>
              <w:spacing w:after="0"/>
            </w:pPr>
            <w:r>
              <w:rPr>
                <w:b w:val="0"/>
                <w:i w:val="0"/>
                <w:sz w:val="12"/>
              </w:rPr>
              <w:t>Coton</w:t>
            </w:r>
          </w:p>
        </w:tc>
        <w:tc>
          <w:tcPr>
            <w:tcW w:type="dxa" w:w="2381"/>
            <w:shd w:val="clear" w:color="auto" w:fill="F3F3F1"/>
          </w:tcPr>
          <w:p>
            <w:pPr>
              <w:spacing w:after="0"/>
            </w:pPr>
            <w:r>
              <w:rPr>
                <w:b w:val="0"/>
                <w:i w:val="0"/>
                <w:sz w:val="12"/>
              </w:rPr>
              <w:t>Prix administré par la CMDT ; baisse brutale avant semis 2020 (275 -&gt; 200 FCFA)</w:t>
            </w:r>
          </w:p>
        </w:tc>
        <w:tc>
          <w:tcPr>
            <w:tcW w:type="dxa" w:w="1814"/>
            <w:shd w:val="clear" w:color="auto" w:fill="F3F3F1"/>
          </w:tcPr>
          <w:p>
            <w:pPr>
              <w:spacing w:after="0"/>
            </w:pPr>
            <w:r>
              <w:rPr>
                <w:b w:val="0"/>
                <w:i w:val="0"/>
                <w:sz w:val="12"/>
              </w:rPr>
              <w:t>Production -80 % (717 -&gt; 147 kt) ; revenu effondré</w:t>
            </w:r>
          </w:p>
        </w:tc>
        <w:tc>
          <w:tcPr>
            <w:tcW w:type="dxa" w:w="1928"/>
            <w:shd w:val="clear" w:color="auto" w:fill="F3F3F1"/>
          </w:tcPr>
          <w:p>
            <w:pPr>
              <w:spacing w:after="0"/>
            </w:pPr>
            <w:r>
              <w:rPr>
                <w:b w:val="0"/>
                <w:i w:val="0"/>
                <w:sz w:val="12"/>
              </w:rPr>
              <w:t>Rattrapage en 2021/22 seulement</w:t>
            </w:r>
          </w:p>
        </w:tc>
        <w:tc>
          <w:tcPr>
            <w:tcW w:type="dxa" w:w="2381"/>
            <w:shd w:val="clear" w:color="auto" w:fill="F3F3F1"/>
          </w:tcPr>
          <w:p>
            <w:pPr>
              <w:spacing w:after="0"/>
            </w:pPr>
            <w:r>
              <w:rPr>
                <w:b w:val="0"/>
                <w:i w:val="0"/>
                <w:sz w:val="12"/>
              </w:rPr>
              <w:t>Un ajustement brutal annoncé avant semis détruit la recette : lisser et pré-annoncer la règle</w:t>
            </w:r>
          </w:p>
        </w:tc>
      </w:tr>
      <w:tr>
        <w:tc>
          <w:tcPr>
            <w:tcW w:type="dxa" w:w="907"/>
          </w:tcPr>
          <w:p>
            <w:pPr>
              <w:spacing w:after="0"/>
            </w:pPr>
            <w:r>
              <w:rPr>
                <w:b/>
                <w:i w:val="0"/>
                <w:sz w:val="12"/>
              </w:rPr>
              <w:t>Brésil</w:t>
            </w:r>
          </w:p>
        </w:tc>
        <w:tc>
          <w:tcPr>
            <w:tcW w:type="dxa" w:w="794"/>
          </w:tcPr>
          <w:p>
            <w:pPr>
              <w:spacing w:after="0"/>
            </w:pPr>
            <w:r>
              <w:rPr>
                <w:b w:val="0"/>
                <w:i w:val="0"/>
                <w:sz w:val="12"/>
              </w:rPr>
              <w:t>Coton, café</w:t>
            </w:r>
          </w:p>
        </w:tc>
        <w:tc>
          <w:tcPr>
            <w:tcW w:type="dxa" w:w="2381"/>
          </w:tcPr>
          <w:p>
            <w:pPr>
              <w:spacing w:after="0"/>
            </w:pPr>
            <w:r>
              <w:rPr>
                <w:b w:val="0"/>
                <w:i w:val="0"/>
                <w:sz w:val="12"/>
              </w:rPr>
              <w:t>PGPM/PEPRO (paiement de l'écart au prix minimum par enchères), FUNCAFÉ (crédit), marchés à terme B3, assurance PSR subventionnée</w:t>
            </w:r>
          </w:p>
        </w:tc>
        <w:tc>
          <w:tcPr>
            <w:tcW w:type="dxa" w:w="1814"/>
          </w:tcPr>
          <w:p>
            <w:pPr>
              <w:spacing w:after="0"/>
            </w:pPr>
            <w:r>
              <w:rPr>
                <w:b w:val="0"/>
                <w:i w:val="0"/>
                <w:sz w:val="12"/>
              </w:rPr>
              <w:t>Revenu stabilisé sans figer le prix de marché</w:t>
            </w:r>
          </w:p>
        </w:tc>
        <w:tc>
          <w:tcPr>
            <w:tcW w:type="dxa" w:w="1928"/>
          </w:tcPr>
          <w:p>
            <w:pPr>
              <w:spacing w:after="0"/>
            </w:pPr>
            <w:r>
              <w:rPr>
                <w:b w:val="0"/>
                <w:i w:val="0"/>
                <w:sz w:val="12"/>
              </w:rPr>
              <w:t>Coût budgétaire annuel voté ; nécessite marchés financiers et données de rendement</w:t>
            </w:r>
          </w:p>
        </w:tc>
        <w:tc>
          <w:tcPr>
            <w:tcW w:type="dxa" w:w="2381"/>
          </w:tcPr>
          <w:p>
            <w:pPr>
              <w:spacing w:after="0"/>
            </w:pPr>
            <w:r>
              <w:rPr>
                <w:b w:val="0"/>
                <w:i w:val="0"/>
                <w:sz w:val="12"/>
              </w:rPr>
              <w:t>Paiements contracycliques ciblés et budgétés ex ante</w:t>
            </w:r>
          </w:p>
        </w:tc>
      </w:tr>
      <w:tr>
        <w:tc>
          <w:tcPr>
            <w:tcW w:type="dxa" w:w="907"/>
            <w:shd w:val="clear" w:color="auto" w:fill="F3F3F1"/>
          </w:tcPr>
          <w:p>
            <w:pPr>
              <w:spacing w:after="0"/>
            </w:pPr>
            <w:r>
              <w:rPr>
                <w:b/>
                <w:i w:val="0"/>
                <w:sz w:val="12"/>
              </w:rPr>
              <w:t>Malaisie</w:t>
            </w:r>
          </w:p>
        </w:tc>
        <w:tc>
          <w:tcPr>
            <w:tcW w:type="dxa" w:w="794"/>
            <w:shd w:val="clear" w:color="auto" w:fill="F3F3F1"/>
          </w:tcPr>
          <w:p>
            <w:pPr>
              <w:spacing w:after="0"/>
            </w:pPr>
            <w:r>
              <w:rPr>
                <w:b w:val="0"/>
                <w:i w:val="0"/>
                <w:sz w:val="12"/>
              </w:rPr>
              <w:t>Hévéa</w:t>
            </w:r>
          </w:p>
        </w:tc>
        <w:tc>
          <w:tcPr>
            <w:tcW w:type="dxa" w:w="2381"/>
            <w:shd w:val="clear" w:color="auto" w:fill="F3F3F1"/>
          </w:tcPr>
          <w:p>
            <w:pPr>
              <w:spacing w:after="0"/>
            </w:pPr>
            <w:r>
              <w:rPr>
                <w:b w:val="0"/>
                <w:i w:val="0"/>
                <w:sz w:val="12"/>
              </w:rPr>
              <w:t>Incitation à la production (IPG) : versement automatique quand le prix tombe sous un seuil</w:t>
            </w:r>
          </w:p>
        </w:tc>
        <w:tc>
          <w:tcPr>
            <w:tcW w:type="dxa" w:w="1814"/>
            <w:shd w:val="clear" w:color="auto" w:fill="F3F3F1"/>
          </w:tcPr>
          <w:p>
            <w:pPr>
              <w:spacing w:after="0"/>
            </w:pPr>
            <w:r>
              <w:rPr>
                <w:b w:val="0"/>
                <w:i w:val="0"/>
                <w:sz w:val="12"/>
              </w:rPr>
              <w:t>Plancher de revenu pour petits planteurs</w:t>
            </w:r>
          </w:p>
        </w:tc>
        <w:tc>
          <w:tcPr>
            <w:tcW w:type="dxa" w:w="1928"/>
            <w:shd w:val="clear" w:color="auto" w:fill="F3F3F1"/>
          </w:tcPr>
          <w:p>
            <w:pPr>
              <w:spacing w:after="0"/>
            </w:pPr>
            <w:r>
              <w:rPr>
                <w:b w:val="0"/>
                <w:i w:val="0"/>
                <w:sz w:val="12"/>
              </w:rPr>
              <w:t>Financé par le budget ; seuil à ajuster</w:t>
            </w:r>
          </w:p>
        </w:tc>
        <w:tc>
          <w:tcPr>
            <w:tcW w:type="dxa" w:w="2381"/>
            <w:shd w:val="clear" w:color="auto" w:fill="F3F3F1"/>
          </w:tcPr>
          <w:p>
            <w:pPr>
              <w:spacing w:after="0"/>
            </w:pPr>
            <w:r>
              <w:rPr>
                <w:b w:val="0"/>
                <w:i w:val="0"/>
                <w:sz w:val="12"/>
              </w:rPr>
              <w:t>Déclencheur automatique et plafonné par producteur</w:t>
            </w:r>
          </w:p>
        </w:tc>
      </w:tr>
      <w:tr>
        <w:tc>
          <w:tcPr>
            <w:tcW w:type="dxa" w:w="907"/>
          </w:tcPr>
          <w:p>
            <w:pPr>
              <w:spacing w:after="0"/>
            </w:pPr>
            <w:r>
              <w:rPr>
                <w:b/>
                <w:i w:val="0"/>
                <w:sz w:val="12"/>
              </w:rPr>
              <w:t>Thaïlande</w:t>
            </w:r>
          </w:p>
        </w:tc>
        <w:tc>
          <w:tcPr>
            <w:tcW w:type="dxa" w:w="794"/>
          </w:tcPr>
          <w:p>
            <w:pPr>
              <w:spacing w:after="0"/>
            </w:pPr>
            <w:r>
              <w:rPr>
                <w:b w:val="0"/>
                <w:i w:val="0"/>
                <w:sz w:val="12"/>
              </w:rPr>
              <w:t>Hévéa</w:t>
            </w:r>
          </w:p>
        </w:tc>
        <w:tc>
          <w:tcPr>
            <w:tcW w:type="dxa" w:w="2381"/>
          </w:tcPr>
          <w:p>
            <w:pPr>
              <w:spacing w:after="0"/>
            </w:pPr>
            <w:r>
              <w:rPr>
                <w:b w:val="0"/>
                <w:i w:val="0"/>
                <w:sz w:val="12"/>
              </w:rPr>
              <w:t>Achats publics (2012-13), aides à la surface, garantie de revenu (2019-22) plafonnée par exploitation ; cess export</w:t>
            </w:r>
          </w:p>
        </w:tc>
        <w:tc>
          <w:tcPr>
            <w:tcW w:type="dxa" w:w="1814"/>
          </w:tcPr>
          <w:p>
            <w:pPr>
              <w:spacing w:after="0"/>
            </w:pPr>
            <w:r>
              <w:rPr>
                <w:b w:val="0"/>
                <w:i w:val="0"/>
                <w:sz w:val="12"/>
              </w:rPr>
              <w:t>Revenu plancher pour petits planteurs</w:t>
            </w:r>
          </w:p>
        </w:tc>
        <w:tc>
          <w:tcPr>
            <w:tcW w:type="dxa" w:w="1928"/>
          </w:tcPr>
          <w:p>
            <w:pPr>
              <w:spacing w:after="0"/>
            </w:pPr>
            <w:r>
              <w:rPr>
                <w:b w:val="0"/>
                <w:i w:val="0"/>
                <w:sz w:val="12"/>
              </w:rPr>
              <w:t>Coût élevé, stocks publics invendables (2012-13)</w:t>
            </w:r>
          </w:p>
        </w:tc>
        <w:tc>
          <w:tcPr>
            <w:tcW w:type="dxa" w:w="2381"/>
          </w:tcPr>
          <w:p>
            <w:pPr>
              <w:spacing w:after="0"/>
            </w:pPr>
            <w:r>
              <w:rPr>
                <w:b w:val="0"/>
                <w:i w:val="0"/>
                <w:sz w:val="12"/>
              </w:rPr>
              <w:t>Plafonner la garantie ; éviter le stockage public</w:t>
            </w:r>
          </w:p>
        </w:tc>
      </w:tr>
      <w:tr>
        <w:tc>
          <w:tcPr>
            <w:tcW w:type="dxa" w:w="907"/>
            <w:shd w:val="clear" w:color="auto" w:fill="F3F3F1"/>
          </w:tcPr>
          <w:p>
            <w:pPr>
              <w:spacing w:after="0"/>
            </w:pPr>
            <w:r>
              <w:rPr>
                <w:b/>
                <w:i w:val="0"/>
                <w:sz w:val="12"/>
              </w:rPr>
              <w:t>Indonésie</w:t>
            </w:r>
          </w:p>
        </w:tc>
        <w:tc>
          <w:tcPr>
            <w:tcW w:type="dxa" w:w="794"/>
            <w:shd w:val="clear" w:color="auto" w:fill="F3F3F1"/>
          </w:tcPr>
          <w:p>
            <w:pPr>
              <w:spacing w:after="0"/>
            </w:pPr>
            <w:r>
              <w:rPr>
                <w:b w:val="0"/>
                <w:i w:val="0"/>
                <w:sz w:val="12"/>
              </w:rPr>
              <w:t>Palmier à huile</w:t>
            </w:r>
          </w:p>
        </w:tc>
        <w:tc>
          <w:tcPr>
            <w:tcW w:type="dxa" w:w="2381"/>
            <w:shd w:val="clear" w:color="auto" w:fill="F3F3F1"/>
          </w:tcPr>
          <w:p>
            <w:pPr>
              <w:spacing w:after="0"/>
            </w:pPr>
            <w:r>
              <w:rPr>
                <w:b w:val="0"/>
                <w:i w:val="0"/>
                <w:sz w:val="12"/>
              </w:rPr>
              <w:t>Fonds BPDPKS financé par un prélèvement export progressif (replantation, biodiesel)</w:t>
            </w:r>
          </w:p>
        </w:tc>
        <w:tc>
          <w:tcPr>
            <w:tcW w:type="dxa" w:w="1814"/>
            <w:shd w:val="clear" w:color="auto" w:fill="F3F3F1"/>
          </w:tcPr>
          <w:p>
            <w:pPr>
              <w:spacing w:after="0"/>
            </w:pPr>
            <w:r>
              <w:rPr>
                <w:b w:val="0"/>
                <w:i w:val="0"/>
                <w:sz w:val="12"/>
              </w:rPr>
              <w:t>Fonds de grande taille ; soutien de la demande intérieure</w:t>
            </w:r>
          </w:p>
        </w:tc>
        <w:tc>
          <w:tcPr>
            <w:tcW w:type="dxa" w:w="1928"/>
            <w:shd w:val="clear" w:color="auto" w:fill="F3F3F1"/>
          </w:tcPr>
          <w:p>
            <w:pPr>
              <w:spacing w:after="0"/>
            </w:pPr>
            <w:r>
              <w:rPr>
                <w:b w:val="0"/>
                <w:i w:val="0"/>
                <w:sz w:val="12"/>
              </w:rPr>
              <w:t>Interdiction d'exporter en 2022 : prix des régimes -55 %</w:t>
            </w:r>
          </w:p>
        </w:tc>
        <w:tc>
          <w:tcPr>
            <w:tcW w:type="dxa" w:w="2381"/>
            <w:shd w:val="clear" w:color="auto" w:fill="F3F3F1"/>
          </w:tcPr>
          <w:p>
            <w:pPr>
              <w:spacing w:after="0"/>
            </w:pPr>
            <w:r>
              <w:rPr>
                <w:b w:val="0"/>
                <w:i w:val="0"/>
                <w:sz w:val="12"/>
              </w:rPr>
              <w:t>Le prélèvement progressif constitue des réserves en haut de cycle ; éviter les mesures commerciales brutales</w:t>
            </w:r>
          </w:p>
        </w:tc>
      </w:tr>
      <w:tr>
        <w:tc>
          <w:tcPr>
            <w:tcW w:type="dxa" w:w="907"/>
          </w:tcPr>
          <w:p>
            <w:pPr>
              <w:spacing w:after="0"/>
            </w:pPr>
            <w:r>
              <w:rPr>
                <w:b/>
                <w:i w:val="0"/>
                <w:sz w:val="12"/>
              </w:rPr>
              <w:t>Tanzanie</w:t>
            </w:r>
          </w:p>
        </w:tc>
        <w:tc>
          <w:tcPr>
            <w:tcW w:type="dxa" w:w="794"/>
          </w:tcPr>
          <w:p>
            <w:pPr>
              <w:spacing w:after="0"/>
            </w:pPr>
            <w:r>
              <w:rPr>
                <w:b w:val="0"/>
                <w:i w:val="0"/>
                <w:sz w:val="12"/>
              </w:rPr>
              <w:t>Anacarde</w:t>
            </w:r>
          </w:p>
        </w:tc>
        <w:tc>
          <w:tcPr>
            <w:tcW w:type="dxa" w:w="2381"/>
          </w:tcPr>
          <w:p>
            <w:pPr>
              <w:spacing w:after="0"/>
            </w:pPr>
            <w:r>
              <w:rPr>
                <w:b w:val="0"/>
                <w:i w:val="0"/>
                <w:sz w:val="12"/>
              </w:rPr>
              <w:t>Récépissés d'entrepôt + enchères publiques</w:t>
            </w:r>
          </w:p>
        </w:tc>
        <w:tc>
          <w:tcPr>
            <w:tcW w:type="dxa" w:w="1814"/>
          </w:tcPr>
          <w:p>
            <w:pPr>
              <w:spacing w:after="0"/>
            </w:pPr>
            <w:r>
              <w:rPr>
                <w:b w:val="0"/>
                <w:i w:val="0"/>
                <w:sz w:val="12"/>
              </w:rPr>
              <w:t>Prix transparents, financement de stockage</w:t>
            </w:r>
          </w:p>
        </w:tc>
        <w:tc>
          <w:tcPr>
            <w:tcW w:type="dxa" w:w="1928"/>
          </w:tcPr>
          <w:p>
            <w:pPr>
              <w:spacing w:after="0"/>
            </w:pPr>
            <w:r>
              <w:rPr>
                <w:b w:val="0"/>
                <w:i w:val="0"/>
                <w:sz w:val="12"/>
              </w:rPr>
              <w:t>Intervention 2018 (achat public) coûteuse</w:t>
            </w:r>
          </w:p>
        </w:tc>
        <w:tc>
          <w:tcPr>
            <w:tcW w:type="dxa" w:w="2381"/>
          </w:tcPr>
          <w:p>
            <w:pPr>
              <w:spacing w:after="0"/>
            </w:pPr>
            <w:r>
              <w:rPr>
                <w:b w:val="0"/>
                <w:i w:val="0"/>
                <w:sz w:val="12"/>
              </w:rPr>
              <w:t>Outil de crédit-stockage adapté à l'anacarde</w:t>
            </w:r>
          </w:p>
        </w:tc>
      </w:tr>
      <w:tr>
        <w:tc>
          <w:tcPr>
            <w:tcW w:type="dxa" w:w="907"/>
            <w:shd w:val="clear" w:color="auto" w:fill="F3F3F1"/>
          </w:tcPr>
          <w:p>
            <w:pPr>
              <w:spacing w:after="0"/>
            </w:pPr>
            <w:r>
              <w:rPr>
                <w:b/>
                <w:i w:val="0"/>
                <w:sz w:val="12"/>
              </w:rPr>
              <w:t>Vietnam</w:t>
            </w:r>
          </w:p>
        </w:tc>
        <w:tc>
          <w:tcPr>
            <w:tcW w:type="dxa" w:w="794"/>
            <w:shd w:val="clear" w:color="auto" w:fill="F3F3F1"/>
          </w:tcPr>
          <w:p>
            <w:pPr>
              <w:spacing w:after="0"/>
            </w:pPr>
            <w:r>
              <w:rPr>
                <w:b w:val="0"/>
                <w:i w:val="0"/>
                <w:sz w:val="12"/>
              </w:rPr>
              <w:t>Café, anacarde</w:t>
            </w:r>
          </w:p>
        </w:tc>
        <w:tc>
          <w:tcPr>
            <w:tcW w:type="dxa" w:w="2381"/>
            <w:shd w:val="clear" w:color="auto" w:fill="F3F3F1"/>
          </w:tcPr>
          <w:p>
            <w:pPr>
              <w:spacing w:after="0"/>
            </w:pPr>
            <w:r>
              <w:rPr>
                <w:b w:val="0"/>
                <w:i w:val="0"/>
                <w:sz w:val="12"/>
              </w:rPr>
              <w:t>Transformation, irrigation, diversification des cultures (durian, poivre)</w:t>
            </w:r>
          </w:p>
        </w:tc>
        <w:tc>
          <w:tcPr>
            <w:tcW w:type="dxa" w:w="1814"/>
            <w:shd w:val="clear" w:color="auto" w:fill="F3F3F1"/>
          </w:tcPr>
          <w:p>
            <w:pPr>
              <w:spacing w:after="0"/>
            </w:pPr>
            <w:r>
              <w:rPr>
                <w:b w:val="0"/>
                <w:i w:val="0"/>
                <w:sz w:val="12"/>
              </w:rPr>
              <w:t>Volumes stables malgré transmission totale</w:t>
            </w:r>
          </w:p>
        </w:tc>
        <w:tc>
          <w:tcPr>
            <w:tcW w:type="dxa" w:w="1928"/>
            <w:shd w:val="clear" w:color="auto" w:fill="F3F3F1"/>
          </w:tcPr>
          <w:p>
            <w:pPr>
              <w:spacing w:after="0"/>
            </w:pPr>
            <w:r>
              <w:rPr>
                <w:b w:val="0"/>
                <w:i w:val="0"/>
                <w:sz w:val="12"/>
              </w:rPr>
              <w:t>Pas de protection prix</w:t>
            </w:r>
          </w:p>
        </w:tc>
        <w:tc>
          <w:tcPr>
            <w:tcW w:type="dxa" w:w="2381"/>
            <w:shd w:val="clear" w:color="auto" w:fill="F3F3F1"/>
          </w:tcPr>
          <w:p>
            <w:pPr>
              <w:spacing w:after="0"/>
            </w:pPr>
            <w:r>
              <w:rPr>
                <w:b w:val="0"/>
                <w:i w:val="0"/>
                <w:sz w:val="12"/>
              </w:rPr>
              <w:t>La productivité et la diversification sont des amortisseurs de revenu</w:t>
            </w:r>
          </w:p>
        </w:tc>
      </w:tr>
    </w:tbl>
    <w:p>
      <w:pPr>
        <w:spacing w:after="20"/>
      </w:pPr>
    </w:p>
    <w:p>
      <w:pPr>
        <w:pStyle w:val="Heading2"/>
      </w:pPr>
      <w:r>
        <w:t>Six modèles de stabilisation comparés</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1927"/>
        <w:gridCol w:w="1701"/>
        <w:gridCol w:w="1474"/>
        <w:gridCol w:w="1304"/>
        <w:gridCol w:w="1644"/>
        <w:gridCol w:w="2154"/>
      </w:tblGrid>
      <w:tr>
        <w:tc>
          <w:tcPr>
            <w:tcW w:type="dxa" w:w="1928"/>
            <w:shd w:val="clear" w:color="auto" w:fill="1F4E3D"/>
          </w:tcPr>
          <w:p>
            <w:pPr>
              <w:spacing w:after="0"/>
            </w:pPr>
            <w:r>
              <w:rPr>
                <w:b/>
                <w:i w:val="0"/>
                <w:color w:val="FFFFFF"/>
                <w:sz w:val="12"/>
              </w:rPr>
              <w:t>Modèle</w:t>
            </w:r>
          </w:p>
        </w:tc>
        <w:tc>
          <w:tcPr>
            <w:tcW w:type="dxa" w:w="1701"/>
            <w:shd w:val="clear" w:color="auto" w:fill="1F4E3D"/>
          </w:tcPr>
          <w:p>
            <w:pPr>
              <w:spacing w:after="0"/>
            </w:pPr>
            <w:r>
              <w:rPr>
                <w:b/>
                <w:i w:val="0"/>
                <w:color w:val="FFFFFF"/>
                <w:sz w:val="12"/>
              </w:rPr>
              <w:t>Efficacité observée</w:t>
            </w:r>
          </w:p>
        </w:tc>
        <w:tc>
          <w:tcPr>
            <w:tcW w:type="dxa" w:w="1474"/>
            <w:shd w:val="clear" w:color="auto" w:fill="1F4E3D"/>
          </w:tcPr>
          <w:p>
            <w:pPr>
              <w:spacing w:after="0"/>
            </w:pPr>
            <w:r>
              <w:rPr>
                <w:b/>
                <w:i w:val="0"/>
                <w:color w:val="FFFFFF"/>
                <w:sz w:val="12"/>
              </w:rPr>
              <w:t>Coût</w:t>
            </w:r>
          </w:p>
        </w:tc>
        <w:tc>
          <w:tcPr>
            <w:tcW w:type="dxa" w:w="1304"/>
            <w:shd w:val="clear" w:color="auto" w:fill="1F4E3D"/>
          </w:tcPr>
          <w:p>
            <w:pPr>
              <w:spacing w:after="0"/>
            </w:pPr>
            <w:r>
              <w:rPr>
                <w:b/>
                <w:i w:val="0"/>
                <w:color w:val="FFFFFF"/>
                <w:sz w:val="12"/>
              </w:rPr>
              <w:t>Besoin de données</w:t>
            </w:r>
          </w:p>
        </w:tc>
        <w:tc>
          <w:tcPr>
            <w:tcW w:type="dxa" w:w="1644"/>
            <w:shd w:val="clear" w:color="auto" w:fill="1F4E3D"/>
          </w:tcPr>
          <w:p>
            <w:pPr>
              <w:spacing w:after="0"/>
            </w:pPr>
            <w:r>
              <w:rPr>
                <w:b/>
                <w:i w:val="0"/>
                <w:color w:val="FFFFFF"/>
                <w:sz w:val="12"/>
              </w:rPr>
              <w:t>Principal risque</w:t>
            </w:r>
          </w:p>
        </w:tc>
        <w:tc>
          <w:tcPr>
            <w:tcW w:type="dxa" w:w="2154"/>
            <w:shd w:val="clear" w:color="auto" w:fill="1F4E3D"/>
          </w:tcPr>
          <w:p>
            <w:pPr>
              <w:spacing w:after="0"/>
            </w:pPr>
            <w:r>
              <w:rPr>
                <w:b/>
                <w:i w:val="0"/>
                <w:color w:val="FFFFFF"/>
                <w:sz w:val="12"/>
              </w:rPr>
              <w:t>Compatibilité avec la Côte d'Ivoire</w:t>
            </w:r>
          </w:p>
        </w:tc>
      </w:tr>
      <w:tr>
        <w:tc>
          <w:tcPr>
            <w:tcW w:type="dxa" w:w="1928"/>
          </w:tcPr>
          <w:p>
            <w:pPr>
              <w:spacing w:after="0"/>
            </w:pPr>
            <w:r>
              <w:rPr>
                <w:b/>
                <w:i w:val="0"/>
                <w:sz w:val="12"/>
              </w:rPr>
              <w:t>A. Prix administré (CI, Ghana, Mali)</w:t>
            </w:r>
          </w:p>
        </w:tc>
        <w:tc>
          <w:tcPr>
            <w:tcW w:type="dxa" w:w="1701"/>
          </w:tcPr>
          <w:p>
            <w:pPr>
              <w:spacing w:after="0"/>
            </w:pPr>
            <w:r>
              <w:rPr>
                <w:b w:val="0"/>
                <w:i w:val="0"/>
                <w:sz w:val="12"/>
              </w:rPr>
              <w:t>Élevée tant que le choc est court</w:t>
            </w:r>
          </w:p>
        </w:tc>
        <w:tc>
          <w:tcPr>
            <w:tcW w:type="dxa" w:w="1474"/>
          </w:tcPr>
          <w:p>
            <w:pPr>
              <w:spacing w:after="0"/>
            </w:pPr>
            <w:r>
              <w:rPr>
                <w:b w:val="0"/>
                <w:i w:val="0"/>
                <w:sz w:val="12"/>
              </w:rPr>
              <w:t>Caché (dette, subvention, contrats)</w:t>
            </w:r>
          </w:p>
        </w:tc>
        <w:tc>
          <w:tcPr>
            <w:tcW w:type="dxa" w:w="1304"/>
          </w:tcPr>
          <w:p>
            <w:pPr>
              <w:spacing w:after="0"/>
            </w:pPr>
            <w:r>
              <w:rPr>
                <w:b w:val="0"/>
                <w:i w:val="0"/>
                <w:sz w:val="12"/>
              </w:rPr>
              <w:t>Faible</w:t>
            </w:r>
          </w:p>
        </w:tc>
        <w:tc>
          <w:tcPr>
            <w:tcW w:type="dxa" w:w="1644"/>
          </w:tcPr>
          <w:p>
            <w:pPr>
              <w:spacing w:after="0"/>
            </w:pPr>
            <w:r>
              <w:rPr>
                <w:b w:val="0"/>
                <w:i w:val="0"/>
                <w:sz w:val="12"/>
              </w:rPr>
              <w:t>Ajustement brutal, dette</w:t>
            </w:r>
          </w:p>
        </w:tc>
        <w:tc>
          <w:tcPr>
            <w:tcW w:type="dxa" w:w="2154"/>
          </w:tcPr>
          <w:p>
            <w:pPr>
              <w:spacing w:after="0"/>
            </w:pPr>
            <w:r>
              <w:rPr>
                <w:b w:val="0"/>
                <w:i w:val="0"/>
                <w:sz w:val="12"/>
              </w:rPr>
              <w:t>Existe : à doter d'une règle et d'une réserve</w:t>
            </w:r>
          </w:p>
        </w:tc>
      </w:tr>
      <w:tr>
        <w:tc>
          <w:tcPr>
            <w:tcW w:type="dxa" w:w="1928"/>
            <w:shd w:val="clear" w:color="auto" w:fill="F3F3F1"/>
          </w:tcPr>
          <w:p>
            <w:pPr>
              <w:spacing w:after="0"/>
            </w:pPr>
            <w:r>
              <w:rPr>
                <w:b/>
                <w:i w:val="0"/>
                <w:sz w:val="12"/>
              </w:rPr>
              <w:t>B. Fonds de stabilisation à règle (Burkina Faso, Chili)</w:t>
            </w:r>
          </w:p>
        </w:tc>
        <w:tc>
          <w:tcPr>
            <w:tcW w:type="dxa" w:w="1701"/>
            <w:shd w:val="clear" w:color="auto" w:fill="F3F3F1"/>
          </w:tcPr>
          <w:p>
            <w:pPr>
              <w:spacing w:after="0"/>
            </w:pPr>
            <w:r>
              <w:rPr>
                <w:b w:val="0"/>
                <w:i w:val="0"/>
                <w:sz w:val="12"/>
              </w:rPr>
              <w:t>Bonne si la règle est automatique et le fonds abondé en haut de cycle</w:t>
            </w:r>
          </w:p>
        </w:tc>
        <w:tc>
          <w:tcPr>
            <w:tcW w:type="dxa" w:w="1474"/>
            <w:shd w:val="clear" w:color="auto" w:fill="F3F3F1"/>
          </w:tcPr>
          <w:p>
            <w:pPr>
              <w:spacing w:after="0"/>
            </w:pPr>
            <w:r>
              <w:rPr>
                <w:b w:val="0"/>
                <w:i w:val="0"/>
                <w:sz w:val="12"/>
              </w:rPr>
              <w:t>Financé par les années fastes</w:t>
            </w:r>
          </w:p>
        </w:tc>
        <w:tc>
          <w:tcPr>
            <w:tcW w:type="dxa" w:w="1304"/>
            <w:shd w:val="clear" w:color="auto" w:fill="F3F3F1"/>
          </w:tcPr>
          <w:p>
            <w:pPr>
              <w:spacing w:after="0"/>
            </w:pPr>
            <w:r>
              <w:rPr>
                <w:b w:val="0"/>
                <w:i w:val="0"/>
                <w:sz w:val="12"/>
              </w:rPr>
              <w:t>Moyen (prix de référence)</w:t>
            </w:r>
          </w:p>
        </w:tc>
        <w:tc>
          <w:tcPr>
            <w:tcW w:type="dxa" w:w="1644"/>
            <w:shd w:val="clear" w:color="auto" w:fill="F3F3F1"/>
          </w:tcPr>
          <w:p>
            <w:pPr>
              <w:spacing w:after="0"/>
            </w:pPr>
            <w:r>
              <w:rPr>
                <w:b w:val="0"/>
                <w:i w:val="0"/>
                <w:sz w:val="12"/>
              </w:rPr>
              <w:t>Épuisement, captation politique</w:t>
            </w:r>
          </w:p>
        </w:tc>
        <w:tc>
          <w:tcPr>
            <w:tcW w:type="dxa" w:w="2154"/>
            <w:shd w:val="clear" w:color="auto" w:fill="F3F3F1"/>
          </w:tcPr>
          <w:p>
            <w:pPr>
              <w:spacing w:after="0"/>
            </w:pPr>
            <w:r>
              <w:rPr>
                <w:b/>
                <w:i w:val="0"/>
                <w:sz w:val="12"/>
              </w:rPr>
              <w:t>Forte</w:t>
            </w:r>
            <w:r>
              <w:rPr>
                <w:b w:val="0"/>
                <w:i w:val="0"/>
                <w:sz w:val="12"/>
              </w:rPr>
              <w:t xml:space="preserve"> (cacao, coton, café)</w:t>
            </w:r>
          </w:p>
        </w:tc>
      </w:tr>
      <w:tr>
        <w:tc>
          <w:tcPr>
            <w:tcW w:type="dxa" w:w="1928"/>
          </w:tcPr>
          <w:p>
            <w:pPr>
              <w:spacing w:after="0"/>
            </w:pPr>
            <w:r>
              <w:rPr>
                <w:b/>
                <w:i w:val="0"/>
                <w:sz w:val="12"/>
              </w:rPr>
              <w:t>C. Assurance revenu / recette (Brésil, OCDE)</w:t>
            </w:r>
          </w:p>
        </w:tc>
        <w:tc>
          <w:tcPr>
            <w:tcW w:type="dxa" w:w="1701"/>
          </w:tcPr>
          <w:p>
            <w:pPr>
              <w:spacing w:after="0"/>
            </w:pPr>
            <w:r>
              <w:rPr>
                <w:b w:val="0"/>
                <w:i w:val="0"/>
                <w:sz w:val="12"/>
              </w:rPr>
              <w:t>Bonne pour les chocs de volume</w:t>
            </w:r>
          </w:p>
        </w:tc>
        <w:tc>
          <w:tcPr>
            <w:tcW w:type="dxa" w:w="1474"/>
          </w:tcPr>
          <w:p>
            <w:pPr>
              <w:spacing w:after="0"/>
            </w:pPr>
            <w:r>
              <w:rPr>
                <w:b w:val="0"/>
                <w:i w:val="0"/>
                <w:sz w:val="12"/>
              </w:rPr>
              <w:t>Subvention des primes (30 à 60 %)</w:t>
            </w:r>
          </w:p>
        </w:tc>
        <w:tc>
          <w:tcPr>
            <w:tcW w:type="dxa" w:w="1304"/>
          </w:tcPr>
          <w:p>
            <w:pPr>
              <w:spacing w:after="0"/>
            </w:pPr>
            <w:r>
              <w:rPr>
                <w:b/>
                <w:i w:val="0"/>
                <w:sz w:val="12"/>
              </w:rPr>
              <w:t>Élevé</w:t>
            </w:r>
            <w:r>
              <w:rPr>
                <w:b w:val="0"/>
                <w:i w:val="0"/>
                <w:sz w:val="12"/>
              </w:rPr>
              <w:t xml:space="preserve"> (rendements par zone)</w:t>
            </w:r>
          </w:p>
        </w:tc>
        <w:tc>
          <w:tcPr>
            <w:tcW w:type="dxa" w:w="1644"/>
          </w:tcPr>
          <w:p>
            <w:pPr>
              <w:spacing w:after="0"/>
            </w:pPr>
            <w:r>
              <w:rPr>
                <w:b w:val="0"/>
                <w:i w:val="0"/>
                <w:sz w:val="12"/>
              </w:rPr>
              <w:t>Antisélection, coût de gestion</w:t>
            </w:r>
          </w:p>
        </w:tc>
        <w:tc>
          <w:tcPr>
            <w:tcW w:type="dxa" w:w="2154"/>
          </w:tcPr>
          <w:p>
            <w:pPr>
              <w:spacing w:after="0"/>
            </w:pPr>
            <w:r>
              <w:rPr>
                <w:b w:val="0"/>
                <w:i w:val="0"/>
                <w:sz w:val="12"/>
              </w:rPr>
              <w:t>Moyenne : coton d'abord (zones homogènes)</w:t>
            </w:r>
          </w:p>
        </w:tc>
      </w:tr>
      <w:tr>
        <w:tc>
          <w:tcPr>
            <w:tcW w:type="dxa" w:w="1928"/>
            <w:shd w:val="clear" w:color="auto" w:fill="F3F3F1"/>
          </w:tcPr>
          <w:p>
            <w:pPr>
              <w:spacing w:after="0"/>
            </w:pPr>
            <w:r>
              <w:rPr>
                <w:b/>
                <w:i w:val="0"/>
                <w:sz w:val="12"/>
              </w:rPr>
              <w:t>D. Ventes à terme / options (CI, Ghana)</w:t>
            </w:r>
          </w:p>
        </w:tc>
        <w:tc>
          <w:tcPr>
            <w:tcW w:type="dxa" w:w="1701"/>
            <w:shd w:val="clear" w:color="auto" w:fill="F3F3F1"/>
          </w:tcPr>
          <w:p>
            <w:pPr>
              <w:spacing w:after="0"/>
            </w:pPr>
            <w:r>
              <w:rPr>
                <w:b w:val="0"/>
                <w:i w:val="0"/>
                <w:sz w:val="12"/>
              </w:rPr>
              <w:t>Bonne sur 6 à 18 mois</w:t>
            </w:r>
          </w:p>
        </w:tc>
        <w:tc>
          <w:tcPr>
            <w:tcW w:type="dxa" w:w="1474"/>
            <w:shd w:val="clear" w:color="auto" w:fill="F3F3F1"/>
          </w:tcPr>
          <w:p>
            <w:pPr>
              <w:spacing w:after="0"/>
            </w:pPr>
            <w:r>
              <w:rPr>
                <w:b w:val="0"/>
                <w:i w:val="0"/>
                <w:sz w:val="12"/>
              </w:rPr>
              <w:t>Prime des options ; risque de contrepartie</w:t>
            </w:r>
          </w:p>
        </w:tc>
        <w:tc>
          <w:tcPr>
            <w:tcW w:type="dxa" w:w="1304"/>
            <w:shd w:val="clear" w:color="auto" w:fill="F3F3F1"/>
          </w:tcPr>
          <w:p>
            <w:pPr>
              <w:spacing w:after="0"/>
            </w:pPr>
            <w:r>
              <w:rPr>
                <w:b w:val="0"/>
                <w:i w:val="0"/>
                <w:sz w:val="12"/>
              </w:rPr>
              <w:t>Moyen</w:t>
            </w:r>
          </w:p>
        </w:tc>
        <w:tc>
          <w:tcPr>
            <w:tcW w:type="dxa" w:w="1644"/>
            <w:shd w:val="clear" w:color="auto" w:fill="F3F3F1"/>
          </w:tcPr>
          <w:p>
            <w:pPr>
              <w:spacing w:after="0"/>
            </w:pPr>
            <w:r>
              <w:rPr>
                <w:b w:val="0"/>
                <w:i w:val="0"/>
                <w:sz w:val="12"/>
              </w:rPr>
              <w:t>Défauts en cas de forte baisse, manque à gagner en hausse</w:t>
            </w:r>
          </w:p>
        </w:tc>
        <w:tc>
          <w:tcPr>
            <w:tcW w:type="dxa" w:w="2154"/>
            <w:shd w:val="clear" w:color="auto" w:fill="F3F3F1"/>
          </w:tcPr>
          <w:p>
            <w:pPr>
              <w:spacing w:after="0"/>
            </w:pPr>
            <w:r>
              <w:rPr>
                <w:b w:val="0"/>
                <w:i w:val="0"/>
                <w:sz w:val="12"/>
              </w:rPr>
              <w:t>Existe : ajouter des garanties et des options de vente (put)</w:t>
            </w:r>
          </w:p>
        </w:tc>
      </w:tr>
      <w:tr>
        <w:tc>
          <w:tcPr>
            <w:tcW w:type="dxa" w:w="1928"/>
          </w:tcPr>
          <w:p>
            <w:pPr>
              <w:spacing w:after="0"/>
            </w:pPr>
            <w:r>
              <w:rPr>
                <w:b/>
                <w:i w:val="0"/>
                <w:sz w:val="12"/>
              </w:rPr>
              <w:t>E. Paiement contracyclique (Malaisie, Thaïlande)</w:t>
            </w:r>
          </w:p>
        </w:tc>
        <w:tc>
          <w:tcPr>
            <w:tcW w:type="dxa" w:w="1701"/>
          </w:tcPr>
          <w:p>
            <w:pPr>
              <w:spacing w:after="0"/>
            </w:pPr>
            <w:r>
              <w:rPr>
                <w:b w:val="0"/>
                <w:i w:val="0"/>
                <w:sz w:val="12"/>
              </w:rPr>
              <w:t>Bonne pour les petits planteurs</w:t>
            </w:r>
          </w:p>
        </w:tc>
        <w:tc>
          <w:tcPr>
            <w:tcW w:type="dxa" w:w="1474"/>
          </w:tcPr>
          <w:p>
            <w:pPr>
              <w:spacing w:after="0"/>
            </w:pPr>
            <w:r>
              <w:rPr>
                <w:b w:val="0"/>
                <w:i w:val="0"/>
                <w:sz w:val="12"/>
              </w:rPr>
              <w:t>Budgétaire, à plafonner</w:t>
            </w:r>
          </w:p>
        </w:tc>
        <w:tc>
          <w:tcPr>
            <w:tcW w:type="dxa" w:w="1304"/>
          </w:tcPr>
          <w:p>
            <w:pPr>
              <w:spacing w:after="0"/>
            </w:pPr>
            <w:r>
              <w:rPr>
                <w:b w:val="0"/>
                <w:i w:val="0"/>
                <w:sz w:val="12"/>
              </w:rPr>
              <w:t>Moyen (registre des producteurs)</w:t>
            </w:r>
          </w:p>
        </w:tc>
        <w:tc>
          <w:tcPr>
            <w:tcW w:type="dxa" w:w="1644"/>
          </w:tcPr>
          <w:p>
            <w:pPr>
              <w:spacing w:after="0"/>
            </w:pPr>
            <w:r>
              <w:rPr>
                <w:b w:val="0"/>
                <w:i w:val="0"/>
                <w:sz w:val="12"/>
              </w:rPr>
              <w:t>Coût ouvert sans plafond</w:t>
            </w:r>
          </w:p>
        </w:tc>
        <w:tc>
          <w:tcPr>
            <w:tcW w:type="dxa" w:w="2154"/>
          </w:tcPr>
          <w:p>
            <w:pPr>
              <w:spacing w:after="0"/>
            </w:pPr>
            <w:r>
              <w:rPr>
                <w:b w:val="0"/>
                <w:i w:val="0"/>
                <w:sz w:val="12"/>
              </w:rPr>
              <w:t>Forte pour l'hévéa (registre CHPC)</w:t>
            </w:r>
          </w:p>
        </w:tc>
      </w:tr>
      <w:tr>
        <w:tc>
          <w:tcPr>
            <w:tcW w:type="dxa" w:w="1928"/>
            <w:shd w:val="clear" w:color="auto" w:fill="F3F3F1"/>
          </w:tcPr>
          <w:p>
            <w:pPr>
              <w:spacing w:after="0"/>
            </w:pPr>
            <w:r>
              <w:rPr>
                <w:b/>
                <w:i w:val="0"/>
                <w:sz w:val="12"/>
              </w:rPr>
              <w:t>F. Marché + intervention ciblée (Équateur, Vietnam, Tanzanie)</w:t>
            </w:r>
          </w:p>
        </w:tc>
        <w:tc>
          <w:tcPr>
            <w:tcW w:type="dxa" w:w="1701"/>
            <w:shd w:val="clear" w:color="auto" w:fill="F3F3F1"/>
          </w:tcPr>
          <w:p>
            <w:pPr>
              <w:spacing w:after="0"/>
            </w:pPr>
            <w:r>
              <w:rPr>
                <w:b w:val="0"/>
                <w:i w:val="0"/>
                <w:sz w:val="12"/>
              </w:rPr>
              <w:t>Volatile mais à récupération rapide (productivité)</w:t>
            </w:r>
          </w:p>
        </w:tc>
        <w:tc>
          <w:tcPr>
            <w:tcW w:type="dxa" w:w="1474"/>
            <w:shd w:val="clear" w:color="auto" w:fill="F3F3F1"/>
          </w:tcPr>
          <w:p>
            <w:pPr>
              <w:spacing w:after="0"/>
            </w:pPr>
            <w:r>
              <w:rPr>
                <w:b w:val="0"/>
                <w:i w:val="0"/>
                <w:sz w:val="12"/>
              </w:rPr>
              <w:t>Faible</w:t>
            </w:r>
          </w:p>
        </w:tc>
        <w:tc>
          <w:tcPr>
            <w:tcW w:type="dxa" w:w="1304"/>
            <w:shd w:val="clear" w:color="auto" w:fill="F3F3F1"/>
          </w:tcPr>
          <w:p>
            <w:pPr>
              <w:spacing w:after="0"/>
            </w:pPr>
            <w:r>
              <w:rPr>
                <w:b w:val="0"/>
                <w:i w:val="0"/>
                <w:sz w:val="12"/>
              </w:rPr>
              <w:t>Faible</w:t>
            </w:r>
          </w:p>
        </w:tc>
        <w:tc>
          <w:tcPr>
            <w:tcW w:type="dxa" w:w="1644"/>
            <w:shd w:val="clear" w:color="auto" w:fill="F3F3F1"/>
          </w:tcPr>
          <w:p>
            <w:pPr>
              <w:spacing w:after="0"/>
            </w:pPr>
            <w:r>
              <w:rPr>
                <w:b w:val="0"/>
                <w:i w:val="0"/>
                <w:sz w:val="12"/>
              </w:rPr>
              <w:t>Pertes non couvertes</w:t>
            </w:r>
          </w:p>
        </w:tc>
        <w:tc>
          <w:tcPr>
            <w:tcW w:type="dxa" w:w="2154"/>
            <w:shd w:val="clear" w:color="auto" w:fill="F3F3F1"/>
          </w:tcPr>
          <w:p>
            <w:pPr>
              <w:spacing w:after="0"/>
            </w:pPr>
            <w:r>
              <w:rPr>
                <w:b w:val="0"/>
                <w:i w:val="0"/>
                <w:sz w:val="12"/>
              </w:rPr>
              <w:t>Forte pour l'anacarde (récépissés d'entrepôt)</w:t>
            </w:r>
          </w:p>
        </w:tc>
      </w:tr>
    </w:tbl>
    <w:p>
      <w:pPr>
        <w:spacing w:after="20"/>
      </w:pPr>
    </w:p>
    <w:tbl>
      <w:tblPr>
        <w:tblW w:type="auto" w:w="0"/>
        <w:jc w:val="center"/>
        <w:tblLook w:firstColumn="1" w:firstRow="1" w:lastColumn="0" w:lastRow="0" w:noHBand="0" w:noVBand="1" w:val="04A0"/>
        <w:tblCellMar>
          <w:top w:w="85" w:type="dxa"/>
          <w:left w:w="85" w:type="dxa"/>
          <w:bottom w:w="85" w:type="dxa"/>
          <w:right w:w="85" w:type="dxa"/>
        </w:tblCellMar>
      </w:tblPr>
      <w:tblGrid>
        <w:gridCol w:w="10206"/>
      </w:tblGrid>
      <w:tr>
        <w:tc>
          <w:tcPr>
            <w:tcW w:type="dxa" w:w="10205"/>
            <w:shd w:val="clear" w:color="auto" w:fill="EAF2EE"/>
          </w:tcPr>
          <w:p>
            <w:pPr>
              <w:spacing w:after="30"/>
            </w:pPr>
            <w:r>
              <w:rPr>
                <w:b/>
                <w:i w:val="0"/>
                <w:sz w:val="14"/>
              </w:rPr>
              <w:t>Garantie de prix, de recette ou de revenu ?</w:t>
            </w:r>
            <w:r>
              <w:rPr>
                <w:b w:val="0"/>
                <w:i w:val="0"/>
                <w:sz w:val="14"/>
              </w:rPr>
              <w:t xml:space="preserve"> Une garantie de prix protège P ; une garantie de recette protège P × Q ; une garantie de revenu protège la recette nette des coûts. La garantie de recette n'est utile que lorsque les volumes varient fortement. Part de la variance de la recette due aux volumes : </w:t>
            </w:r>
            <w:r>
              <w:rPr>
                <w:b/>
                <w:i w:val="0"/>
                <w:sz w:val="14"/>
              </w:rPr>
              <w:t>coton 99 %</w:t>
            </w:r>
            <w:r>
              <w:rPr>
                <w:b w:val="0"/>
                <w:i w:val="0"/>
                <w:sz w:val="14"/>
              </w:rPr>
              <w:t xml:space="preserve">, cacao 27 %, anacarde 26 %, hévéa 10 %. La garantie de recette (de préférence indicielle, par zone) est donc d'abord pertinente pour le </w:t>
            </w:r>
            <w:r>
              <w:rPr>
                <w:b/>
                <w:i w:val="0"/>
                <w:sz w:val="14"/>
              </w:rPr>
              <w:t>coton</w:t>
            </w:r>
            <w:r>
              <w:rPr>
                <w:b w:val="0"/>
                <w:i w:val="0"/>
                <w:sz w:val="14"/>
              </w:rPr>
              <w:t>. Pour les autres filières, l'enjeu principal est le prix.</w:t>
            </w:r>
          </w:p>
        </w:tc>
      </w:tr>
    </w:tbl>
    <w:p>
      <w:pPr>
        <w:spacing w:after="0"/>
      </w:pPr>
    </w:p>
    <w:p>
      <w:r>
        <w:br w:type="page"/>
      </w:r>
    </w:p>
    <w:p>
      <w:pPr>
        <w:pStyle w:val="Heading1"/>
      </w:pPr>
      <w:r>
        <w:t>4. Si les prix mondiaux baissaient de 30 % demain</w:t>
      </w:r>
    </w:p>
    <w:p>
      <w:pPr>
        <w:spacing w:after="40"/>
      </w:pPr>
      <w:r>
        <w:rPr>
          <w:b w:val="0"/>
          <w:i/>
          <w:sz w:val="14"/>
        </w:rPr>
        <w:t>Test de stress standardisé, base 2026/27 (prix et volumes actuels). Hypothèses et 5 scénarios complets : onglets STRESS_PARAM et STRESS_TEST.</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1077"/>
        <w:gridCol w:w="737"/>
        <w:gridCol w:w="1360"/>
        <w:gridCol w:w="1304"/>
        <w:gridCol w:w="2381"/>
        <w:gridCol w:w="1871"/>
        <w:gridCol w:w="1474"/>
      </w:tblGrid>
      <w:tr>
        <w:tc>
          <w:tcPr>
            <w:tcW w:type="dxa" w:w="1077"/>
            <w:shd w:val="clear" w:color="auto" w:fill="1F4E3D"/>
          </w:tcPr>
          <w:p>
            <w:pPr>
              <w:spacing w:after="0"/>
            </w:pPr>
            <w:r>
              <w:rPr>
                <w:b/>
                <w:i w:val="0"/>
                <w:color w:val="FFFFFF"/>
                <w:sz w:val="13"/>
              </w:rPr>
              <w:t>Filière</w:t>
            </w:r>
          </w:p>
        </w:tc>
        <w:tc>
          <w:tcPr>
            <w:tcW w:type="dxa" w:w="737"/>
            <w:shd w:val="clear" w:color="auto" w:fill="1F4E3D"/>
          </w:tcPr>
          <w:p>
            <w:pPr>
              <w:spacing w:after="0"/>
            </w:pPr>
            <w:r>
              <w:rPr>
                <w:b/>
                <w:i w:val="0"/>
                <w:color w:val="FFFFFF"/>
                <w:sz w:val="13"/>
              </w:rPr>
              <w:t>Baisse mondiale</w:t>
            </w:r>
          </w:p>
        </w:tc>
        <w:tc>
          <w:tcPr>
            <w:tcW w:type="dxa" w:w="1361"/>
            <w:shd w:val="clear" w:color="auto" w:fill="1F4E3D"/>
          </w:tcPr>
          <w:p>
            <w:pPr>
              <w:spacing w:after="0"/>
            </w:pPr>
            <w:r>
              <w:rPr>
                <w:b/>
                <w:i w:val="0"/>
                <w:color w:val="FFFFFF"/>
                <w:sz w:val="13"/>
              </w:rPr>
              <w:t>Baisse du prix producteur (campagne 1 / 2)</w:t>
            </w:r>
          </w:p>
        </w:tc>
        <w:tc>
          <w:tcPr>
            <w:tcW w:type="dxa" w:w="1304"/>
            <w:shd w:val="clear" w:color="auto" w:fill="1F4E3D"/>
          </w:tcPr>
          <w:p>
            <w:pPr>
              <w:spacing w:after="0"/>
            </w:pPr>
            <w:r>
              <w:rPr>
                <w:b/>
                <w:i w:val="0"/>
                <w:color w:val="FFFFFF"/>
                <w:sz w:val="13"/>
              </w:rPr>
              <w:t>Perte de recette des producteurs, campagne 1 (Mds FCFA)</w:t>
            </w:r>
          </w:p>
        </w:tc>
        <w:tc>
          <w:tcPr>
            <w:tcW w:type="dxa" w:w="2381"/>
            <w:shd w:val="clear" w:color="auto" w:fill="1F4E3D"/>
          </w:tcPr>
          <w:p>
            <w:pPr>
              <w:spacing w:after="0"/>
            </w:pPr>
            <w:r>
              <w:rPr>
                <w:b/>
                <w:i w:val="0"/>
                <w:color w:val="FFFFFF"/>
                <w:sz w:val="13"/>
              </w:rPr>
              <w:t>Protection existante</w:t>
            </w:r>
          </w:p>
        </w:tc>
        <w:tc>
          <w:tcPr>
            <w:tcW w:type="dxa" w:w="1871"/>
            <w:shd w:val="clear" w:color="auto" w:fill="1F4E3D"/>
          </w:tcPr>
          <w:p>
            <w:pPr>
              <w:spacing w:after="0"/>
            </w:pPr>
            <w:r>
              <w:rPr>
                <w:b/>
                <w:i w:val="0"/>
                <w:color w:val="FFFFFF"/>
                <w:sz w:val="13"/>
              </w:rPr>
              <w:t>Besoin potentiel d'intervention publique (Mds FCFA ; FCFA/kg)</w:t>
            </w:r>
          </w:p>
        </w:tc>
        <w:tc>
          <w:tcPr>
            <w:tcW w:type="dxa" w:w="1474"/>
            <w:shd w:val="clear" w:color="auto" w:fill="1F4E3D"/>
          </w:tcPr>
          <w:p>
            <w:pPr>
              <w:spacing w:after="0"/>
            </w:pPr>
            <w:r>
              <w:rPr>
                <w:b/>
                <w:i w:val="0"/>
                <w:color w:val="FFFFFF"/>
                <w:sz w:val="13"/>
              </w:rPr>
              <w:t>Deux campagnes consécutives : perte cumulée des producteurs</w:t>
            </w:r>
          </w:p>
        </w:tc>
      </w:tr>
      <w:tr>
        <w:tc>
          <w:tcPr>
            <w:tcW w:type="dxa" w:w="1077"/>
          </w:tcPr>
          <w:p>
            <w:pPr>
              <w:spacing w:after="0"/>
            </w:pPr>
            <w:r>
              <w:rPr>
                <w:b/>
                <w:i w:val="0"/>
                <w:sz w:val="13"/>
              </w:rPr>
              <w:t>Cacao</w:t>
            </w:r>
          </w:p>
        </w:tc>
        <w:tc>
          <w:tcPr>
            <w:tcW w:type="dxa" w:w="737"/>
          </w:tcPr>
          <w:p>
            <w:pPr>
              <w:spacing w:after="0"/>
            </w:pPr>
            <w:r>
              <w:rPr>
                <w:b w:val="0"/>
                <w:i w:val="0"/>
                <w:sz w:val="13"/>
              </w:rPr>
              <w:t>−30 %</w:t>
            </w:r>
          </w:p>
        </w:tc>
        <w:tc>
          <w:tcPr>
            <w:tcW w:type="dxa" w:w="1361"/>
          </w:tcPr>
          <w:p>
            <w:pPr>
              <w:spacing w:after="0"/>
            </w:pPr>
            <w:r>
              <w:rPr>
                <w:b w:val="0"/>
                <w:i w:val="0"/>
                <w:sz w:val="13"/>
              </w:rPr>
              <w:t>−6 % / −28 %</w:t>
            </w:r>
          </w:p>
        </w:tc>
        <w:tc>
          <w:tcPr>
            <w:tcW w:type="dxa" w:w="1304"/>
          </w:tcPr>
          <w:p>
            <w:pPr>
              <w:spacing w:after="0"/>
            </w:pPr>
            <w:r>
              <w:rPr>
                <w:b w:val="0"/>
                <w:i w:val="0"/>
                <w:sz w:val="13"/>
              </w:rPr>
              <w:t>130</w:t>
            </w:r>
          </w:p>
        </w:tc>
        <w:tc>
          <w:tcPr>
            <w:tcW w:type="dxa" w:w="2381"/>
          </w:tcPr>
          <w:p>
            <w:pPr>
              <w:spacing w:after="0"/>
            </w:pPr>
            <w:r>
              <w:rPr>
                <w:b w:val="0"/>
                <w:i w:val="0"/>
                <w:sz w:val="13"/>
              </w:rPr>
              <w:t>Prix garanti + ventes anticipées (~70 % de la récolte vendue à terme)</w:t>
            </w:r>
          </w:p>
        </w:tc>
        <w:tc>
          <w:tcPr>
            <w:tcW w:type="dxa" w:w="1871"/>
          </w:tcPr>
          <w:p>
            <w:pPr>
              <w:spacing w:after="0"/>
            </w:pPr>
            <w:r>
              <w:rPr>
                <w:b w:val="0"/>
                <w:i w:val="0"/>
                <w:sz w:val="13"/>
              </w:rPr>
              <w:t>156 ; 86</w:t>
            </w:r>
          </w:p>
        </w:tc>
        <w:tc>
          <w:tcPr>
            <w:tcW w:type="dxa" w:w="1474"/>
          </w:tcPr>
          <w:p>
            <w:pPr>
              <w:spacing w:after="0"/>
            </w:pPr>
            <w:r>
              <w:rPr>
                <w:b w:val="0"/>
                <w:i w:val="0"/>
                <w:sz w:val="13"/>
              </w:rPr>
              <w:t>745 Mds</w:t>
            </w:r>
          </w:p>
        </w:tc>
      </w:tr>
      <w:tr>
        <w:tc>
          <w:tcPr>
            <w:tcW w:type="dxa" w:w="1077"/>
            <w:shd w:val="clear" w:color="auto" w:fill="F3F3F1"/>
          </w:tcPr>
          <w:p>
            <w:pPr>
              <w:spacing w:after="0"/>
            </w:pPr>
            <w:r>
              <w:rPr>
                <w:b/>
                <w:i w:val="0"/>
                <w:sz w:val="13"/>
              </w:rPr>
              <w:t>Café</w:t>
            </w:r>
          </w:p>
        </w:tc>
        <w:tc>
          <w:tcPr>
            <w:tcW w:type="dxa" w:w="737"/>
            <w:shd w:val="clear" w:color="auto" w:fill="F3F3F1"/>
          </w:tcPr>
          <w:p>
            <w:pPr>
              <w:spacing w:after="0"/>
            </w:pPr>
            <w:r>
              <w:rPr>
                <w:b w:val="0"/>
                <w:i w:val="0"/>
                <w:sz w:val="13"/>
              </w:rPr>
              <w:t>−30 %</w:t>
            </w:r>
          </w:p>
        </w:tc>
        <w:tc>
          <w:tcPr>
            <w:tcW w:type="dxa" w:w="1361"/>
            <w:shd w:val="clear" w:color="auto" w:fill="F3F3F1"/>
          </w:tcPr>
          <w:p>
            <w:pPr>
              <w:spacing w:after="0"/>
            </w:pPr>
            <w:r>
              <w:rPr>
                <w:b w:val="0"/>
                <w:i w:val="0"/>
                <w:sz w:val="13"/>
              </w:rPr>
              <w:t>0 % / −30 %</w:t>
            </w:r>
          </w:p>
        </w:tc>
        <w:tc>
          <w:tcPr>
            <w:tcW w:type="dxa" w:w="1304"/>
            <w:shd w:val="clear" w:color="auto" w:fill="F3F3F1"/>
          </w:tcPr>
          <w:p>
            <w:pPr>
              <w:spacing w:after="0"/>
            </w:pPr>
            <w:r>
              <w:rPr>
                <w:b w:val="0"/>
                <w:i w:val="0"/>
                <w:sz w:val="13"/>
              </w:rPr>
              <w:t>0</w:t>
            </w:r>
          </w:p>
        </w:tc>
        <w:tc>
          <w:tcPr>
            <w:tcW w:type="dxa" w:w="2381"/>
            <w:shd w:val="clear" w:color="auto" w:fill="F3F3F1"/>
          </w:tcPr>
          <w:p>
            <w:pPr>
              <w:spacing w:after="0"/>
            </w:pPr>
            <w:r>
              <w:rPr>
                <w:b w:val="0"/>
                <w:i w:val="0"/>
                <w:sz w:val="13"/>
              </w:rPr>
              <w:t>Prix garanti, une seule campagne/an</w:t>
            </w:r>
          </w:p>
        </w:tc>
        <w:tc>
          <w:tcPr>
            <w:tcW w:type="dxa" w:w="1871"/>
            <w:shd w:val="clear" w:color="auto" w:fill="F3F3F1"/>
          </w:tcPr>
          <w:p>
            <w:pPr>
              <w:spacing w:after="0"/>
            </w:pPr>
            <w:r>
              <w:rPr>
                <w:b w:val="0"/>
                <w:i w:val="0"/>
                <w:sz w:val="13"/>
              </w:rPr>
              <w:t>7 ; 117</w:t>
            </w:r>
          </w:p>
        </w:tc>
        <w:tc>
          <w:tcPr>
            <w:tcW w:type="dxa" w:w="1474"/>
            <w:shd w:val="clear" w:color="auto" w:fill="F3F3F1"/>
          </w:tcPr>
          <w:p>
            <w:pPr>
              <w:spacing w:after="0"/>
            </w:pPr>
            <w:r>
              <w:rPr>
                <w:b w:val="0"/>
                <w:i w:val="0"/>
                <w:sz w:val="13"/>
              </w:rPr>
              <w:t>23 Mds</w:t>
            </w:r>
          </w:p>
        </w:tc>
      </w:tr>
      <w:tr>
        <w:tc>
          <w:tcPr>
            <w:tcW w:type="dxa" w:w="1077"/>
          </w:tcPr>
          <w:p>
            <w:pPr>
              <w:spacing w:after="0"/>
            </w:pPr>
            <w:r>
              <w:rPr>
                <w:b/>
                <w:i w:val="0"/>
                <w:sz w:val="13"/>
              </w:rPr>
              <w:t>Coton</w:t>
            </w:r>
          </w:p>
        </w:tc>
        <w:tc>
          <w:tcPr>
            <w:tcW w:type="dxa" w:w="737"/>
          </w:tcPr>
          <w:p>
            <w:pPr>
              <w:spacing w:after="0"/>
            </w:pPr>
            <w:r>
              <w:rPr>
                <w:b w:val="0"/>
                <w:i w:val="0"/>
                <w:sz w:val="13"/>
              </w:rPr>
              <w:t>−30 %</w:t>
            </w:r>
          </w:p>
        </w:tc>
        <w:tc>
          <w:tcPr>
            <w:tcW w:type="dxa" w:w="1361"/>
          </w:tcPr>
          <w:p>
            <w:pPr>
              <w:spacing w:after="0"/>
            </w:pPr>
            <w:r>
              <w:rPr>
                <w:b w:val="0"/>
                <w:i w:val="0"/>
                <w:sz w:val="13"/>
              </w:rPr>
              <w:t>0 % / −15 %</w:t>
            </w:r>
          </w:p>
        </w:tc>
        <w:tc>
          <w:tcPr>
            <w:tcW w:type="dxa" w:w="1304"/>
          </w:tcPr>
          <w:p>
            <w:pPr>
              <w:spacing w:after="0"/>
            </w:pPr>
            <w:r>
              <w:rPr>
                <w:b w:val="0"/>
                <w:i w:val="0"/>
                <w:sz w:val="13"/>
              </w:rPr>
              <w:t>0</w:t>
            </w:r>
          </w:p>
        </w:tc>
        <w:tc>
          <w:tcPr>
            <w:tcW w:type="dxa" w:w="2381"/>
          </w:tcPr>
          <w:p>
            <w:pPr>
              <w:spacing w:after="0"/>
            </w:pPr>
            <w:r>
              <w:rPr>
                <w:b w:val="0"/>
                <w:i w:val="0"/>
                <w:sz w:val="13"/>
              </w:rPr>
              <w:t>Prix fixé avant semis + subventions intrants (25,3 Mds en 2025/26)</w:t>
            </w:r>
          </w:p>
        </w:tc>
        <w:tc>
          <w:tcPr>
            <w:tcW w:type="dxa" w:w="1871"/>
          </w:tcPr>
          <w:p>
            <w:pPr>
              <w:spacing w:after="0"/>
            </w:pPr>
            <w:r>
              <w:rPr>
                <w:b w:val="0"/>
                <w:i w:val="0"/>
                <w:sz w:val="13"/>
              </w:rPr>
              <w:t>27 ; 46</w:t>
            </w:r>
          </w:p>
        </w:tc>
        <w:tc>
          <w:tcPr>
            <w:tcW w:type="dxa" w:w="1474"/>
          </w:tcPr>
          <w:p>
            <w:pPr>
              <w:spacing w:after="0"/>
            </w:pPr>
            <w:r>
              <w:rPr>
                <w:b w:val="0"/>
                <w:i w:val="0"/>
                <w:sz w:val="13"/>
              </w:rPr>
              <w:t>27 Mds</w:t>
            </w:r>
          </w:p>
        </w:tc>
      </w:tr>
      <w:tr>
        <w:tc>
          <w:tcPr>
            <w:tcW w:type="dxa" w:w="1077"/>
            <w:shd w:val="clear" w:color="auto" w:fill="F3F3F1"/>
          </w:tcPr>
          <w:p>
            <w:pPr>
              <w:spacing w:after="0"/>
            </w:pPr>
            <w:r>
              <w:rPr>
                <w:b/>
                <w:i w:val="0"/>
                <w:sz w:val="13"/>
              </w:rPr>
              <w:t>Anacarde</w:t>
            </w:r>
          </w:p>
        </w:tc>
        <w:tc>
          <w:tcPr>
            <w:tcW w:type="dxa" w:w="737"/>
            <w:shd w:val="clear" w:color="auto" w:fill="F3F3F1"/>
          </w:tcPr>
          <w:p>
            <w:pPr>
              <w:spacing w:after="0"/>
            </w:pPr>
            <w:r>
              <w:rPr>
                <w:b w:val="0"/>
                <w:i w:val="0"/>
                <w:sz w:val="13"/>
              </w:rPr>
              <w:t>−30 %</w:t>
            </w:r>
          </w:p>
        </w:tc>
        <w:tc>
          <w:tcPr>
            <w:tcW w:type="dxa" w:w="1361"/>
            <w:shd w:val="clear" w:color="auto" w:fill="F3F3F1"/>
          </w:tcPr>
          <w:p>
            <w:pPr>
              <w:spacing w:after="0"/>
            </w:pPr>
            <w:r>
              <w:rPr>
                <w:b w:val="0"/>
                <w:i w:val="0"/>
                <w:sz w:val="13"/>
              </w:rPr>
              <w:t>−30 % / −30 %</w:t>
            </w:r>
          </w:p>
        </w:tc>
        <w:tc>
          <w:tcPr>
            <w:tcW w:type="dxa" w:w="1304"/>
            <w:shd w:val="clear" w:color="auto" w:fill="F3F3F1"/>
          </w:tcPr>
          <w:p>
            <w:pPr>
              <w:spacing w:after="0"/>
            </w:pPr>
            <w:r>
              <w:rPr>
                <w:b w:val="0"/>
                <w:i w:val="0"/>
                <w:sz w:val="13"/>
              </w:rPr>
              <w:t>144</w:t>
            </w:r>
          </w:p>
        </w:tc>
        <w:tc>
          <w:tcPr>
            <w:tcW w:type="dxa" w:w="2381"/>
            <w:shd w:val="clear" w:color="auto" w:fill="F3F3F1"/>
          </w:tcPr>
          <w:p>
            <w:pPr>
              <w:spacing w:after="0"/>
            </w:pPr>
            <w:r>
              <w:rPr>
                <w:b w:val="0"/>
                <w:i w:val="0"/>
                <w:sz w:val="13"/>
              </w:rPr>
              <w:t>Prix plancher sans fonds ni obligation d'achat</w:t>
            </w:r>
          </w:p>
        </w:tc>
        <w:tc>
          <w:tcPr>
            <w:tcW w:type="dxa" w:w="1871"/>
            <w:shd w:val="clear" w:color="auto" w:fill="F3F3F1"/>
          </w:tcPr>
          <w:p>
            <w:pPr>
              <w:spacing w:after="0"/>
            </w:pPr>
            <w:r>
              <w:rPr>
                <w:b w:val="0"/>
                <w:i w:val="0"/>
                <w:sz w:val="13"/>
              </w:rPr>
              <w:t>0 (choc entièrement subi par les producteurs)</w:t>
            </w:r>
          </w:p>
        </w:tc>
        <w:tc>
          <w:tcPr>
            <w:tcW w:type="dxa" w:w="1474"/>
            <w:shd w:val="clear" w:color="auto" w:fill="F3F3F1"/>
          </w:tcPr>
          <w:p>
            <w:pPr>
              <w:spacing w:after="0"/>
            </w:pPr>
            <w:r>
              <w:rPr>
                <w:b w:val="0"/>
                <w:i w:val="0"/>
                <w:sz w:val="13"/>
              </w:rPr>
              <w:t>288 Mds</w:t>
            </w:r>
          </w:p>
        </w:tc>
      </w:tr>
      <w:tr>
        <w:tc>
          <w:tcPr>
            <w:tcW w:type="dxa" w:w="1077"/>
          </w:tcPr>
          <w:p>
            <w:pPr>
              <w:spacing w:after="0"/>
            </w:pPr>
            <w:r>
              <w:rPr>
                <w:b/>
                <w:i w:val="0"/>
                <w:sz w:val="13"/>
              </w:rPr>
              <w:t>Hévéa</w:t>
            </w:r>
          </w:p>
        </w:tc>
        <w:tc>
          <w:tcPr>
            <w:tcW w:type="dxa" w:w="737"/>
          </w:tcPr>
          <w:p>
            <w:pPr>
              <w:spacing w:after="0"/>
            </w:pPr>
            <w:r>
              <w:rPr>
                <w:b w:val="0"/>
                <w:i w:val="0"/>
                <w:sz w:val="13"/>
              </w:rPr>
              <w:t>−30 %</w:t>
            </w:r>
          </w:p>
        </w:tc>
        <w:tc>
          <w:tcPr>
            <w:tcW w:type="dxa" w:w="1361"/>
          </w:tcPr>
          <w:p>
            <w:pPr>
              <w:spacing w:after="0"/>
            </w:pPr>
            <w:r>
              <w:rPr>
                <w:b w:val="0"/>
                <w:i w:val="0"/>
                <w:sz w:val="13"/>
              </w:rPr>
              <w:t>−30 % / −30 %</w:t>
            </w:r>
          </w:p>
        </w:tc>
        <w:tc>
          <w:tcPr>
            <w:tcW w:type="dxa" w:w="1304"/>
          </w:tcPr>
          <w:p>
            <w:pPr>
              <w:spacing w:after="0"/>
            </w:pPr>
            <w:r>
              <w:rPr>
                <w:b w:val="0"/>
                <w:i w:val="0"/>
                <w:sz w:val="13"/>
              </w:rPr>
              <w:t>399</w:t>
            </w:r>
          </w:p>
        </w:tc>
        <w:tc>
          <w:tcPr>
            <w:tcW w:type="dxa" w:w="2381"/>
          </w:tcPr>
          <w:p>
            <w:pPr>
              <w:spacing w:after="0"/>
            </w:pPr>
            <w:r>
              <w:rPr>
                <w:b w:val="0"/>
                <w:i w:val="0"/>
                <w:sz w:val="13"/>
              </w:rPr>
              <w:t>Indexation mensuelle (66 % du prix net de référence)</w:t>
            </w:r>
          </w:p>
        </w:tc>
        <w:tc>
          <w:tcPr>
            <w:tcW w:type="dxa" w:w="1871"/>
          </w:tcPr>
          <w:p>
            <w:pPr>
              <w:spacing w:after="0"/>
            </w:pPr>
            <w:r>
              <w:rPr>
                <w:b w:val="0"/>
                <w:i w:val="0"/>
                <w:sz w:val="13"/>
              </w:rPr>
              <w:t>0 (choc entièrement subi par les producteurs)</w:t>
            </w:r>
          </w:p>
        </w:tc>
        <w:tc>
          <w:tcPr>
            <w:tcW w:type="dxa" w:w="1474"/>
          </w:tcPr>
          <w:p>
            <w:pPr>
              <w:spacing w:after="0"/>
            </w:pPr>
            <w:r>
              <w:rPr>
                <w:b w:val="0"/>
                <w:i w:val="0"/>
                <w:sz w:val="13"/>
              </w:rPr>
              <w:t>799 Mds</w:t>
            </w:r>
          </w:p>
        </w:tc>
      </w:tr>
      <w:tr>
        <w:tc>
          <w:tcPr>
            <w:tcW w:type="dxa" w:w="1077"/>
            <w:shd w:val="clear" w:color="auto" w:fill="F3F3F1"/>
          </w:tcPr>
          <w:p>
            <w:pPr>
              <w:spacing w:after="0"/>
            </w:pPr>
            <w:r>
              <w:rPr>
                <w:b/>
                <w:i w:val="0"/>
                <w:sz w:val="13"/>
              </w:rPr>
              <w:t>Palmier à huile</w:t>
            </w:r>
          </w:p>
        </w:tc>
        <w:tc>
          <w:tcPr>
            <w:tcW w:type="dxa" w:w="737"/>
            <w:shd w:val="clear" w:color="auto" w:fill="F3F3F1"/>
          </w:tcPr>
          <w:p>
            <w:pPr>
              <w:spacing w:after="0"/>
            </w:pPr>
            <w:r>
              <w:rPr>
                <w:b w:val="0"/>
                <w:i w:val="0"/>
                <w:sz w:val="13"/>
              </w:rPr>
              <w:t>−30 %</w:t>
            </w:r>
          </w:p>
        </w:tc>
        <w:tc>
          <w:tcPr>
            <w:tcW w:type="dxa" w:w="1361"/>
            <w:shd w:val="clear" w:color="auto" w:fill="F3F3F1"/>
          </w:tcPr>
          <w:p>
            <w:pPr>
              <w:spacing w:after="0"/>
            </w:pPr>
            <w:r>
              <w:rPr>
                <w:b w:val="0"/>
                <w:i w:val="0"/>
                <w:sz w:val="13"/>
              </w:rPr>
              <w:t>−21 % / −27 %</w:t>
            </w:r>
          </w:p>
        </w:tc>
        <w:tc>
          <w:tcPr>
            <w:tcW w:type="dxa" w:w="1304"/>
            <w:shd w:val="clear" w:color="auto" w:fill="F3F3F1"/>
          </w:tcPr>
          <w:p>
            <w:pPr>
              <w:spacing w:after="0"/>
            </w:pPr>
            <w:r>
              <w:rPr>
                <w:b w:val="0"/>
                <w:i w:val="0"/>
                <w:sz w:val="13"/>
              </w:rPr>
              <w:t>52</w:t>
            </w:r>
          </w:p>
        </w:tc>
        <w:tc>
          <w:tcPr>
            <w:tcW w:type="dxa" w:w="2381"/>
            <w:shd w:val="clear" w:color="auto" w:fill="F3F3F1"/>
          </w:tcPr>
          <w:p>
            <w:pPr>
              <w:spacing w:after="0"/>
            </w:pPr>
            <w:r>
              <w:rPr>
                <w:b w:val="0"/>
                <w:i w:val="0"/>
                <w:sz w:val="13"/>
              </w:rPr>
              <w:t>Prix des régimes indexé ; marché régional protégé</w:t>
            </w:r>
          </w:p>
        </w:tc>
        <w:tc>
          <w:tcPr>
            <w:tcW w:type="dxa" w:w="1871"/>
            <w:shd w:val="clear" w:color="auto" w:fill="F3F3F1"/>
          </w:tcPr>
          <w:p>
            <w:pPr>
              <w:spacing w:after="0"/>
            </w:pPr>
            <w:r>
              <w:rPr>
                <w:b w:val="0"/>
                <w:i w:val="0"/>
                <w:sz w:val="13"/>
              </w:rPr>
              <w:t>0 (choc entièrement subi par les producteurs)</w:t>
            </w:r>
          </w:p>
        </w:tc>
        <w:tc>
          <w:tcPr>
            <w:tcW w:type="dxa" w:w="1474"/>
            <w:shd w:val="clear" w:color="auto" w:fill="F3F3F1"/>
          </w:tcPr>
          <w:p>
            <w:pPr>
              <w:spacing w:after="0"/>
            </w:pPr>
            <w:r>
              <w:rPr>
                <w:b w:val="0"/>
                <w:i w:val="0"/>
                <w:sz w:val="13"/>
              </w:rPr>
              <w:t>120 Mds</w:t>
            </w:r>
          </w:p>
        </w:tc>
      </w:tr>
    </w:tbl>
    <w:p>
      <w:pPr>
        <w:spacing w:after="20"/>
      </w:pPr>
    </w:p>
    <w:p>
      <w:pPr>
        <w:spacing w:after="0"/>
        <w:jc w:val="center"/>
      </w:pPr>
      <w:r>
        <w:drawing>
          <wp:inline xmlns:a="http://schemas.openxmlformats.org/drawingml/2006/main" xmlns:pic="http://schemas.openxmlformats.org/drawingml/2006/picture">
            <wp:extent cx="5940000" cy="3039474"/>
            <wp:docPr id="5" name="Picture 5"/>
            <wp:cNvGraphicFramePr>
              <a:graphicFrameLocks noChangeAspect="1"/>
            </wp:cNvGraphicFramePr>
            <a:graphic>
              <a:graphicData uri="http://schemas.openxmlformats.org/drawingml/2006/picture">
                <pic:pic>
                  <pic:nvPicPr>
                    <pic:cNvPr id="0" name="G4_stress_test_30.png"/>
                    <pic:cNvPicPr/>
                  </pic:nvPicPr>
                  <pic:blipFill>
                    <a:blip r:embed="rId14"/>
                    <a:stretch>
                      <a:fillRect/>
                    </a:stretch>
                  </pic:blipFill>
                  <pic:spPr>
                    <a:xfrm>
                      <a:off x="0" y="0"/>
                      <a:ext cx="5940000" cy="3039474"/>
                    </a:xfrm>
                    <a:prstGeom prst="rect"/>
                  </pic:spPr>
                </pic:pic>
              </a:graphicData>
            </a:graphic>
          </wp:inline>
        </w:drawing>
      </w:r>
    </w:p>
    <w:p>
      <w:pPr>
        <w:spacing w:after="40"/>
      </w:pPr>
      <w:r>
        <w:rPr>
          <w:b/>
          <w:i w:val="0"/>
          <w:sz w:val="14"/>
        </w:rPr>
        <w:t>Lecture.</w:t>
      </w:r>
      <w:r>
        <w:rPr>
          <w:b w:val="0"/>
          <w:i w:val="0"/>
          <w:sz w:val="14"/>
        </w:rPr>
        <w:t xml:space="preserve"> Pour le cacao, le choc est reporté à la campagne suivante (−28,5 %). La charge portée pendant la campagne revient d'abord aux acheteurs à terme, si leurs contrats sont honorés : ~518 Mds FCFA. Sur cette charge, environ 156 Mds sont à risque pour le régulateur, un ordre de grandeur cohérent avec les rachats de 2026. Aucune réserve publiée ne couvre ce besoin. Si la production baisse en plus de 10 %, une garantie de recette à 90 % coûterait 117 Mds pour le cacao et 359 Mds pour l'hévéa.</w:t>
      </w:r>
    </w:p>
    <w:p>
      <w:pPr>
        <w:pStyle w:val="Heading1"/>
      </w:pPr>
      <w:r>
        <w:t>5. Priorités pour la Côte d'Ivoire</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1701"/>
        <w:gridCol w:w="850"/>
        <w:gridCol w:w="1304"/>
        <w:gridCol w:w="1587"/>
        <w:gridCol w:w="2948"/>
        <w:gridCol w:w="1814"/>
      </w:tblGrid>
      <w:tr>
        <w:tc>
          <w:tcPr>
            <w:tcW w:type="dxa" w:w="1701"/>
            <w:shd w:val="clear" w:color="auto" w:fill="1F4E3D"/>
          </w:tcPr>
          <w:p>
            <w:pPr>
              <w:spacing w:after="0"/>
            </w:pPr>
            <w:r>
              <w:rPr>
                <w:b/>
                <w:i w:val="0"/>
                <w:color w:val="FFFFFF"/>
                <w:sz w:val="12"/>
              </w:rPr>
              <w:t>Vulnérabilité</w:t>
            </w:r>
          </w:p>
        </w:tc>
        <w:tc>
          <w:tcPr>
            <w:tcW w:type="dxa" w:w="850"/>
            <w:shd w:val="clear" w:color="auto" w:fill="1F4E3D"/>
          </w:tcPr>
          <w:p>
            <w:pPr>
              <w:spacing w:after="0"/>
            </w:pPr>
            <w:r>
              <w:rPr>
                <w:b/>
                <w:i w:val="0"/>
                <w:color w:val="FFFFFF"/>
                <w:sz w:val="12"/>
              </w:rPr>
              <w:t>Filières</w:t>
            </w:r>
          </w:p>
        </w:tc>
        <w:tc>
          <w:tcPr>
            <w:tcW w:type="dxa" w:w="1304"/>
            <w:shd w:val="clear" w:color="auto" w:fill="1F4E3D"/>
          </w:tcPr>
          <w:p>
            <w:pPr>
              <w:spacing w:after="0"/>
            </w:pPr>
            <w:r>
              <w:rPr>
                <w:b/>
                <w:i w:val="0"/>
                <w:color w:val="FFFFFF"/>
                <w:sz w:val="12"/>
              </w:rPr>
              <w:t>Réponse existante</w:t>
            </w:r>
          </w:p>
        </w:tc>
        <w:tc>
          <w:tcPr>
            <w:tcW w:type="dxa" w:w="1587"/>
            <w:shd w:val="clear" w:color="auto" w:fill="1F4E3D"/>
          </w:tcPr>
          <w:p>
            <w:pPr>
              <w:spacing w:after="0"/>
            </w:pPr>
            <w:r>
              <w:rPr>
                <w:b/>
                <w:i w:val="0"/>
                <w:color w:val="FFFFFF"/>
                <w:sz w:val="12"/>
              </w:rPr>
              <w:t>Limite observée</w:t>
            </w:r>
          </w:p>
        </w:tc>
        <w:tc>
          <w:tcPr>
            <w:tcW w:type="dxa" w:w="2948"/>
            <w:shd w:val="clear" w:color="auto" w:fill="1F4E3D"/>
          </w:tcPr>
          <w:p>
            <w:pPr>
              <w:spacing w:after="0"/>
            </w:pPr>
            <w:r>
              <w:rPr>
                <w:b/>
                <w:i w:val="0"/>
                <w:color w:val="FFFFFF"/>
                <w:sz w:val="12"/>
              </w:rPr>
              <w:t>Option à étudier</w:t>
            </w:r>
          </w:p>
        </w:tc>
        <w:tc>
          <w:tcPr>
            <w:tcW w:type="dxa" w:w="1814"/>
            <w:shd w:val="clear" w:color="auto" w:fill="1F4E3D"/>
          </w:tcPr>
          <w:p>
            <w:pPr>
              <w:spacing w:after="0"/>
            </w:pPr>
            <w:r>
              <w:rPr>
                <w:b/>
                <w:i w:val="0"/>
                <w:color w:val="FFFFFF"/>
                <w:sz w:val="12"/>
              </w:rPr>
              <w:t>Qui paie ?</w:t>
            </w:r>
          </w:p>
        </w:tc>
      </w:tr>
      <w:tr>
        <w:tc>
          <w:tcPr>
            <w:tcW w:type="dxa" w:w="1701"/>
          </w:tcPr>
          <w:p>
            <w:pPr>
              <w:spacing w:after="0"/>
            </w:pPr>
            <w:r>
              <w:rPr>
                <w:b/>
                <w:i w:val="0"/>
                <w:sz w:val="12"/>
              </w:rPr>
              <w:t>Réserve absente ou opaque face aux chocs &gt; 40 % ou sur deux campagnes</w:t>
            </w:r>
          </w:p>
        </w:tc>
        <w:tc>
          <w:tcPr>
            <w:tcW w:type="dxa" w:w="850"/>
          </w:tcPr>
          <w:p>
            <w:pPr>
              <w:spacing w:after="0"/>
            </w:pPr>
            <w:r>
              <w:rPr>
                <w:b w:val="0"/>
                <w:i w:val="0"/>
                <w:sz w:val="12"/>
              </w:rPr>
              <w:t>Cacao, café</w:t>
            </w:r>
          </w:p>
        </w:tc>
        <w:tc>
          <w:tcPr>
            <w:tcW w:type="dxa" w:w="1304"/>
          </w:tcPr>
          <w:p>
            <w:pPr>
              <w:spacing w:after="0"/>
            </w:pPr>
            <w:r>
              <w:rPr>
                <w:b w:val="0"/>
                <w:i w:val="0"/>
                <w:sz w:val="12"/>
              </w:rPr>
              <w:t>Ventes anticipées, prix garanti, FRP</w:t>
            </w:r>
          </w:p>
        </w:tc>
        <w:tc>
          <w:tcPr>
            <w:tcW w:type="dxa" w:w="1587"/>
          </w:tcPr>
          <w:p>
            <w:pPr>
              <w:spacing w:after="0"/>
            </w:pPr>
            <w:r>
              <w:rPr>
                <w:b w:val="0"/>
                <w:i w:val="0"/>
                <w:sz w:val="12"/>
              </w:rPr>
              <w:t>2017 et 2026 : ajustement brutal ; rachats ~240 Mds</w:t>
            </w:r>
          </w:p>
        </w:tc>
        <w:tc>
          <w:tcPr>
            <w:tcW w:type="dxa" w:w="2948"/>
          </w:tcPr>
          <w:p>
            <w:pPr>
              <w:spacing w:after="0"/>
            </w:pPr>
            <w:r>
              <w:rPr>
                <w:b/>
                <w:i w:val="0"/>
                <w:sz w:val="12"/>
              </w:rPr>
              <w:t>Fonds de réserve à règle automatique</w:t>
            </w:r>
            <w:r>
              <w:rPr>
                <w:b w:val="0"/>
                <w:i w:val="0"/>
                <w:sz w:val="12"/>
              </w:rPr>
              <w:t xml:space="preserve"> : prélèvement quand le CAF dépasse sa moyenne mobile sur 5 ans, décaissement plafonné (≤ 25 % du choc), publication trimestrielle</w:t>
            </w:r>
          </w:p>
        </w:tc>
        <w:tc>
          <w:tcPr>
            <w:tcW w:type="dxa" w:w="1814"/>
          </w:tcPr>
          <w:p>
            <w:pPr>
              <w:spacing w:after="0"/>
            </w:pPr>
            <w:r>
              <w:rPr>
                <w:b w:val="0"/>
                <w:i w:val="0"/>
                <w:sz w:val="12"/>
              </w:rPr>
              <w:t>Prélèvement de filière en haut de cycle ; pas le budget général</w:t>
            </w:r>
          </w:p>
        </w:tc>
      </w:tr>
      <w:tr>
        <w:tc>
          <w:tcPr>
            <w:tcW w:type="dxa" w:w="1701"/>
            <w:shd w:val="clear" w:color="auto" w:fill="F3F3F1"/>
          </w:tcPr>
          <w:p>
            <w:pPr>
              <w:spacing w:after="0"/>
            </w:pPr>
            <w:r>
              <w:rPr>
                <w:b/>
                <w:i w:val="0"/>
                <w:sz w:val="12"/>
              </w:rPr>
              <w:t>Risque de contrepartie des ventes anticipées</w:t>
            </w:r>
          </w:p>
        </w:tc>
        <w:tc>
          <w:tcPr>
            <w:tcW w:type="dxa" w:w="850"/>
            <w:shd w:val="clear" w:color="auto" w:fill="F3F3F1"/>
          </w:tcPr>
          <w:p>
            <w:pPr>
              <w:spacing w:after="0"/>
            </w:pPr>
            <w:r>
              <w:rPr>
                <w:b w:val="0"/>
                <w:i w:val="0"/>
                <w:sz w:val="12"/>
              </w:rPr>
              <w:t>Cacao</w:t>
            </w:r>
          </w:p>
        </w:tc>
        <w:tc>
          <w:tcPr>
            <w:tcW w:type="dxa" w:w="1304"/>
            <w:shd w:val="clear" w:color="auto" w:fill="F3F3F1"/>
          </w:tcPr>
          <w:p>
            <w:pPr>
              <w:spacing w:after="0"/>
            </w:pPr>
            <w:r>
              <w:rPr>
                <w:b w:val="0"/>
                <w:i w:val="0"/>
                <w:sz w:val="12"/>
              </w:rPr>
              <w:t>Agrément des exportateurs</w:t>
            </w:r>
          </w:p>
        </w:tc>
        <w:tc>
          <w:tcPr>
            <w:tcW w:type="dxa" w:w="1587"/>
            <w:shd w:val="clear" w:color="auto" w:fill="F3F3F1"/>
          </w:tcPr>
          <w:p>
            <w:pPr>
              <w:spacing w:after="0"/>
            </w:pPr>
            <w:r>
              <w:rPr>
                <w:b w:val="0"/>
                <w:i w:val="0"/>
                <w:sz w:val="12"/>
              </w:rPr>
              <w:t>Défauts en 2017 et 2026</w:t>
            </w:r>
          </w:p>
        </w:tc>
        <w:tc>
          <w:tcPr>
            <w:tcW w:type="dxa" w:w="2948"/>
            <w:shd w:val="clear" w:color="auto" w:fill="F3F3F1"/>
          </w:tcPr>
          <w:p>
            <w:pPr>
              <w:spacing w:after="0"/>
            </w:pPr>
            <w:r>
              <w:rPr>
                <w:b w:val="0"/>
                <w:i w:val="0"/>
                <w:sz w:val="12"/>
              </w:rPr>
              <w:t xml:space="preserve">Garanties de bonne exécution / dépôts de marge ; </w:t>
            </w:r>
            <w:r>
              <w:rPr>
                <w:b/>
                <w:i w:val="0"/>
                <w:sz w:val="12"/>
              </w:rPr>
              <w:t>options de vente (put)</w:t>
            </w:r>
            <w:r>
              <w:rPr>
                <w:b w:val="0"/>
                <w:i w:val="0"/>
                <w:sz w:val="12"/>
              </w:rPr>
              <w:t xml:space="preserve"> sur 20 à 30 % des ventes</w:t>
            </w:r>
          </w:p>
        </w:tc>
        <w:tc>
          <w:tcPr>
            <w:tcW w:type="dxa" w:w="1814"/>
            <w:shd w:val="clear" w:color="auto" w:fill="F3F3F1"/>
          </w:tcPr>
          <w:p>
            <w:pPr>
              <w:spacing w:after="0"/>
            </w:pPr>
            <w:r>
              <w:rPr>
                <w:b w:val="0"/>
                <w:i w:val="0"/>
                <w:sz w:val="12"/>
              </w:rPr>
              <w:t>Exportateurs (garanties) ; CCC (primes, ~3 à 6 % de la valeur couverte)</w:t>
            </w:r>
          </w:p>
        </w:tc>
      </w:tr>
      <w:tr>
        <w:tc>
          <w:tcPr>
            <w:tcW w:type="dxa" w:w="1701"/>
          </w:tcPr>
          <w:p>
            <w:pPr>
              <w:spacing w:after="0"/>
            </w:pPr>
            <w:r>
              <w:rPr>
                <w:b/>
                <w:i w:val="0"/>
                <w:sz w:val="12"/>
              </w:rPr>
              <w:t>Hausses peu transmises, non épargnées</w:t>
            </w:r>
          </w:p>
        </w:tc>
        <w:tc>
          <w:tcPr>
            <w:tcW w:type="dxa" w:w="850"/>
          </w:tcPr>
          <w:p>
            <w:pPr>
              <w:spacing w:after="0"/>
            </w:pPr>
            <w:r>
              <w:rPr>
                <w:b w:val="0"/>
                <w:i w:val="0"/>
                <w:sz w:val="12"/>
              </w:rPr>
              <w:t>Cacao, coton</w:t>
            </w:r>
          </w:p>
        </w:tc>
        <w:tc>
          <w:tcPr>
            <w:tcW w:type="dxa" w:w="1304"/>
          </w:tcPr>
          <w:p>
            <w:pPr>
              <w:spacing w:after="0"/>
            </w:pPr>
            <w:r>
              <w:rPr>
                <w:b w:val="0"/>
                <w:i w:val="0"/>
                <w:sz w:val="12"/>
              </w:rPr>
              <w:t>Prix fixé discrétionnairement</w:t>
            </w:r>
          </w:p>
        </w:tc>
        <w:tc>
          <w:tcPr>
            <w:tcW w:type="dxa" w:w="1587"/>
          </w:tcPr>
          <w:p>
            <w:pPr>
              <w:spacing w:after="0"/>
            </w:pPr>
            <w:r>
              <w:rPr>
                <w:b w:val="0"/>
                <w:i w:val="0"/>
                <w:sz w:val="12"/>
              </w:rPr>
              <w:t>β hausse : cacao 0,57, coton 0</w:t>
            </w:r>
          </w:p>
        </w:tc>
        <w:tc>
          <w:tcPr>
            <w:tcW w:type="dxa" w:w="2948"/>
          </w:tcPr>
          <w:p>
            <w:pPr>
              <w:spacing w:after="0"/>
            </w:pPr>
            <w:r>
              <w:rPr>
                <w:b/>
                <w:i w:val="0"/>
                <w:sz w:val="12"/>
              </w:rPr>
              <w:t>Règle de partage publiée</w:t>
            </w:r>
            <w:r>
              <w:rPr>
                <w:b w:val="0"/>
                <w:i w:val="0"/>
                <w:sz w:val="12"/>
              </w:rPr>
              <w:t xml:space="preserve"> (% du CAF, comme au Ghana), complément de prix en fin de campagne, part des hausses versée au fonds</w:t>
            </w:r>
          </w:p>
        </w:tc>
        <w:tc>
          <w:tcPr>
            <w:tcW w:type="dxa" w:w="1814"/>
          </w:tcPr>
          <w:p>
            <w:pPr>
              <w:spacing w:after="0"/>
            </w:pPr>
            <w:r>
              <w:rPr>
                <w:b w:val="0"/>
                <w:i w:val="0"/>
                <w:sz w:val="12"/>
              </w:rPr>
              <w:t>Neutre budgétairement</w:t>
            </w:r>
          </w:p>
        </w:tc>
      </w:tr>
      <w:tr>
        <w:tc>
          <w:tcPr>
            <w:tcW w:type="dxa" w:w="1701"/>
            <w:shd w:val="clear" w:color="auto" w:fill="F3F3F1"/>
          </w:tcPr>
          <w:p>
            <w:pPr>
              <w:spacing w:after="0"/>
            </w:pPr>
            <w:r>
              <w:rPr>
                <w:b/>
                <w:i w:val="0"/>
                <w:sz w:val="12"/>
              </w:rPr>
              <w:t>Aucune protection, transmission ≥ 1</w:t>
            </w:r>
          </w:p>
        </w:tc>
        <w:tc>
          <w:tcPr>
            <w:tcW w:type="dxa" w:w="850"/>
            <w:shd w:val="clear" w:color="auto" w:fill="F3F3F1"/>
          </w:tcPr>
          <w:p>
            <w:pPr>
              <w:spacing w:after="0"/>
            </w:pPr>
            <w:r>
              <w:rPr>
                <w:b w:val="0"/>
                <w:i w:val="0"/>
                <w:sz w:val="12"/>
              </w:rPr>
              <w:t>Hévéa, palmier</w:t>
            </w:r>
          </w:p>
        </w:tc>
        <w:tc>
          <w:tcPr>
            <w:tcW w:type="dxa" w:w="1304"/>
            <w:shd w:val="clear" w:color="auto" w:fill="F3F3F1"/>
          </w:tcPr>
          <w:p>
            <w:pPr>
              <w:spacing w:after="0"/>
            </w:pPr>
            <w:r>
              <w:rPr>
                <w:b w:val="0"/>
                <w:i w:val="0"/>
                <w:sz w:val="12"/>
              </w:rPr>
              <w:t>Indexation sur la formule</w:t>
            </w:r>
          </w:p>
        </w:tc>
        <w:tc>
          <w:tcPr>
            <w:tcW w:type="dxa" w:w="1587"/>
            <w:shd w:val="clear" w:color="auto" w:fill="F3F3F1"/>
          </w:tcPr>
          <w:p>
            <w:pPr>
              <w:spacing w:after="0"/>
            </w:pPr>
            <w:r>
              <w:rPr>
                <w:b w:val="0"/>
                <w:i w:val="0"/>
                <w:sz w:val="12"/>
              </w:rPr>
              <w:t>Perte de ~399 Mds pour un choc de −30 %</w:t>
            </w:r>
          </w:p>
        </w:tc>
        <w:tc>
          <w:tcPr>
            <w:tcW w:type="dxa" w:w="2948"/>
            <w:shd w:val="clear" w:color="auto" w:fill="F3F3F1"/>
          </w:tcPr>
          <w:p>
            <w:pPr>
              <w:spacing w:after="0"/>
            </w:pPr>
            <w:r>
              <w:rPr>
                <w:b/>
                <w:i w:val="0"/>
                <w:sz w:val="12"/>
              </w:rPr>
              <w:t>Paiement contracyclique plafonné</w:t>
            </w:r>
            <w:r>
              <w:rPr>
                <w:b w:val="0"/>
                <w:i w:val="0"/>
                <w:sz w:val="12"/>
              </w:rPr>
              <w:t xml:space="preserve"> (type IPG) pour les petits planteurs inscrits au registre, déclenché sous un prix seuil</w:t>
            </w:r>
          </w:p>
        </w:tc>
        <w:tc>
          <w:tcPr>
            <w:tcW w:type="dxa" w:w="1814"/>
            <w:shd w:val="clear" w:color="auto" w:fill="F3F3F1"/>
          </w:tcPr>
          <w:p>
            <w:pPr>
              <w:spacing w:after="0"/>
            </w:pPr>
            <w:r>
              <w:rPr>
                <w:b w:val="0"/>
                <w:i w:val="0"/>
                <w:sz w:val="12"/>
              </w:rPr>
              <w:t>Prélèvement progressif à l'export (cess) en haut de cycle</w:t>
            </w:r>
          </w:p>
        </w:tc>
      </w:tr>
      <w:tr>
        <w:tc>
          <w:tcPr>
            <w:tcW w:type="dxa" w:w="1701"/>
          </w:tcPr>
          <w:p>
            <w:pPr>
              <w:spacing w:after="0"/>
            </w:pPr>
            <w:r>
              <w:rPr>
                <w:b/>
                <w:i w:val="0"/>
                <w:sz w:val="12"/>
              </w:rPr>
              <w:t>Plancher non opposable, ventes forcées</w:t>
            </w:r>
          </w:p>
        </w:tc>
        <w:tc>
          <w:tcPr>
            <w:tcW w:type="dxa" w:w="850"/>
          </w:tcPr>
          <w:p>
            <w:pPr>
              <w:spacing w:after="0"/>
            </w:pPr>
            <w:r>
              <w:rPr>
                <w:b w:val="0"/>
                <w:i w:val="0"/>
                <w:sz w:val="12"/>
              </w:rPr>
              <w:t>Anacarde</w:t>
            </w:r>
          </w:p>
        </w:tc>
        <w:tc>
          <w:tcPr>
            <w:tcW w:type="dxa" w:w="1304"/>
          </w:tcPr>
          <w:p>
            <w:pPr>
              <w:spacing w:after="0"/>
            </w:pPr>
            <w:r>
              <w:rPr>
                <w:b w:val="0"/>
                <w:i w:val="0"/>
                <w:sz w:val="12"/>
              </w:rPr>
              <w:t>Prix plancher</w:t>
            </w:r>
          </w:p>
        </w:tc>
        <w:tc>
          <w:tcPr>
            <w:tcW w:type="dxa" w:w="1587"/>
          </w:tcPr>
          <w:p>
            <w:pPr>
              <w:spacing w:after="0"/>
            </w:pPr>
            <w:r>
              <w:rPr>
                <w:b w:val="0"/>
                <w:i w:val="0"/>
                <w:sz w:val="12"/>
              </w:rPr>
              <w:t>Plancher non respecté en 2018</w:t>
            </w:r>
          </w:p>
        </w:tc>
        <w:tc>
          <w:tcPr>
            <w:tcW w:type="dxa" w:w="2948"/>
          </w:tcPr>
          <w:p>
            <w:pPr>
              <w:spacing w:after="0"/>
            </w:pPr>
            <w:r>
              <w:rPr>
                <w:b/>
                <w:i w:val="0"/>
                <w:sz w:val="12"/>
              </w:rPr>
              <w:t>Récépissés d'entrepôt</w:t>
            </w:r>
            <w:r>
              <w:rPr>
                <w:b w:val="0"/>
                <w:i w:val="0"/>
                <w:sz w:val="12"/>
              </w:rPr>
              <w:t xml:space="preserve"> et crédit de stockage ; transformation locale ; diversification des débouchés</w:t>
            </w:r>
          </w:p>
        </w:tc>
        <w:tc>
          <w:tcPr>
            <w:tcW w:type="dxa" w:w="1814"/>
          </w:tcPr>
          <w:p>
            <w:pPr>
              <w:spacing w:after="0"/>
            </w:pPr>
            <w:r>
              <w:rPr>
                <w:b w:val="0"/>
                <w:i w:val="0"/>
                <w:sz w:val="12"/>
              </w:rPr>
              <w:t>Banques, avec garantie partielle (FIRCA/bailleurs)</w:t>
            </w:r>
          </w:p>
        </w:tc>
      </w:tr>
      <w:tr>
        <w:tc>
          <w:tcPr>
            <w:tcW w:type="dxa" w:w="1701"/>
            <w:shd w:val="clear" w:color="auto" w:fill="F3F3F1"/>
          </w:tcPr>
          <w:p>
            <w:pPr>
              <w:spacing w:after="0"/>
            </w:pPr>
            <w:r>
              <w:rPr>
                <w:b/>
                <w:i w:val="0"/>
                <w:sz w:val="12"/>
              </w:rPr>
              <w:t>Recette exposée aux chocs de rendement</w:t>
            </w:r>
          </w:p>
        </w:tc>
        <w:tc>
          <w:tcPr>
            <w:tcW w:type="dxa" w:w="850"/>
            <w:shd w:val="clear" w:color="auto" w:fill="F3F3F1"/>
          </w:tcPr>
          <w:p>
            <w:pPr>
              <w:spacing w:after="0"/>
            </w:pPr>
            <w:r>
              <w:rPr>
                <w:b w:val="0"/>
                <w:i w:val="0"/>
                <w:sz w:val="12"/>
              </w:rPr>
              <w:t>Coton</w:t>
            </w:r>
          </w:p>
        </w:tc>
        <w:tc>
          <w:tcPr>
            <w:tcW w:type="dxa" w:w="1304"/>
            <w:shd w:val="clear" w:color="auto" w:fill="F3F3F1"/>
          </w:tcPr>
          <w:p>
            <w:pPr>
              <w:spacing w:after="0"/>
            </w:pPr>
            <w:r>
              <w:rPr>
                <w:b w:val="0"/>
                <w:i w:val="0"/>
                <w:sz w:val="12"/>
              </w:rPr>
              <w:t>Subvention des intrants (25,3 Mds)</w:t>
            </w:r>
          </w:p>
        </w:tc>
        <w:tc>
          <w:tcPr>
            <w:tcW w:type="dxa" w:w="1587"/>
            <w:shd w:val="clear" w:color="auto" w:fill="F3F3F1"/>
          </w:tcPr>
          <w:p>
            <w:pPr>
              <w:spacing w:after="0"/>
            </w:pPr>
            <w:r>
              <w:rPr>
                <w:b w:val="0"/>
                <w:i w:val="0"/>
                <w:sz w:val="12"/>
              </w:rPr>
              <w:t>2022/23 : recette −56 % malgré un prix stable</w:t>
            </w:r>
          </w:p>
        </w:tc>
        <w:tc>
          <w:tcPr>
            <w:tcW w:type="dxa" w:w="2948"/>
            <w:shd w:val="clear" w:color="auto" w:fill="F3F3F1"/>
          </w:tcPr>
          <w:p>
            <w:pPr>
              <w:spacing w:after="0"/>
            </w:pPr>
            <w:r>
              <w:rPr>
                <w:b/>
                <w:i w:val="0"/>
                <w:sz w:val="12"/>
              </w:rPr>
              <w:t>Garantie de recette / assurance indicielle de rendement</w:t>
            </w:r>
            <w:r>
              <w:rPr>
                <w:b w:val="0"/>
                <w:i w:val="0"/>
                <w:sz w:val="12"/>
              </w:rPr>
              <w:t xml:space="preserve"> par zone ; fonds de lissage cotonnier</w:t>
            </w:r>
          </w:p>
        </w:tc>
        <w:tc>
          <w:tcPr>
            <w:tcW w:type="dxa" w:w="1814"/>
            <w:shd w:val="clear" w:color="auto" w:fill="F3F3F1"/>
          </w:tcPr>
          <w:p>
            <w:pPr>
              <w:spacing w:after="0"/>
            </w:pPr>
            <w:r>
              <w:rPr>
                <w:b w:val="0"/>
                <w:i w:val="0"/>
                <w:sz w:val="12"/>
              </w:rPr>
              <w:t>Primes partagées : producteurs, sociétés cotonnières, État (dégressif)</w:t>
            </w:r>
          </w:p>
        </w:tc>
      </w:tr>
    </w:tbl>
    <w:p>
      <w:pPr>
        <w:spacing w:after="20"/>
      </w:pPr>
    </w:p>
    <w:p>
      <w:pPr>
        <w:spacing w:after="40"/>
      </w:pPr>
      <w:r>
        <w:rPr>
          <w:b/>
          <w:i w:val="0"/>
          <w:sz w:val="14"/>
        </w:rPr>
        <w:t>Principes budgétaires.</w:t>
      </w:r>
      <w:r>
        <w:rPr>
          <w:b w:val="0"/>
          <w:i w:val="0"/>
          <w:sz w:val="14"/>
        </w:rPr>
        <w:t xml:space="preserve"> Aucune option ne repose sur une subvention permanente non financée. Les réserves sont constituées en haut de cycle et dimensionnées pour </w:t>
      </w:r>
      <w:r>
        <w:rPr>
          <w:b/>
          <w:i w:val="0"/>
          <w:sz w:val="14"/>
        </w:rPr>
        <w:t>deux campagnes consécutives à −30 %</w:t>
      </w:r>
      <w:r>
        <w:rPr>
          <w:b w:val="0"/>
          <w:i w:val="0"/>
          <w:sz w:val="14"/>
        </w:rPr>
        <w:t xml:space="preserve"> (cacao : ≈ 551 Mds FCFA de charge hors producteurs, dont ≈ 165 Mds à risque public). Elles sont plafonnées par producteur et soumises à une gouvernance indépendante (prix de référence fixé par un comité). </w:t>
      </w:r>
      <w:r>
        <w:rPr>
          <w:b/>
          <w:i w:val="0"/>
          <w:sz w:val="14"/>
        </w:rPr>
        <w:t>Prochaines étapes :</w:t>
      </w:r>
      <w:r>
        <w:rPr>
          <w:b w:val="0"/>
          <w:i w:val="0"/>
          <w:sz w:val="14"/>
        </w:rPr>
        <w:t xml:space="preserve"> valider les données B/C avec le CCC, le CCA, le CHPC, le Trésor et l'INS ; obtenir l'état du FRP ; estimer les modèles NARDL sur données mensuelles.</w:t>
      </w:r>
    </w:p>
    <w:p>
      <w:pPr>
        <w:sectPr>
          <w:footerReference w:type="default" r:id="rId9"/>
          <w:pgSz w:w="11906" w:h="16838"/>
          <w:pgMar w:top="680" w:right="850" w:bottom="624" w:left="850" w:header="720" w:footer="283" w:gutter="0"/>
          <w:cols w:space="720"/>
          <w:docGrid w:linePitch="360"/>
        </w:sectPr>
      </w:pPr>
    </w:p>
    <w:p>
      <w:pPr>
        <w:pStyle w:val="Heading1"/>
      </w:pPr>
      <w:r>
        <w:t>Annexe A – Test de stress complet (5 scénarios × 6 filières)</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1077"/>
        <w:gridCol w:w="1927"/>
        <w:gridCol w:w="737"/>
        <w:gridCol w:w="737"/>
        <w:gridCol w:w="737"/>
        <w:gridCol w:w="850"/>
        <w:gridCol w:w="963"/>
        <w:gridCol w:w="793"/>
        <w:gridCol w:w="680"/>
        <w:gridCol w:w="793"/>
        <w:gridCol w:w="907"/>
      </w:tblGrid>
      <w:tr>
        <w:tc>
          <w:tcPr>
            <w:tcW w:type="dxa" w:w="1077"/>
            <w:shd w:val="clear" w:color="auto" w:fill="1F4E3D"/>
          </w:tcPr>
          <w:p>
            <w:pPr>
              <w:spacing w:after="0"/>
            </w:pPr>
            <w:r>
              <w:rPr>
                <w:b/>
                <w:i w:val="0"/>
                <w:color w:val="FFFFFF"/>
                <w:sz w:val="12"/>
              </w:rPr>
              <w:t>Filière</w:t>
            </w:r>
          </w:p>
        </w:tc>
        <w:tc>
          <w:tcPr>
            <w:tcW w:type="dxa" w:w="1928"/>
            <w:shd w:val="clear" w:color="auto" w:fill="1F4E3D"/>
          </w:tcPr>
          <w:p>
            <w:pPr>
              <w:spacing w:after="0"/>
            </w:pPr>
            <w:r>
              <w:rPr>
                <w:b/>
                <w:i w:val="0"/>
                <w:color w:val="FFFFFF"/>
                <w:sz w:val="12"/>
              </w:rPr>
              <w:t>Scénario</w:t>
            </w:r>
          </w:p>
        </w:tc>
        <w:tc>
          <w:tcPr>
            <w:tcW w:type="dxa" w:w="737"/>
            <w:shd w:val="clear" w:color="auto" w:fill="1F4E3D"/>
          </w:tcPr>
          <w:p>
            <w:pPr>
              <w:spacing w:after="0"/>
            </w:pPr>
            <w:r>
              <w:rPr>
                <w:b/>
                <w:i w:val="0"/>
                <w:color w:val="FFFFFF"/>
                <w:sz w:val="12"/>
              </w:rPr>
              <w:t>ΔP prod. c1</w:t>
            </w:r>
          </w:p>
        </w:tc>
        <w:tc>
          <w:tcPr>
            <w:tcW w:type="dxa" w:w="737"/>
            <w:shd w:val="clear" w:color="auto" w:fill="1F4E3D"/>
          </w:tcPr>
          <w:p>
            <w:pPr>
              <w:spacing w:after="0"/>
            </w:pPr>
            <w:r>
              <w:rPr>
                <w:b/>
                <w:i w:val="0"/>
                <w:color w:val="FFFFFF"/>
                <w:sz w:val="12"/>
              </w:rPr>
              <w:t>ΔP prod. c2</w:t>
            </w:r>
          </w:p>
        </w:tc>
        <w:tc>
          <w:tcPr>
            <w:tcW w:type="dxa" w:w="737"/>
            <w:shd w:val="clear" w:color="auto" w:fill="1F4E3D"/>
          </w:tcPr>
          <w:p>
            <w:pPr>
              <w:spacing w:after="0"/>
            </w:pPr>
            <w:r>
              <w:rPr>
                <w:b/>
                <w:i w:val="0"/>
                <w:color w:val="FFFFFF"/>
                <w:sz w:val="12"/>
              </w:rPr>
              <w:t>Δ recette c1</w:t>
            </w:r>
          </w:p>
        </w:tc>
        <w:tc>
          <w:tcPr>
            <w:tcW w:type="dxa" w:w="850"/>
            <w:shd w:val="clear" w:color="auto" w:fill="1F4E3D"/>
          </w:tcPr>
          <w:p>
            <w:pPr>
              <w:spacing w:after="0"/>
            </w:pPr>
            <w:r>
              <w:rPr>
                <w:b/>
                <w:i w:val="0"/>
                <w:color w:val="FFFFFF"/>
                <w:sz w:val="12"/>
              </w:rPr>
              <w:t>Perte cumulée (Mds)</w:t>
            </w:r>
          </w:p>
        </w:tc>
        <w:tc>
          <w:tcPr>
            <w:tcW w:type="dxa" w:w="964"/>
            <w:shd w:val="clear" w:color="auto" w:fill="1F4E3D"/>
          </w:tcPr>
          <w:p>
            <w:pPr>
              <w:spacing w:after="0"/>
            </w:pPr>
            <w:r>
              <w:rPr>
                <w:b/>
                <w:i w:val="0"/>
                <w:color w:val="FFFFFF"/>
                <w:sz w:val="12"/>
              </w:rPr>
              <w:t>Charge hors producteurs (Mds)</w:t>
            </w:r>
          </w:p>
        </w:tc>
        <w:tc>
          <w:tcPr>
            <w:tcW w:type="dxa" w:w="794"/>
            <w:shd w:val="clear" w:color="auto" w:fill="1F4E3D"/>
          </w:tcPr>
          <w:p>
            <w:pPr>
              <w:spacing w:after="0"/>
            </w:pPr>
            <w:r>
              <w:rPr>
                <w:b/>
                <w:i w:val="0"/>
                <w:color w:val="FFFFFF"/>
                <w:sz w:val="12"/>
              </w:rPr>
              <w:t>Besoin public (Mds)</w:t>
            </w:r>
          </w:p>
        </w:tc>
        <w:tc>
          <w:tcPr>
            <w:tcW w:type="dxa" w:w="680"/>
            <w:shd w:val="clear" w:color="auto" w:fill="1F4E3D"/>
          </w:tcPr>
          <w:p>
            <w:pPr>
              <w:spacing w:after="0"/>
            </w:pPr>
            <w:r>
              <w:rPr>
                <w:b/>
                <w:i w:val="0"/>
                <w:color w:val="FFFFFF"/>
                <w:sz w:val="12"/>
              </w:rPr>
              <w:t>FCFA/kg</w:t>
            </w:r>
          </w:p>
        </w:tc>
        <w:tc>
          <w:tcPr>
            <w:tcW w:type="dxa" w:w="794"/>
            <w:shd w:val="clear" w:color="auto" w:fill="1F4E3D"/>
          </w:tcPr>
          <w:p>
            <w:pPr>
              <w:spacing w:after="0"/>
            </w:pPr>
            <w:r>
              <w:rPr>
                <w:b/>
                <w:i w:val="0"/>
                <w:color w:val="FFFFFF"/>
                <w:sz w:val="12"/>
              </w:rPr>
              <w:t>% de la valeur</w:t>
            </w:r>
          </w:p>
        </w:tc>
        <w:tc>
          <w:tcPr>
            <w:tcW w:type="dxa" w:w="907"/>
            <w:shd w:val="clear" w:color="auto" w:fill="1F4E3D"/>
          </w:tcPr>
          <w:p>
            <w:pPr>
              <w:spacing w:after="0"/>
            </w:pPr>
            <w:r>
              <w:rPr>
                <w:b/>
                <w:i w:val="0"/>
                <w:color w:val="FFFFFF"/>
                <w:sz w:val="12"/>
              </w:rPr>
              <w:t>Garantie recette 90 % (Mds)</w:t>
            </w:r>
          </w:p>
        </w:tc>
      </w:tr>
      <w:tr>
        <w:tc>
          <w:tcPr>
            <w:tcW w:type="dxa" w:w="1077"/>
          </w:tcPr>
          <w:p>
            <w:pPr>
              <w:spacing w:after="0"/>
            </w:pPr>
            <w:r>
              <w:rPr>
                <w:b w:val="0"/>
                <w:i w:val="0"/>
                <w:sz w:val="12"/>
              </w:rPr>
              <w:t>Cacao</w:t>
            </w:r>
          </w:p>
        </w:tc>
        <w:tc>
          <w:tcPr>
            <w:tcW w:type="dxa" w:w="1928"/>
          </w:tcPr>
          <w:p>
            <w:pPr>
              <w:spacing w:after="0"/>
            </w:pPr>
            <w:r>
              <w:rPr>
                <w:b w:val="0"/>
                <w:i w:val="0"/>
                <w:sz w:val="12"/>
              </w:rPr>
              <w:t>Prix int. -10 %</w:t>
            </w:r>
          </w:p>
        </w:tc>
        <w:tc>
          <w:tcPr>
            <w:tcW w:type="dxa" w:w="737"/>
          </w:tcPr>
          <w:p>
            <w:pPr>
              <w:spacing w:after="0"/>
            </w:pPr>
            <w:r>
              <w:rPr>
                <w:b w:val="0"/>
                <w:i w:val="0"/>
                <w:sz w:val="12"/>
              </w:rPr>
              <w:t>−2 %</w:t>
            </w:r>
          </w:p>
        </w:tc>
        <w:tc>
          <w:tcPr>
            <w:tcW w:type="dxa" w:w="737"/>
          </w:tcPr>
          <w:p>
            <w:pPr>
              <w:spacing w:after="0"/>
            </w:pPr>
            <w:r>
              <w:rPr>
                <w:b w:val="0"/>
                <w:i w:val="0"/>
                <w:sz w:val="12"/>
              </w:rPr>
              <w:t>—</w:t>
            </w:r>
          </w:p>
        </w:tc>
        <w:tc>
          <w:tcPr>
            <w:tcW w:type="dxa" w:w="737"/>
          </w:tcPr>
          <w:p>
            <w:pPr>
              <w:spacing w:after="0"/>
            </w:pPr>
            <w:r>
              <w:rPr>
                <w:b w:val="0"/>
                <w:i w:val="0"/>
                <w:sz w:val="12"/>
              </w:rPr>
              <w:t>−2 %</w:t>
            </w:r>
          </w:p>
        </w:tc>
        <w:tc>
          <w:tcPr>
            <w:tcW w:type="dxa" w:w="850"/>
          </w:tcPr>
          <w:p>
            <w:pPr>
              <w:spacing w:after="0"/>
            </w:pPr>
            <w:r>
              <w:rPr>
                <w:b w:val="0"/>
                <w:i w:val="0"/>
                <w:sz w:val="12"/>
              </w:rPr>
              <w:t>43</w:t>
            </w:r>
          </w:p>
        </w:tc>
        <w:tc>
          <w:tcPr>
            <w:tcW w:type="dxa" w:w="964"/>
          </w:tcPr>
          <w:p>
            <w:pPr>
              <w:spacing w:after="0"/>
            </w:pPr>
            <w:r>
              <w:rPr>
                <w:b w:val="0"/>
                <w:i w:val="0"/>
                <w:sz w:val="12"/>
              </w:rPr>
              <w:t>173</w:t>
            </w:r>
          </w:p>
        </w:tc>
        <w:tc>
          <w:tcPr>
            <w:tcW w:type="dxa" w:w="794"/>
          </w:tcPr>
          <w:p>
            <w:pPr>
              <w:spacing w:after="0"/>
            </w:pPr>
            <w:r>
              <w:rPr>
                <w:b w:val="0"/>
                <w:i w:val="0"/>
                <w:sz w:val="12"/>
              </w:rPr>
              <w:t>52</w:t>
            </w:r>
          </w:p>
        </w:tc>
        <w:tc>
          <w:tcPr>
            <w:tcW w:type="dxa" w:w="680"/>
          </w:tcPr>
          <w:p>
            <w:pPr>
              <w:spacing w:after="0"/>
            </w:pPr>
            <w:r>
              <w:rPr>
                <w:b w:val="0"/>
                <w:i w:val="0"/>
                <w:sz w:val="12"/>
              </w:rPr>
              <w:t>29</w:t>
            </w:r>
          </w:p>
        </w:tc>
        <w:tc>
          <w:tcPr>
            <w:tcW w:type="dxa" w:w="794"/>
          </w:tcPr>
          <w:p>
            <w:pPr>
              <w:spacing w:after="0"/>
            </w:pPr>
            <w:r>
              <w:rPr>
                <w:b w:val="0"/>
                <w:i w:val="0"/>
                <w:sz w:val="12"/>
              </w:rPr>
              <w:t>2,4 %</w:t>
            </w:r>
          </w:p>
        </w:tc>
        <w:tc>
          <w:tcPr>
            <w:tcW w:type="dxa" w:w="907"/>
          </w:tcPr>
          <w:p>
            <w:pPr>
              <w:spacing w:after="0"/>
            </w:pPr>
            <w:r>
              <w:rPr>
                <w:b w:val="0"/>
                <w:i w:val="0"/>
                <w:sz w:val="12"/>
              </w:rPr>
              <w:t>0</w:t>
            </w:r>
          </w:p>
        </w:tc>
      </w:tr>
      <w:tr>
        <w:tc>
          <w:tcPr>
            <w:tcW w:type="dxa" w:w="1077"/>
            <w:shd w:val="clear" w:color="auto" w:fill="F3F3F1"/>
          </w:tcPr>
          <w:p>
            <w:pPr>
              <w:spacing w:after="0"/>
            </w:pPr>
            <w:r>
              <w:rPr>
                <w:b w:val="0"/>
                <w:i w:val="0"/>
                <w:sz w:val="12"/>
              </w:rPr>
              <w:t>Cacao</w:t>
            </w:r>
          </w:p>
        </w:tc>
        <w:tc>
          <w:tcPr>
            <w:tcW w:type="dxa" w:w="1928"/>
            <w:shd w:val="clear" w:color="auto" w:fill="F3F3F1"/>
          </w:tcPr>
          <w:p>
            <w:pPr>
              <w:spacing w:after="0"/>
            </w:pPr>
            <w:r>
              <w:rPr>
                <w:b w:val="0"/>
                <w:i w:val="0"/>
                <w:sz w:val="12"/>
              </w:rPr>
              <w:t>Prix int. -20 %</w:t>
            </w:r>
          </w:p>
        </w:tc>
        <w:tc>
          <w:tcPr>
            <w:tcW w:type="dxa" w:w="737"/>
            <w:shd w:val="clear" w:color="auto" w:fill="F3F3F1"/>
          </w:tcPr>
          <w:p>
            <w:pPr>
              <w:spacing w:after="0"/>
            </w:pPr>
            <w:r>
              <w:rPr>
                <w:b w:val="0"/>
                <w:i w:val="0"/>
                <w:sz w:val="12"/>
              </w:rPr>
              <w:t>−4 %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−4 %</w:t>
            </w:r>
          </w:p>
        </w:tc>
        <w:tc>
          <w:tcPr>
            <w:tcW w:type="dxa" w:w="850"/>
            <w:shd w:val="clear" w:color="auto" w:fill="F3F3F1"/>
          </w:tcPr>
          <w:p>
            <w:pPr>
              <w:spacing w:after="0"/>
            </w:pPr>
            <w:r>
              <w:rPr>
                <w:b w:val="0"/>
                <w:i w:val="0"/>
                <w:sz w:val="12"/>
              </w:rPr>
              <w:t>86</w:t>
            </w:r>
          </w:p>
        </w:tc>
        <w:tc>
          <w:tcPr>
            <w:tcW w:type="dxa" w:w="964"/>
            <w:shd w:val="clear" w:color="auto" w:fill="F3F3F1"/>
          </w:tcPr>
          <w:p>
            <w:pPr>
              <w:spacing w:after="0"/>
            </w:pPr>
            <w:r>
              <w:rPr>
                <w:b w:val="0"/>
                <w:i w:val="0"/>
                <w:sz w:val="12"/>
              </w:rPr>
              <w:t>346</w:t>
            </w:r>
          </w:p>
        </w:tc>
        <w:tc>
          <w:tcPr>
            <w:tcW w:type="dxa" w:w="794"/>
            <w:shd w:val="clear" w:color="auto" w:fill="F3F3F1"/>
          </w:tcPr>
          <w:p>
            <w:pPr>
              <w:spacing w:after="0"/>
            </w:pPr>
            <w:r>
              <w:rPr>
                <w:b w:val="0"/>
                <w:i w:val="0"/>
                <w:sz w:val="12"/>
              </w:rPr>
              <w:t>104</w:t>
            </w:r>
          </w:p>
        </w:tc>
        <w:tc>
          <w:tcPr>
            <w:tcW w:type="dxa" w:w="680"/>
            <w:shd w:val="clear" w:color="auto" w:fill="F3F3F1"/>
          </w:tcPr>
          <w:p>
            <w:pPr>
              <w:spacing w:after="0"/>
            </w:pPr>
            <w:r>
              <w:rPr>
                <w:b w:val="0"/>
                <w:i w:val="0"/>
                <w:sz w:val="12"/>
              </w:rPr>
              <w:t>58</w:t>
            </w:r>
          </w:p>
        </w:tc>
        <w:tc>
          <w:tcPr>
            <w:tcW w:type="dxa" w:w="794"/>
            <w:shd w:val="clear" w:color="auto" w:fill="F3F3F1"/>
          </w:tcPr>
          <w:p>
            <w:pPr>
              <w:spacing w:after="0"/>
            </w:pPr>
            <w:r>
              <w:rPr>
                <w:b w:val="0"/>
                <w:i w:val="0"/>
                <w:sz w:val="12"/>
              </w:rPr>
              <w:t>4,8 %</w:t>
            </w:r>
          </w:p>
        </w:tc>
        <w:tc>
          <w:tcPr>
            <w:tcW w:type="dxa" w:w="907"/>
            <w:shd w:val="clear" w:color="auto" w:fill="F3F3F1"/>
          </w:tcPr>
          <w:p>
            <w:pPr>
              <w:spacing w:after="0"/>
            </w:pPr>
            <w:r>
              <w:rPr>
                <w:b w:val="0"/>
                <w:i w:val="0"/>
                <w:sz w:val="12"/>
              </w:rPr>
              <w:t>0</w:t>
            </w:r>
          </w:p>
        </w:tc>
      </w:tr>
      <w:tr>
        <w:tc>
          <w:tcPr>
            <w:tcW w:type="dxa" w:w="1077"/>
          </w:tcPr>
          <w:p>
            <w:pPr>
              <w:spacing w:after="0"/>
            </w:pPr>
            <w:r>
              <w:rPr>
                <w:b w:val="0"/>
                <w:i w:val="0"/>
                <w:sz w:val="12"/>
              </w:rPr>
              <w:t>Cacao</w:t>
            </w:r>
          </w:p>
        </w:tc>
        <w:tc>
          <w:tcPr>
            <w:tcW w:type="dxa" w:w="1928"/>
          </w:tcPr>
          <w:p>
            <w:pPr>
              <w:spacing w:after="0"/>
            </w:pPr>
            <w:r>
              <w:rPr>
                <w:b w:val="0"/>
                <w:i w:val="0"/>
                <w:sz w:val="12"/>
              </w:rPr>
              <w:t>Prix int. -30 %</w:t>
            </w:r>
          </w:p>
        </w:tc>
        <w:tc>
          <w:tcPr>
            <w:tcW w:type="dxa" w:w="737"/>
          </w:tcPr>
          <w:p>
            <w:pPr>
              <w:spacing w:after="0"/>
            </w:pPr>
            <w:r>
              <w:rPr>
                <w:b w:val="0"/>
                <w:i w:val="0"/>
                <w:sz w:val="12"/>
              </w:rPr>
              <w:t>−6 %</w:t>
            </w:r>
          </w:p>
        </w:tc>
        <w:tc>
          <w:tcPr>
            <w:tcW w:type="dxa" w:w="737"/>
          </w:tcPr>
          <w:p>
            <w:pPr>
              <w:spacing w:after="0"/>
            </w:pPr>
            <w:r>
              <w:rPr>
                <w:b w:val="0"/>
                <w:i w:val="0"/>
                <w:sz w:val="12"/>
              </w:rPr>
              <w:t>—</w:t>
            </w:r>
          </w:p>
        </w:tc>
        <w:tc>
          <w:tcPr>
            <w:tcW w:type="dxa" w:w="737"/>
          </w:tcPr>
          <w:p>
            <w:pPr>
              <w:spacing w:after="0"/>
            </w:pPr>
            <w:r>
              <w:rPr>
                <w:b w:val="0"/>
                <w:i w:val="0"/>
                <w:sz w:val="12"/>
              </w:rPr>
              <w:t>−6 %</w:t>
            </w:r>
          </w:p>
        </w:tc>
        <w:tc>
          <w:tcPr>
            <w:tcW w:type="dxa" w:w="850"/>
          </w:tcPr>
          <w:p>
            <w:pPr>
              <w:spacing w:after="0"/>
            </w:pPr>
            <w:r>
              <w:rPr>
                <w:b w:val="0"/>
                <w:i w:val="0"/>
                <w:sz w:val="12"/>
              </w:rPr>
              <w:t>130</w:t>
            </w:r>
          </w:p>
        </w:tc>
        <w:tc>
          <w:tcPr>
            <w:tcW w:type="dxa" w:w="964"/>
          </w:tcPr>
          <w:p>
            <w:pPr>
              <w:spacing w:after="0"/>
            </w:pPr>
            <w:r>
              <w:rPr>
                <w:b w:val="0"/>
                <w:i w:val="0"/>
                <w:sz w:val="12"/>
              </w:rPr>
              <w:t>518</w:t>
            </w:r>
          </w:p>
        </w:tc>
        <w:tc>
          <w:tcPr>
            <w:tcW w:type="dxa" w:w="794"/>
          </w:tcPr>
          <w:p>
            <w:pPr>
              <w:spacing w:after="0"/>
            </w:pPr>
            <w:r>
              <w:rPr>
                <w:b w:val="0"/>
                <w:i w:val="0"/>
                <w:sz w:val="12"/>
              </w:rPr>
              <w:t>156</w:t>
            </w:r>
          </w:p>
        </w:tc>
        <w:tc>
          <w:tcPr>
            <w:tcW w:type="dxa" w:w="680"/>
          </w:tcPr>
          <w:p>
            <w:pPr>
              <w:spacing w:after="0"/>
            </w:pPr>
            <w:r>
              <w:rPr>
                <w:b w:val="0"/>
                <w:i w:val="0"/>
                <w:sz w:val="12"/>
              </w:rPr>
              <w:t>86</w:t>
            </w:r>
          </w:p>
        </w:tc>
        <w:tc>
          <w:tcPr>
            <w:tcW w:type="dxa" w:w="794"/>
          </w:tcPr>
          <w:p>
            <w:pPr>
              <w:spacing w:after="0"/>
            </w:pPr>
            <w:r>
              <w:rPr>
                <w:b w:val="0"/>
                <w:i w:val="0"/>
                <w:sz w:val="12"/>
              </w:rPr>
              <w:t>7,2 %</w:t>
            </w:r>
          </w:p>
        </w:tc>
        <w:tc>
          <w:tcPr>
            <w:tcW w:type="dxa" w:w="907"/>
          </w:tcPr>
          <w:p>
            <w:pPr>
              <w:spacing w:after="0"/>
            </w:pPr>
            <w:r>
              <w:rPr>
                <w:b w:val="0"/>
                <w:i w:val="0"/>
                <w:sz w:val="12"/>
              </w:rPr>
              <w:t>0</w:t>
            </w:r>
          </w:p>
        </w:tc>
      </w:tr>
      <w:tr>
        <w:tc>
          <w:tcPr>
            <w:tcW w:type="dxa" w:w="1077"/>
            <w:shd w:val="clear" w:color="auto" w:fill="F3F3F1"/>
          </w:tcPr>
          <w:p>
            <w:pPr>
              <w:spacing w:after="0"/>
            </w:pPr>
            <w:r>
              <w:rPr>
                <w:b w:val="0"/>
                <w:i w:val="0"/>
                <w:sz w:val="12"/>
              </w:rPr>
              <w:t>Cacao</w:t>
            </w:r>
          </w:p>
        </w:tc>
        <w:tc>
          <w:tcPr>
            <w:tcW w:type="dxa" w:w="1928"/>
            <w:shd w:val="clear" w:color="auto" w:fill="F3F3F1"/>
          </w:tcPr>
          <w:p>
            <w:pPr>
              <w:spacing w:after="0"/>
            </w:pPr>
            <w:r>
              <w:rPr>
                <w:b w:val="0"/>
                <w:i w:val="0"/>
                <w:sz w:val="12"/>
              </w:rPr>
              <w:t>Prix -30 % et production -10 %</w:t>
            </w:r>
          </w:p>
        </w:tc>
        <w:tc>
          <w:tcPr>
            <w:tcW w:type="dxa" w:w="737"/>
            <w:shd w:val="clear" w:color="auto" w:fill="F3F3F1"/>
          </w:tcPr>
          <w:p>
            <w:pPr>
              <w:spacing w:after="0"/>
            </w:pPr>
            <w:r>
              <w:rPr>
                <w:b w:val="0"/>
                <w:i w:val="0"/>
                <w:sz w:val="12"/>
              </w:rPr>
              <w:t>−6 %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−15 %</w:t>
            </w:r>
          </w:p>
        </w:tc>
        <w:tc>
          <w:tcPr>
            <w:tcW w:type="dxa" w:w="850"/>
            <w:shd w:val="clear" w:color="auto" w:fill="F3F3F1"/>
          </w:tcPr>
          <w:p>
            <w:pPr>
              <w:spacing w:after="0"/>
            </w:pPr>
            <w:r>
              <w:rPr>
                <w:b w:val="0"/>
                <w:i w:val="0"/>
                <w:sz w:val="12"/>
              </w:rPr>
              <w:t>333</w:t>
            </w:r>
          </w:p>
        </w:tc>
        <w:tc>
          <w:tcPr>
            <w:tcW w:type="dxa" w:w="964"/>
            <w:shd w:val="clear" w:color="auto" w:fill="F3F3F1"/>
          </w:tcPr>
          <w:p>
            <w:pPr>
              <w:spacing w:after="0"/>
            </w:pPr>
            <w:r>
              <w:rPr>
                <w:b w:val="0"/>
                <w:i w:val="0"/>
                <w:sz w:val="12"/>
              </w:rPr>
              <w:t>467</w:t>
            </w:r>
          </w:p>
        </w:tc>
        <w:tc>
          <w:tcPr>
            <w:tcW w:type="dxa" w:w="794"/>
            <w:shd w:val="clear" w:color="auto" w:fill="F3F3F1"/>
          </w:tcPr>
          <w:p>
            <w:pPr>
              <w:spacing w:after="0"/>
            </w:pPr>
            <w:r>
              <w:rPr>
                <w:b w:val="0"/>
                <w:i w:val="0"/>
                <w:sz w:val="12"/>
              </w:rPr>
              <w:t>140</w:t>
            </w:r>
          </w:p>
        </w:tc>
        <w:tc>
          <w:tcPr>
            <w:tcW w:type="dxa" w:w="680"/>
            <w:shd w:val="clear" w:color="auto" w:fill="F3F3F1"/>
          </w:tcPr>
          <w:p>
            <w:pPr>
              <w:spacing w:after="0"/>
            </w:pPr>
            <w:r>
              <w:rPr>
                <w:b w:val="0"/>
                <w:i w:val="0"/>
                <w:sz w:val="12"/>
              </w:rPr>
              <w:t>86</w:t>
            </w:r>
          </w:p>
        </w:tc>
        <w:tc>
          <w:tcPr>
            <w:tcW w:type="dxa" w:w="794"/>
            <w:shd w:val="clear" w:color="auto" w:fill="F3F3F1"/>
          </w:tcPr>
          <w:p>
            <w:pPr>
              <w:spacing w:after="0"/>
            </w:pPr>
            <w:r>
              <w:rPr>
                <w:b w:val="0"/>
                <w:i w:val="0"/>
                <w:sz w:val="12"/>
              </w:rPr>
              <w:t>6,5 %</w:t>
            </w:r>
          </w:p>
        </w:tc>
        <w:tc>
          <w:tcPr>
            <w:tcW w:type="dxa" w:w="907"/>
            <w:shd w:val="clear" w:color="auto" w:fill="F3F3F1"/>
          </w:tcPr>
          <w:p>
            <w:pPr>
              <w:spacing w:after="0"/>
            </w:pPr>
            <w:r>
              <w:rPr>
                <w:b w:val="0"/>
                <w:i w:val="0"/>
                <w:sz w:val="12"/>
              </w:rPr>
              <w:t>117</w:t>
            </w:r>
          </w:p>
        </w:tc>
      </w:tr>
      <w:tr>
        <w:tc>
          <w:tcPr>
            <w:tcW w:type="dxa" w:w="1077"/>
          </w:tcPr>
          <w:p>
            <w:pPr>
              <w:spacing w:after="0"/>
            </w:pPr>
            <w:r>
              <w:rPr>
                <w:b w:val="0"/>
                <w:i w:val="0"/>
                <w:sz w:val="12"/>
              </w:rPr>
              <w:t>Cacao</w:t>
            </w:r>
          </w:p>
        </w:tc>
        <w:tc>
          <w:tcPr>
            <w:tcW w:type="dxa" w:w="1928"/>
          </w:tcPr>
          <w:p>
            <w:pPr>
              <w:spacing w:after="0"/>
            </w:pPr>
            <w:r>
              <w:rPr>
                <w:b w:val="0"/>
                <w:i w:val="0"/>
                <w:sz w:val="12"/>
              </w:rPr>
              <w:t>Prix -30 % pendant 2 campagnes</w:t>
            </w:r>
          </w:p>
        </w:tc>
        <w:tc>
          <w:tcPr>
            <w:tcW w:type="dxa" w:w="737"/>
          </w:tcPr>
          <w:p>
            <w:pPr>
              <w:spacing w:after="0"/>
            </w:pPr>
            <w:r>
              <w:rPr>
                <w:b w:val="0"/>
                <w:i w:val="0"/>
                <w:sz w:val="12"/>
              </w:rPr>
              <w:t>−6 %</w:t>
            </w:r>
          </w:p>
        </w:tc>
        <w:tc>
          <w:tcPr>
            <w:tcW w:type="dxa" w:w="737"/>
          </w:tcPr>
          <w:p>
            <w:pPr>
              <w:spacing w:after="0"/>
            </w:pPr>
            <w:r>
              <w:rPr>
                <w:b w:val="0"/>
                <w:i w:val="0"/>
                <w:sz w:val="12"/>
              </w:rPr>
              <w:t>−28 %</w:t>
            </w:r>
          </w:p>
        </w:tc>
        <w:tc>
          <w:tcPr>
            <w:tcW w:type="dxa" w:w="737"/>
          </w:tcPr>
          <w:p>
            <w:pPr>
              <w:spacing w:after="0"/>
            </w:pPr>
            <w:r>
              <w:rPr>
                <w:b w:val="0"/>
                <w:i w:val="0"/>
                <w:sz w:val="12"/>
              </w:rPr>
              <w:t>−6 %</w:t>
            </w:r>
          </w:p>
        </w:tc>
        <w:tc>
          <w:tcPr>
            <w:tcW w:type="dxa" w:w="850"/>
          </w:tcPr>
          <w:p>
            <w:pPr>
              <w:spacing w:after="0"/>
            </w:pPr>
            <w:r>
              <w:rPr>
                <w:b w:val="0"/>
                <w:i w:val="0"/>
                <w:sz w:val="12"/>
              </w:rPr>
              <w:t>745</w:t>
            </w:r>
          </w:p>
        </w:tc>
        <w:tc>
          <w:tcPr>
            <w:tcW w:type="dxa" w:w="964"/>
          </w:tcPr>
          <w:p>
            <w:pPr>
              <w:spacing w:after="0"/>
            </w:pPr>
            <w:r>
              <w:rPr>
                <w:b w:val="0"/>
                <w:i w:val="0"/>
                <w:sz w:val="12"/>
              </w:rPr>
              <w:t>551</w:t>
            </w:r>
          </w:p>
        </w:tc>
        <w:tc>
          <w:tcPr>
            <w:tcW w:type="dxa" w:w="794"/>
          </w:tcPr>
          <w:p>
            <w:pPr>
              <w:spacing w:after="0"/>
            </w:pPr>
            <w:r>
              <w:rPr>
                <w:b w:val="0"/>
                <w:i w:val="0"/>
                <w:sz w:val="12"/>
              </w:rPr>
              <w:t>165</w:t>
            </w:r>
          </w:p>
        </w:tc>
        <w:tc>
          <w:tcPr>
            <w:tcW w:type="dxa" w:w="680"/>
          </w:tcPr>
          <w:p>
            <w:pPr>
              <w:spacing w:after="0"/>
            </w:pPr>
            <w:r>
              <w:rPr>
                <w:b w:val="0"/>
                <w:i w:val="0"/>
                <w:sz w:val="12"/>
              </w:rPr>
              <w:t>46</w:t>
            </w:r>
          </w:p>
        </w:tc>
        <w:tc>
          <w:tcPr>
            <w:tcW w:type="dxa" w:w="794"/>
          </w:tcPr>
          <w:p>
            <w:pPr>
              <w:spacing w:after="0"/>
            </w:pPr>
            <w:r>
              <w:rPr>
                <w:b w:val="0"/>
                <w:i w:val="0"/>
                <w:sz w:val="12"/>
              </w:rPr>
              <w:t>7,6 %</w:t>
            </w:r>
          </w:p>
        </w:tc>
        <w:tc>
          <w:tcPr>
            <w:tcW w:type="dxa" w:w="907"/>
          </w:tcPr>
          <w:p>
            <w:pPr>
              <w:spacing w:after="0"/>
            </w:pPr>
            <w:r>
              <w:rPr>
                <w:b w:val="0"/>
                <w:i w:val="0"/>
                <w:sz w:val="12"/>
              </w:rPr>
              <w:t>0</w:t>
            </w:r>
          </w:p>
        </w:tc>
      </w:tr>
      <w:tr>
        <w:tc>
          <w:tcPr>
            <w:tcW w:type="dxa" w:w="1077"/>
            <w:shd w:val="clear" w:color="auto" w:fill="F3F3F1"/>
          </w:tcPr>
          <w:p>
            <w:pPr>
              <w:spacing w:after="0"/>
            </w:pPr>
            <w:r>
              <w:rPr>
                <w:b w:val="0"/>
                <w:i w:val="0"/>
                <w:sz w:val="12"/>
              </w:rPr>
              <w:t>Café</w:t>
            </w:r>
          </w:p>
        </w:tc>
        <w:tc>
          <w:tcPr>
            <w:tcW w:type="dxa" w:w="1928"/>
            <w:shd w:val="clear" w:color="auto" w:fill="F3F3F1"/>
          </w:tcPr>
          <w:p>
            <w:pPr>
              <w:spacing w:after="0"/>
            </w:pPr>
            <w:r>
              <w:rPr>
                <w:b w:val="0"/>
                <w:i w:val="0"/>
                <w:sz w:val="12"/>
              </w:rPr>
              <w:t>Prix int. -10 %</w:t>
            </w:r>
          </w:p>
        </w:tc>
        <w:tc>
          <w:tcPr>
            <w:tcW w:type="dxa" w:w="737"/>
            <w:shd w:val="clear" w:color="auto" w:fill="F3F3F1"/>
          </w:tcPr>
          <w:p>
            <w:pPr>
              <w:spacing w:after="0"/>
            </w:pPr>
            <w:r>
              <w:rPr>
                <w:b w:val="0"/>
                <w:i w:val="0"/>
                <w:sz w:val="12"/>
              </w:rPr>
              <w:t>0 %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0 %</w:t>
            </w:r>
          </w:p>
        </w:tc>
        <w:tc>
          <w:tcPr>
            <w:tcW w:type="dxa" w:w="850"/>
            <w:shd w:val="clear" w:color="auto" w:fill="F3F3F1"/>
          </w:tcPr>
          <w:p>
            <w:pPr>
              <w:spacing w:after="0"/>
            </w:pPr>
            <w:r>
              <w:rPr>
                <w:b w:val="0"/>
                <w:i w:val="0"/>
                <w:sz w:val="12"/>
              </w:rPr>
              <w:t>0</w:t>
            </w:r>
          </w:p>
        </w:tc>
        <w:tc>
          <w:tcPr>
            <w:tcW w:type="dxa" w:w="964"/>
            <w:shd w:val="clear" w:color="auto" w:fill="F3F3F1"/>
          </w:tcPr>
          <w:p>
            <w:pPr>
              <w:spacing w:after="0"/>
            </w:pPr>
            <w:r>
              <w:rPr>
                <w:b w:val="0"/>
                <w:i w:val="0"/>
                <w:sz w:val="12"/>
              </w:rPr>
              <w:t>8</w:t>
            </w:r>
          </w:p>
        </w:tc>
        <w:tc>
          <w:tcPr>
            <w:tcW w:type="dxa" w:w="794"/>
            <w:shd w:val="clear" w:color="auto" w:fill="F3F3F1"/>
          </w:tcPr>
          <w:p>
            <w:pPr>
              <w:spacing w:after="0"/>
            </w:pPr>
            <w:r>
              <w:rPr>
                <w:b w:val="0"/>
                <w:i w:val="0"/>
                <w:sz w:val="12"/>
              </w:rPr>
              <w:t>2</w:t>
            </w:r>
          </w:p>
        </w:tc>
        <w:tc>
          <w:tcPr>
            <w:tcW w:type="dxa" w:w="680"/>
            <w:shd w:val="clear" w:color="auto" w:fill="F3F3F1"/>
          </w:tcPr>
          <w:p>
            <w:pPr>
              <w:spacing w:after="0"/>
            </w:pPr>
            <w:r>
              <w:rPr>
                <w:b w:val="0"/>
                <w:i w:val="0"/>
                <w:sz w:val="12"/>
              </w:rPr>
              <w:t>39</w:t>
            </w:r>
          </w:p>
        </w:tc>
        <w:tc>
          <w:tcPr>
            <w:tcW w:type="dxa" w:w="794"/>
            <w:shd w:val="clear" w:color="auto" w:fill="F3F3F1"/>
          </w:tcPr>
          <w:p>
            <w:pPr>
              <w:spacing w:after="0"/>
            </w:pPr>
            <w:r>
              <w:rPr>
                <w:b w:val="0"/>
                <w:i w:val="0"/>
                <w:sz w:val="12"/>
              </w:rPr>
              <w:t>3,0 %</w:t>
            </w:r>
          </w:p>
        </w:tc>
        <w:tc>
          <w:tcPr>
            <w:tcW w:type="dxa" w:w="907"/>
            <w:shd w:val="clear" w:color="auto" w:fill="F3F3F1"/>
          </w:tcPr>
          <w:p>
            <w:pPr>
              <w:spacing w:after="0"/>
            </w:pPr>
            <w:r>
              <w:rPr>
                <w:b w:val="0"/>
                <w:i w:val="0"/>
                <w:sz w:val="12"/>
              </w:rPr>
              <w:t>0</w:t>
            </w:r>
          </w:p>
        </w:tc>
      </w:tr>
      <w:tr>
        <w:tc>
          <w:tcPr>
            <w:tcW w:type="dxa" w:w="1077"/>
          </w:tcPr>
          <w:p>
            <w:pPr>
              <w:spacing w:after="0"/>
            </w:pPr>
            <w:r>
              <w:rPr>
                <w:b w:val="0"/>
                <w:i w:val="0"/>
                <w:sz w:val="12"/>
              </w:rPr>
              <w:t>Café</w:t>
            </w:r>
          </w:p>
        </w:tc>
        <w:tc>
          <w:tcPr>
            <w:tcW w:type="dxa" w:w="1928"/>
          </w:tcPr>
          <w:p>
            <w:pPr>
              <w:spacing w:after="0"/>
            </w:pPr>
            <w:r>
              <w:rPr>
                <w:b w:val="0"/>
                <w:i w:val="0"/>
                <w:sz w:val="12"/>
              </w:rPr>
              <w:t>Prix int. -20 %</w:t>
            </w:r>
          </w:p>
        </w:tc>
        <w:tc>
          <w:tcPr>
            <w:tcW w:type="dxa" w:w="737"/>
          </w:tcPr>
          <w:p>
            <w:pPr>
              <w:spacing w:after="0"/>
            </w:pPr>
            <w:r>
              <w:rPr>
                <w:b w:val="0"/>
                <w:i w:val="0"/>
                <w:sz w:val="12"/>
              </w:rPr>
              <w:t>0 %</w:t>
            </w:r>
          </w:p>
        </w:tc>
        <w:tc>
          <w:tcPr>
            <w:tcW w:type="dxa" w:w="737"/>
          </w:tcPr>
          <w:p>
            <w:pPr>
              <w:spacing w:after="0"/>
            </w:pPr>
            <w:r>
              <w:rPr>
                <w:b w:val="0"/>
                <w:i w:val="0"/>
                <w:sz w:val="12"/>
              </w:rPr>
              <w:t>—</w:t>
            </w:r>
          </w:p>
        </w:tc>
        <w:tc>
          <w:tcPr>
            <w:tcW w:type="dxa" w:w="737"/>
          </w:tcPr>
          <w:p>
            <w:pPr>
              <w:spacing w:after="0"/>
            </w:pPr>
            <w:r>
              <w:rPr>
                <w:b w:val="0"/>
                <w:i w:val="0"/>
                <w:sz w:val="12"/>
              </w:rPr>
              <w:t>0 %</w:t>
            </w:r>
          </w:p>
        </w:tc>
        <w:tc>
          <w:tcPr>
            <w:tcW w:type="dxa" w:w="850"/>
          </w:tcPr>
          <w:p>
            <w:pPr>
              <w:spacing w:after="0"/>
            </w:pPr>
            <w:r>
              <w:rPr>
                <w:b w:val="0"/>
                <w:i w:val="0"/>
                <w:sz w:val="12"/>
              </w:rPr>
              <w:t>0</w:t>
            </w:r>
          </w:p>
        </w:tc>
        <w:tc>
          <w:tcPr>
            <w:tcW w:type="dxa" w:w="964"/>
          </w:tcPr>
          <w:p>
            <w:pPr>
              <w:spacing w:after="0"/>
            </w:pPr>
            <w:r>
              <w:rPr>
                <w:b w:val="0"/>
                <w:i w:val="0"/>
                <w:sz w:val="12"/>
              </w:rPr>
              <w:t>16</w:t>
            </w:r>
          </w:p>
        </w:tc>
        <w:tc>
          <w:tcPr>
            <w:tcW w:type="dxa" w:w="794"/>
          </w:tcPr>
          <w:p>
            <w:pPr>
              <w:spacing w:after="0"/>
            </w:pPr>
            <w:r>
              <w:rPr>
                <w:b w:val="0"/>
                <w:i w:val="0"/>
                <w:sz w:val="12"/>
              </w:rPr>
              <w:t>5</w:t>
            </w:r>
          </w:p>
        </w:tc>
        <w:tc>
          <w:tcPr>
            <w:tcW w:type="dxa" w:w="680"/>
          </w:tcPr>
          <w:p>
            <w:pPr>
              <w:spacing w:after="0"/>
            </w:pPr>
            <w:r>
              <w:rPr>
                <w:b w:val="0"/>
                <w:i w:val="0"/>
                <w:sz w:val="12"/>
              </w:rPr>
              <w:t>78</w:t>
            </w:r>
          </w:p>
        </w:tc>
        <w:tc>
          <w:tcPr>
            <w:tcW w:type="dxa" w:w="794"/>
          </w:tcPr>
          <w:p>
            <w:pPr>
              <w:spacing w:after="0"/>
            </w:pPr>
            <w:r>
              <w:rPr>
                <w:b w:val="0"/>
                <w:i w:val="0"/>
                <w:sz w:val="12"/>
              </w:rPr>
              <w:t>6,0 %</w:t>
            </w:r>
          </w:p>
        </w:tc>
        <w:tc>
          <w:tcPr>
            <w:tcW w:type="dxa" w:w="907"/>
          </w:tcPr>
          <w:p>
            <w:pPr>
              <w:spacing w:after="0"/>
            </w:pPr>
            <w:r>
              <w:rPr>
                <w:b w:val="0"/>
                <w:i w:val="0"/>
                <w:sz w:val="12"/>
              </w:rPr>
              <w:t>0</w:t>
            </w:r>
          </w:p>
        </w:tc>
      </w:tr>
      <w:tr>
        <w:tc>
          <w:tcPr>
            <w:tcW w:type="dxa" w:w="1077"/>
            <w:shd w:val="clear" w:color="auto" w:fill="F3F3F1"/>
          </w:tcPr>
          <w:p>
            <w:pPr>
              <w:spacing w:after="0"/>
            </w:pPr>
            <w:r>
              <w:rPr>
                <w:b w:val="0"/>
                <w:i w:val="0"/>
                <w:sz w:val="12"/>
              </w:rPr>
              <w:t>Café</w:t>
            </w:r>
          </w:p>
        </w:tc>
        <w:tc>
          <w:tcPr>
            <w:tcW w:type="dxa" w:w="1928"/>
            <w:shd w:val="clear" w:color="auto" w:fill="F3F3F1"/>
          </w:tcPr>
          <w:p>
            <w:pPr>
              <w:spacing w:after="0"/>
            </w:pPr>
            <w:r>
              <w:rPr>
                <w:b w:val="0"/>
                <w:i w:val="0"/>
                <w:sz w:val="12"/>
              </w:rPr>
              <w:t>Prix int. -30 %</w:t>
            </w:r>
          </w:p>
        </w:tc>
        <w:tc>
          <w:tcPr>
            <w:tcW w:type="dxa" w:w="737"/>
            <w:shd w:val="clear" w:color="auto" w:fill="F3F3F1"/>
          </w:tcPr>
          <w:p>
            <w:pPr>
              <w:spacing w:after="0"/>
            </w:pPr>
            <w:r>
              <w:rPr>
                <w:b w:val="0"/>
                <w:i w:val="0"/>
                <w:sz w:val="12"/>
              </w:rPr>
              <w:t>0 %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0 %</w:t>
            </w:r>
          </w:p>
        </w:tc>
        <w:tc>
          <w:tcPr>
            <w:tcW w:type="dxa" w:w="850"/>
            <w:shd w:val="clear" w:color="auto" w:fill="F3F3F1"/>
          </w:tcPr>
          <w:p>
            <w:pPr>
              <w:spacing w:after="0"/>
            </w:pPr>
            <w:r>
              <w:rPr>
                <w:b w:val="0"/>
                <w:i w:val="0"/>
                <w:sz w:val="12"/>
              </w:rPr>
              <w:t>0</w:t>
            </w:r>
          </w:p>
        </w:tc>
        <w:tc>
          <w:tcPr>
            <w:tcW w:type="dxa" w:w="964"/>
            <w:shd w:val="clear" w:color="auto" w:fill="F3F3F1"/>
          </w:tcPr>
          <w:p>
            <w:pPr>
              <w:spacing w:after="0"/>
            </w:pPr>
            <w:r>
              <w:rPr>
                <w:b w:val="0"/>
                <w:i w:val="0"/>
                <w:sz w:val="12"/>
              </w:rPr>
              <w:t>23</w:t>
            </w:r>
          </w:p>
        </w:tc>
        <w:tc>
          <w:tcPr>
            <w:tcW w:type="dxa" w:w="794"/>
            <w:shd w:val="clear" w:color="auto" w:fill="F3F3F1"/>
          </w:tcPr>
          <w:p>
            <w:pPr>
              <w:spacing w:after="0"/>
            </w:pPr>
            <w:r>
              <w:rPr>
                <w:b w:val="0"/>
                <w:i w:val="0"/>
                <w:sz w:val="12"/>
              </w:rPr>
              <w:t>7</w:t>
            </w:r>
          </w:p>
        </w:tc>
        <w:tc>
          <w:tcPr>
            <w:tcW w:type="dxa" w:w="680"/>
            <w:shd w:val="clear" w:color="auto" w:fill="F3F3F1"/>
          </w:tcPr>
          <w:p>
            <w:pPr>
              <w:spacing w:after="0"/>
            </w:pPr>
            <w:r>
              <w:rPr>
                <w:b w:val="0"/>
                <w:i w:val="0"/>
                <w:sz w:val="12"/>
              </w:rPr>
              <w:t>117</w:t>
            </w:r>
          </w:p>
        </w:tc>
        <w:tc>
          <w:tcPr>
            <w:tcW w:type="dxa" w:w="794"/>
            <w:shd w:val="clear" w:color="auto" w:fill="F3F3F1"/>
          </w:tcPr>
          <w:p>
            <w:pPr>
              <w:spacing w:after="0"/>
            </w:pPr>
            <w:r>
              <w:rPr>
                <w:b w:val="0"/>
                <w:i w:val="0"/>
                <w:sz w:val="12"/>
              </w:rPr>
              <w:t>9,0 %</w:t>
            </w:r>
          </w:p>
        </w:tc>
        <w:tc>
          <w:tcPr>
            <w:tcW w:type="dxa" w:w="907"/>
            <w:shd w:val="clear" w:color="auto" w:fill="F3F3F1"/>
          </w:tcPr>
          <w:p>
            <w:pPr>
              <w:spacing w:after="0"/>
            </w:pPr>
            <w:r>
              <w:rPr>
                <w:b w:val="0"/>
                <w:i w:val="0"/>
                <w:sz w:val="12"/>
              </w:rPr>
              <w:t>0</w:t>
            </w:r>
          </w:p>
        </w:tc>
      </w:tr>
      <w:tr>
        <w:tc>
          <w:tcPr>
            <w:tcW w:type="dxa" w:w="1077"/>
          </w:tcPr>
          <w:p>
            <w:pPr>
              <w:spacing w:after="0"/>
            </w:pPr>
            <w:r>
              <w:rPr>
                <w:b w:val="0"/>
                <w:i w:val="0"/>
                <w:sz w:val="12"/>
              </w:rPr>
              <w:t>Café</w:t>
            </w:r>
          </w:p>
        </w:tc>
        <w:tc>
          <w:tcPr>
            <w:tcW w:type="dxa" w:w="1928"/>
          </w:tcPr>
          <w:p>
            <w:pPr>
              <w:spacing w:after="0"/>
            </w:pPr>
            <w:r>
              <w:rPr>
                <w:b w:val="0"/>
                <w:i w:val="0"/>
                <w:sz w:val="12"/>
              </w:rPr>
              <w:t>Prix -30 % et production -10 %</w:t>
            </w:r>
          </w:p>
        </w:tc>
        <w:tc>
          <w:tcPr>
            <w:tcW w:type="dxa" w:w="737"/>
          </w:tcPr>
          <w:p>
            <w:pPr>
              <w:spacing w:after="0"/>
            </w:pPr>
            <w:r>
              <w:rPr>
                <w:b w:val="0"/>
                <w:i w:val="0"/>
                <w:sz w:val="12"/>
              </w:rPr>
              <w:t>0 %</w:t>
            </w:r>
          </w:p>
        </w:tc>
        <w:tc>
          <w:tcPr>
            <w:tcW w:type="dxa" w:w="737"/>
          </w:tcPr>
          <w:p>
            <w:pPr>
              <w:spacing w:after="0"/>
            </w:pPr>
            <w:r>
              <w:rPr>
                <w:b w:val="0"/>
                <w:i w:val="0"/>
                <w:sz w:val="12"/>
              </w:rPr>
              <w:t>—</w:t>
            </w:r>
          </w:p>
        </w:tc>
        <w:tc>
          <w:tcPr>
            <w:tcW w:type="dxa" w:w="737"/>
          </w:tcPr>
          <w:p>
            <w:pPr>
              <w:spacing w:after="0"/>
            </w:pPr>
            <w:r>
              <w:rPr>
                <w:b w:val="0"/>
                <w:i w:val="0"/>
                <w:sz w:val="12"/>
              </w:rPr>
              <w:t>−10 %</w:t>
            </w:r>
          </w:p>
        </w:tc>
        <w:tc>
          <w:tcPr>
            <w:tcW w:type="dxa" w:w="850"/>
          </w:tcPr>
          <w:p>
            <w:pPr>
              <w:spacing w:after="0"/>
            </w:pPr>
            <w:r>
              <w:rPr>
                <w:b w:val="0"/>
                <w:i w:val="0"/>
                <w:sz w:val="12"/>
              </w:rPr>
              <w:t>8</w:t>
            </w:r>
          </w:p>
        </w:tc>
        <w:tc>
          <w:tcPr>
            <w:tcW w:type="dxa" w:w="964"/>
          </w:tcPr>
          <w:p>
            <w:pPr>
              <w:spacing w:after="0"/>
            </w:pPr>
            <w:r>
              <w:rPr>
                <w:b w:val="0"/>
                <w:i w:val="0"/>
                <w:sz w:val="12"/>
              </w:rPr>
              <w:t>21</w:t>
            </w:r>
          </w:p>
        </w:tc>
        <w:tc>
          <w:tcPr>
            <w:tcW w:type="dxa" w:w="794"/>
          </w:tcPr>
          <w:p>
            <w:pPr>
              <w:spacing w:after="0"/>
            </w:pPr>
            <w:r>
              <w:rPr>
                <w:b w:val="0"/>
                <w:i w:val="0"/>
                <w:sz w:val="12"/>
              </w:rPr>
              <w:t>6</w:t>
            </w:r>
          </w:p>
        </w:tc>
        <w:tc>
          <w:tcPr>
            <w:tcW w:type="dxa" w:w="680"/>
          </w:tcPr>
          <w:p>
            <w:pPr>
              <w:spacing w:after="0"/>
            </w:pPr>
            <w:r>
              <w:rPr>
                <w:b w:val="0"/>
                <w:i w:val="0"/>
                <w:sz w:val="12"/>
              </w:rPr>
              <w:t>117</w:t>
            </w:r>
          </w:p>
        </w:tc>
        <w:tc>
          <w:tcPr>
            <w:tcW w:type="dxa" w:w="794"/>
          </w:tcPr>
          <w:p>
            <w:pPr>
              <w:spacing w:after="0"/>
            </w:pPr>
            <w:r>
              <w:rPr>
                <w:b w:val="0"/>
                <w:i w:val="0"/>
                <w:sz w:val="12"/>
              </w:rPr>
              <w:t>8,1 %</w:t>
            </w:r>
          </w:p>
        </w:tc>
        <w:tc>
          <w:tcPr>
            <w:tcW w:type="dxa" w:w="907"/>
          </w:tcPr>
          <w:p>
            <w:pPr>
              <w:spacing w:after="0"/>
            </w:pPr>
            <w:r>
              <w:rPr>
                <w:b w:val="0"/>
                <w:i w:val="0"/>
                <w:sz w:val="12"/>
              </w:rPr>
              <w:t>0</w:t>
            </w:r>
          </w:p>
        </w:tc>
      </w:tr>
      <w:tr>
        <w:tc>
          <w:tcPr>
            <w:tcW w:type="dxa" w:w="1077"/>
            <w:shd w:val="clear" w:color="auto" w:fill="F3F3F1"/>
          </w:tcPr>
          <w:p>
            <w:pPr>
              <w:spacing w:after="0"/>
            </w:pPr>
            <w:r>
              <w:rPr>
                <w:b w:val="0"/>
                <w:i w:val="0"/>
                <w:sz w:val="12"/>
              </w:rPr>
              <w:t>Café</w:t>
            </w:r>
          </w:p>
        </w:tc>
        <w:tc>
          <w:tcPr>
            <w:tcW w:type="dxa" w:w="1928"/>
            <w:shd w:val="clear" w:color="auto" w:fill="F3F3F1"/>
          </w:tcPr>
          <w:p>
            <w:pPr>
              <w:spacing w:after="0"/>
            </w:pPr>
            <w:r>
              <w:rPr>
                <w:b w:val="0"/>
                <w:i w:val="0"/>
                <w:sz w:val="12"/>
              </w:rPr>
              <w:t>Prix -30 % pendant 2 campagnes</w:t>
            </w:r>
          </w:p>
        </w:tc>
        <w:tc>
          <w:tcPr>
            <w:tcW w:type="dxa" w:w="737"/>
            <w:shd w:val="clear" w:color="auto" w:fill="F3F3F1"/>
          </w:tcPr>
          <w:p>
            <w:pPr>
              <w:spacing w:after="0"/>
            </w:pPr>
            <w:r>
              <w:rPr>
                <w:b w:val="0"/>
                <w:i w:val="0"/>
                <w:sz w:val="12"/>
              </w:rPr>
              <w:t>0 %</w:t>
            </w:r>
          </w:p>
        </w:tc>
        <w:tc>
          <w:tcPr>
            <w:tcW w:type="dxa" w:w="737"/>
            <w:shd w:val="clear" w:color="auto" w:fill="F3F3F1"/>
          </w:tcPr>
          <w:p>
            <w:pPr>
              <w:spacing w:after="0"/>
            </w:pPr>
            <w:r>
              <w:rPr>
                <w:b w:val="0"/>
                <w:i w:val="0"/>
                <w:sz w:val="12"/>
              </w:rPr>
              <w:t>−30 %</w:t>
            </w:r>
          </w:p>
        </w:tc>
        <w:tc>
          <w:tcPr>
            <w:tcW w:type="dxa" w:w="737"/>
            <w:shd w:val="clear" w:color="auto" w:fill="F3F3F1"/>
          </w:tcPr>
          <w:p>
            <w:pPr>
              <w:spacing w:after="0"/>
            </w:pPr>
            <w:r>
              <w:rPr>
                <w:b w:val="0"/>
                <w:i w:val="0"/>
                <w:sz w:val="12"/>
              </w:rPr>
              <w:t>0 %</w:t>
            </w:r>
          </w:p>
        </w:tc>
        <w:tc>
          <w:tcPr>
            <w:tcW w:type="dxa" w:w="850"/>
            <w:shd w:val="clear" w:color="auto" w:fill="F3F3F1"/>
          </w:tcPr>
          <w:p>
            <w:pPr>
              <w:spacing w:after="0"/>
            </w:pPr>
            <w:r>
              <w:rPr>
                <w:b w:val="0"/>
                <w:i w:val="0"/>
                <w:sz w:val="12"/>
              </w:rPr>
              <w:t>23</w:t>
            </w:r>
          </w:p>
        </w:tc>
        <w:tc>
          <w:tcPr>
            <w:tcW w:type="dxa" w:w="964"/>
            <w:shd w:val="clear" w:color="auto" w:fill="F3F3F1"/>
          </w:tcPr>
          <w:p>
            <w:pPr>
              <w:spacing w:after="0"/>
            </w:pPr>
            <w:r>
              <w:rPr>
                <w:b w:val="0"/>
                <w:i w:val="0"/>
                <w:sz w:val="12"/>
              </w:rPr>
              <w:t>23</w:t>
            </w:r>
          </w:p>
        </w:tc>
        <w:tc>
          <w:tcPr>
            <w:tcW w:type="dxa" w:w="794"/>
            <w:shd w:val="clear" w:color="auto" w:fill="F3F3F1"/>
          </w:tcPr>
          <w:p>
            <w:pPr>
              <w:spacing w:after="0"/>
            </w:pPr>
            <w:r>
              <w:rPr>
                <w:b w:val="0"/>
                <w:i w:val="0"/>
                <w:sz w:val="12"/>
              </w:rPr>
              <w:t>7</w:t>
            </w:r>
          </w:p>
        </w:tc>
        <w:tc>
          <w:tcPr>
            <w:tcW w:type="dxa" w:w="680"/>
            <w:shd w:val="clear" w:color="auto" w:fill="F3F3F1"/>
          </w:tcPr>
          <w:p>
            <w:pPr>
              <w:spacing w:after="0"/>
            </w:pPr>
            <w:r>
              <w:rPr>
                <w:b w:val="0"/>
                <w:i w:val="0"/>
                <w:sz w:val="12"/>
              </w:rPr>
              <w:t>58</w:t>
            </w:r>
          </w:p>
        </w:tc>
        <w:tc>
          <w:tcPr>
            <w:tcW w:type="dxa" w:w="794"/>
            <w:shd w:val="clear" w:color="auto" w:fill="F3F3F1"/>
          </w:tcPr>
          <w:p>
            <w:pPr>
              <w:spacing w:after="0"/>
            </w:pPr>
            <w:r>
              <w:rPr>
                <w:b w:val="0"/>
                <w:i w:val="0"/>
                <w:sz w:val="12"/>
              </w:rPr>
              <w:t>9,0 %</w:t>
            </w:r>
          </w:p>
        </w:tc>
        <w:tc>
          <w:tcPr>
            <w:tcW w:type="dxa" w:w="907"/>
            <w:shd w:val="clear" w:color="auto" w:fill="F3F3F1"/>
          </w:tcPr>
          <w:p>
            <w:pPr>
              <w:spacing w:after="0"/>
            </w:pPr>
            <w:r>
              <w:rPr>
                <w:b w:val="0"/>
                <w:i w:val="0"/>
                <w:sz w:val="12"/>
              </w:rPr>
              <w:t>0</w:t>
            </w:r>
          </w:p>
        </w:tc>
      </w:tr>
      <w:tr>
        <w:tc>
          <w:tcPr>
            <w:tcW w:type="dxa" w:w="1077"/>
          </w:tcPr>
          <w:p>
            <w:pPr>
              <w:spacing w:after="0"/>
            </w:pPr>
            <w:r>
              <w:rPr>
                <w:b w:val="0"/>
                <w:i w:val="0"/>
                <w:sz w:val="12"/>
              </w:rPr>
              <w:t>Coton</w:t>
            </w:r>
          </w:p>
        </w:tc>
        <w:tc>
          <w:tcPr>
            <w:tcW w:type="dxa" w:w="1928"/>
          </w:tcPr>
          <w:p>
            <w:pPr>
              <w:spacing w:after="0"/>
            </w:pPr>
            <w:r>
              <w:rPr>
                <w:b w:val="0"/>
                <w:i w:val="0"/>
                <w:sz w:val="12"/>
              </w:rPr>
              <w:t>Prix int. -10 %</w:t>
            </w:r>
          </w:p>
        </w:tc>
        <w:tc>
          <w:tcPr>
            <w:tcW w:type="dxa" w:w="737"/>
          </w:tcPr>
          <w:p>
            <w:pPr>
              <w:spacing w:after="0"/>
            </w:pPr>
            <w:r>
              <w:rPr>
                <w:b w:val="0"/>
                <w:i w:val="0"/>
                <w:sz w:val="12"/>
              </w:rPr>
              <w:t>0 %</w:t>
            </w:r>
          </w:p>
        </w:tc>
        <w:tc>
          <w:tcPr>
            <w:tcW w:type="dxa" w:w="737"/>
          </w:tcPr>
          <w:p>
            <w:pPr>
              <w:spacing w:after="0"/>
            </w:pPr>
            <w:r>
              <w:rPr>
                <w:b w:val="0"/>
                <w:i w:val="0"/>
                <w:sz w:val="12"/>
              </w:rPr>
              <w:t>—</w:t>
            </w:r>
          </w:p>
        </w:tc>
        <w:tc>
          <w:tcPr>
            <w:tcW w:type="dxa" w:w="737"/>
          </w:tcPr>
          <w:p>
            <w:pPr>
              <w:spacing w:after="0"/>
            </w:pPr>
            <w:r>
              <w:rPr>
                <w:b w:val="0"/>
                <w:i w:val="0"/>
                <w:sz w:val="12"/>
              </w:rPr>
              <w:t>0 %</w:t>
            </w:r>
          </w:p>
        </w:tc>
        <w:tc>
          <w:tcPr>
            <w:tcW w:type="dxa" w:w="850"/>
          </w:tcPr>
          <w:p>
            <w:pPr>
              <w:spacing w:after="0"/>
            </w:pPr>
            <w:r>
              <w:rPr>
                <w:b w:val="0"/>
                <w:i w:val="0"/>
                <w:sz w:val="12"/>
              </w:rPr>
              <w:t>0</w:t>
            </w:r>
          </w:p>
        </w:tc>
        <w:tc>
          <w:tcPr>
            <w:tcW w:type="dxa" w:w="964"/>
          </w:tcPr>
          <w:p>
            <w:pPr>
              <w:spacing w:after="0"/>
            </w:pPr>
            <w:r>
              <w:rPr>
                <w:b w:val="0"/>
                <w:i w:val="0"/>
                <w:sz w:val="12"/>
              </w:rPr>
              <w:t>18</w:t>
            </w:r>
          </w:p>
        </w:tc>
        <w:tc>
          <w:tcPr>
            <w:tcW w:type="dxa" w:w="794"/>
          </w:tcPr>
          <w:p>
            <w:pPr>
              <w:spacing w:after="0"/>
            </w:pPr>
            <w:r>
              <w:rPr>
                <w:b w:val="0"/>
                <w:i w:val="0"/>
                <w:sz w:val="12"/>
              </w:rPr>
              <w:t>9</w:t>
            </w:r>
          </w:p>
        </w:tc>
        <w:tc>
          <w:tcPr>
            <w:tcW w:type="dxa" w:w="680"/>
          </w:tcPr>
          <w:p>
            <w:pPr>
              <w:spacing w:after="0"/>
            </w:pPr>
            <w:r>
              <w:rPr>
                <w:b w:val="0"/>
                <w:i w:val="0"/>
                <w:sz w:val="12"/>
              </w:rPr>
              <w:t>16</w:t>
            </w:r>
          </w:p>
        </w:tc>
        <w:tc>
          <w:tcPr>
            <w:tcW w:type="dxa" w:w="794"/>
          </w:tcPr>
          <w:p>
            <w:pPr>
              <w:spacing w:after="0"/>
            </w:pPr>
            <w:r>
              <w:rPr>
                <w:b w:val="0"/>
                <w:i w:val="0"/>
                <w:sz w:val="12"/>
              </w:rPr>
              <w:t>5,0 %</w:t>
            </w:r>
          </w:p>
        </w:tc>
        <w:tc>
          <w:tcPr>
            <w:tcW w:type="dxa" w:w="907"/>
          </w:tcPr>
          <w:p>
            <w:pPr>
              <w:spacing w:after="0"/>
            </w:pPr>
            <w:r>
              <w:rPr>
                <w:b w:val="0"/>
                <w:i w:val="0"/>
                <w:sz w:val="12"/>
              </w:rPr>
              <w:t>0</w:t>
            </w:r>
          </w:p>
        </w:tc>
      </w:tr>
      <w:tr>
        <w:tc>
          <w:tcPr>
            <w:tcW w:type="dxa" w:w="1077"/>
            <w:shd w:val="clear" w:color="auto" w:fill="F3F3F1"/>
          </w:tcPr>
          <w:p>
            <w:pPr>
              <w:spacing w:after="0"/>
            </w:pPr>
            <w:r>
              <w:rPr>
                <w:b w:val="0"/>
                <w:i w:val="0"/>
                <w:sz w:val="12"/>
              </w:rPr>
              <w:t>Coton</w:t>
            </w:r>
          </w:p>
        </w:tc>
        <w:tc>
          <w:tcPr>
            <w:tcW w:type="dxa" w:w="1928"/>
            <w:shd w:val="clear" w:color="auto" w:fill="F3F3F1"/>
          </w:tcPr>
          <w:p>
            <w:pPr>
              <w:spacing w:after="0"/>
            </w:pPr>
            <w:r>
              <w:rPr>
                <w:b w:val="0"/>
                <w:i w:val="0"/>
                <w:sz w:val="12"/>
              </w:rPr>
              <w:t>Prix int. -20 %</w:t>
            </w:r>
          </w:p>
        </w:tc>
        <w:tc>
          <w:tcPr>
            <w:tcW w:type="dxa" w:w="737"/>
            <w:shd w:val="clear" w:color="auto" w:fill="F3F3F1"/>
          </w:tcPr>
          <w:p>
            <w:pPr>
              <w:spacing w:after="0"/>
            </w:pPr>
            <w:r>
              <w:rPr>
                <w:b w:val="0"/>
                <w:i w:val="0"/>
                <w:sz w:val="12"/>
              </w:rPr>
              <w:t>0 %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0 %</w:t>
            </w:r>
          </w:p>
        </w:tc>
        <w:tc>
          <w:tcPr>
            <w:tcW w:type="dxa" w:w="850"/>
            <w:shd w:val="clear" w:color="auto" w:fill="F3F3F1"/>
          </w:tcPr>
          <w:p>
            <w:pPr>
              <w:spacing w:after="0"/>
            </w:pPr>
            <w:r>
              <w:rPr>
                <w:b w:val="0"/>
                <w:i w:val="0"/>
                <w:sz w:val="12"/>
              </w:rPr>
              <w:t>0</w:t>
            </w:r>
          </w:p>
        </w:tc>
        <w:tc>
          <w:tcPr>
            <w:tcW w:type="dxa" w:w="964"/>
            <w:shd w:val="clear" w:color="auto" w:fill="F3F3F1"/>
          </w:tcPr>
          <w:p>
            <w:pPr>
              <w:spacing w:after="0"/>
            </w:pPr>
            <w:r>
              <w:rPr>
                <w:b w:val="0"/>
                <w:i w:val="0"/>
                <w:sz w:val="12"/>
              </w:rPr>
              <w:t>36</w:t>
            </w:r>
          </w:p>
        </w:tc>
        <w:tc>
          <w:tcPr>
            <w:tcW w:type="dxa" w:w="794"/>
            <w:shd w:val="clear" w:color="auto" w:fill="F3F3F1"/>
          </w:tcPr>
          <w:p>
            <w:pPr>
              <w:spacing w:after="0"/>
            </w:pPr>
            <w:r>
              <w:rPr>
                <w:b w:val="0"/>
                <w:i w:val="0"/>
                <w:sz w:val="12"/>
              </w:rPr>
              <w:t>18</w:t>
            </w:r>
          </w:p>
        </w:tc>
        <w:tc>
          <w:tcPr>
            <w:tcW w:type="dxa" w:w="680"/>
            <w:shd w:val="clear" w:color="auto" w:fill="F3F3F1"/>
          </w:tcPr>
          <w:p>
            <w:pPr>
              <w:spacing w:after="0"/>
            </w:pPr>
            <w:r>
              <w:rPr>
                <w:b w:val="0"/>
                <w:i w:val="0"/>
                <w:sz w:val="12"/>
              </w:rPr>
              <w:t>31</w:t>
            </w:r>
          </w:p>
        </w:tc>
        <w:tc>
          <w:tcPr>
            <w:tcW w:type="dxa" w:w="794"/>
            <w:shd w:val="clear" w:color="auto" w:fill="F3F3F1"/>
          </w:tcPr>
          <w:p>
            <w:pPr>
              <w:spacing w:after="0"/>
            </w:pPr>
            <w:r>
              <w:rPr>
                <w:b w:val="0"/>
                <w:i w:val="0"/>
                <w:sz w:val="12"/>
              </w:rPr>
              <w:t>10,0 %</w:t>
            </w:r>
          </w:p>
        </w:tc>
        <w:tc>
          <w:tcPr>
            <w:tcW w:type="dxa" w:w="907"/>
            <w:shd w:val="clear" w:color="auto" w:fill="F3F3F1"/>
          </w:tcPr>
          <w:p>
            <w:pPr>
              <w:spacing w:after="0"/>
            </w:pPr>
            <w:r>
              <w:rPr>
                <w:b w:val="0"/>
                <w:i w:val="0"/>
                <w:sz w:val="12"/>
              </w:rPr>
              <w:t>0</w:t>
            </w:r>
          </w:p>
        </w:tc>
      </w:tr>
      <w:tr>
        <w:tc>
          <w:tcPr>
            <w:tcW w:type="dxa" w:w="1077"/>
          </w:tcPr>
          <w:p>
            <w:pPr>
              <w:spacing w:after="0"/>
            </w:pPr>
            <w:r>
              <w:rPr>
                <w:b w:val="0"/>
                <w:i w:val="0"/>
                <w:sz w:val="12"/>
              </w:rPr>
              <w:t>Coton</w:t>
            </w:r>
          </w:p>
        </w:tc>
        <w:tc>
          <w:tcPr>
            <w:tcW w:type="dxa" w:w="1928"/>
          </w:tcPr>
          <w:p>
            <w:pPr>
              <w:spacing w:after="0"/>
            </w:pPr>
            <w:r>
              <w:rPr>
                <w:b w:val="0"/>
                <w:i w:val="0"/>
                <w:sz w:val="12"/>
              </w:rPr>
              <w:t>Prix int. -30 %</w:t>
            </w:r>
          </w:p>
        </w:tc>
        <w:tc>
          <w:tcPr>
            <w:tcW w:type="dxa" w:w="737"/>
          </w:tcPr>
          <w:p>
            <w:pPr>
              <w:spacing w:after="0"/>
            </w:pPr>
            <w:r>
              <w:rPr>
                <w:b w:val="0"/>
                <w:i w:val="0"/>
                <w:sz w:val="12"/>
              </w:rPr>
              <w:t>0 %</w:t>
            </w:r>
          </w:p>
        </w:tc>
        <w:tc>
          <w:tcPr>
            <w:tcW w:type="dxa" w:w="737"/>
          </w:tcPr>
          <w:p>
            <w:pPr>
              <w:spacing w:after="0"/>
            </w:pPr>
            <w:r>
              <w:rPr>
                <w:b w:val="0"/>
                <w:i w:val="0"/>
                <w:sz w:val="12"/>
              </w:rPr>
              <w:t>—</w:t>
            </w:r>
          </w:p>
        </w:tc>
        <w:tc>
          <w:tcPr>
            <w:tcW w:type="dxa" w:w="737"/>
          </w:tcPr>
          <w:p>
            <w:pPr>
              <w:spacing w:after="0"/>
            </w:pPr>
            <w:r>
              <w:rPr>
                <w:b w:val="0"/>
                <w:i w:val="0"/>
                <w:sz w:val="12"/>
              </w:rPr>
              <w:t>0 %</w:t>
            </w:r>
          </w:p>
        </w:tc>
        <w:tc>
          <w:tcPr>
            <w:tcW w:type="dxa" w:w="850"/>
          </w:tcPr>
          <w:p>
            <w:pPr>
              <w:spacing w:after="0"/>
            </w:pPr>
            <w:r>
              <w:rPr>
                <w:b w:val="0"/>
                <w:i w:val="0"/>
                <w:sz w:val="12"/>
              </w:rPr>
              <w:t>0</w:t>
            </w:r>
          </w:p>
        </w:tc>
        <w:tc>
          <w:tcPr>
            <w:tcW w:type="dxa" w:w="964"/>
          </w:tcPr>
          <w:p>
            <w:pPr>
              <w:spacing w:after="0"/>
            </w:pPr>
            <w:r>
              <w:rPr>
                <w:b w:val="0"/>
                <w:i w:val="0"/>
                <w:sz w:val="12"/>
              </w:rPr>
              <w:t>53</w:t>
            </w:r>
          </w:p>
        </w:tc>
        <w:tc>
          <w:tcPr>
            <w:tcW w:type="dxa" w:w="794"/>
          </w:tcPr>
          <w:p>
            <w:pPr>
              <w:spacing w:after="0"/>
            </w:pPr>
            <w:r>
              <w:rPr>
                <w:b w:val="0"/>
                <w:i w:val="0"/>
                <w:sz w:val="12"/>
              </w:rPr>
              <w:t>27</w:t>
            </w:r>
          </w:p>
        </w:tc>
        <w:tc>
          <w:tcPr>
            <w:tcW w:type="dxa" w:w="680"/>
          </w:tcPr>
          <w:p>
            <w:pPr>
              <w:spacing w:after="0"/>
            </w:pPr>
            <w:r>
              <w:rPr>
                <w:b w:val="0"/>
                <w:i w:val="0"/>
                <w:sz w:val="12"/>
              </w:rPr>
              <w:t>46</w:t>
            </w:r>
          </w:p>
        </w:tc>
        <w:tc>
          <w:tcPr>
            <w:tcW w:type="dxa" w:w="794"/>
          </w:tcPr>
          <w:p>
            <w:pPr>
              <w:spacing w:after="0"/>
            </w:pPr>
            <w:r>
              <w:rPr>
                <w:b w:val="0"/>
                <w:i w:val="0"/>
                <w:sz w:val="12"/>
              </w:rPr>
              <w:t>15,0 %</w:t>
            </w:r>
          </w:p>
        </w:tc>
        <w:tc>
          <w:tcPr>
            <w:tcW w:type="dxa" w:w="907"/>
          </w:tcPr>
          <w:p>
            <w:pPr>
              <w:spacing w:after="0"/>
            </w:pPr>
            <w:r>
              <w:rPr>
                <w:b w:val="0"/>
                <w:i w:val="0"/>
                <w:sz w:val="12"/>
              </w:rPr>
              <w:t>0</w:t>
            </w:r>
          </w:p>
        </w:tc>
      </w:tr>
      <w:tr>
        <w:tc>
          <w:tcPr>
            <w:tcW w:type="dxa" w:w="1077"/>
            <w:shd w:val="clear" w:color="auto" w:fill="F3F3F1"/>
          </w:tcPr>
          <w:p>
            <w:pPr>
              <w:spacing w:after="0"/>
            </w:pPr>
            <w:r>
              <w:rPr>
                <w:b w:val="0"/>
                <w:i w:val="0"/>
                <w:sz w:val="12"/>
              </w:rPr>
              <w:t>Coton</w:t>
            </w:r>
          </w:p>
        </w:tc>
        <w:tc>
          <w:tcPr>
            <w:tcW w:type="dxa" w:w="1928"/>
            <w:shd w:val="clear" w:color="auto" w:fill="F3F3F1"/>
          </w:tcPr>
          <w:p>
            <w:pPr>
              <w:spacing w:after="0"/>
            </w:pPr>
            <w:r>
              <w:rPr>
                <w:b w:val="0"/>
                <w:i w:val="0"/>
                <w:sz w:val="12"/>
              </w:rPr>
              <w:t>Prix -30 % et production -10 %</w:t>
            </w:r>
          </w:p>
        </w:tc>
        <w:tc>
          <w:tcPr>
            <w:tcW w:type="dxa" w:w="737"/>
            <w:shd w:val="clear" w:color="auto" w:fill="F3F3F1"/>
          </w:tcPr>
          <w:p>
            <w:pPr>
              <w:spacing w:after="0"/>
            </w:pPr>
            <w:r>
              <w:rPr>
                <w:b w:val="0"/>
                <w:i w:val="0"/>
                <w:sz w:val="12"/>
              </w:rPr>
              <w:t>0 %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−10 %</w:t>
            </w:r>
          </w:p>
        </w:tc>
        <w:tc>
          <w:tcPr>
            <w:tcW w:type="dxa" w:w="850"/>
            <w:shd w:val="clear" w:color="auto" w:fill="F3F3F1"/>
          </w:tcPr>
          <w:p>
            <w:pPr>
              <w:spacing w:after="0"/>
            </w:pPr>
            <w:r>
              <w:rPr>
                <w:b w:val="0"/>
                <w:i w:val="0"/>
                <w:sz w:val="12"/>
              </w:rPr>
              <w:t>18</w:t>
            </w:r>
          </w:p>
        </w:tc>
        <w:tc>
          <w:tcPr>
            <w:tcW w:type="dxa" w:w="964"/>
            <w:shd w:val="clear" w:color="auto" w:fill="F3F3F1"/>
          </w:tcPr>
          <w:p>
            <w:pPr>
              <w:spacing w:after="0"/>
            </w:pPr>
            <w:r>
              <w:rPr>
                <w:b w:val="0"/>
                <w:i w:val="0"/>
                <w:sz w:val="12"/>
              </w:rPr>
              <w:t>48</w:t>
            </w:r>
          </w:p>
        </w:tc>
        <w:tc>
          <w:tcPr>
            <w:tcW w:type="dxa" w:w="794"/>
            <w:shd w:val="clear" w:color="auto" w:fill="F3F3F1"/>
          </w:tcPr>
          <w:p>
            <w:pPr>
              <w:spacing w:after="0"/>
            </w:pPr>
            <w:r>
              <w:rPr>
                <w:b w:val="0"/>
                <w:i w:val="0"/>
                <w:sz w:val="12"/>
              </w:rPr>
              <w:t>24</w:t>
            </w:r>
          </w:p>
        </w:tc>
        <w:tc>
          <w:tcPr>
            <w:tcW w:type="dxa" w:w="680"/>
            <w:shd w:val="clear" w:color="auto" w:fill="F3F3F1"/>
          </w:tcPr>
          <w:p>
            <w:pPr>
              <w:spacing w:after="0"/>
            </w:pPr>
            <w:r>
              <w:rPr>
                <w:b w:val="0"/>
                <w:i w:val="0"/>
                <w:sz w:val="12"/>
              </w:rPr>
              <w:t>46</w:t>
            </w:r>
          </w:p>
        </w:tc>
        <w:tc>
          <w:tcPr>
            <w:tcW w:type="dxa" w:w="794"/>
            <w:shd w:val="clear" w:color="auto" w:fill="F3F3F1"/>
          </w:tcPr>
          <w:p>
            <w:pPr>
              <w:spacing w:after="0"/>
            </w:pPr>
            <w:r>
              <w:rPr>
                <w:b w:val="0"/>
                <w:i w:val="0"/>
                <w:sz w:val="12"/>
              </w:rPr>
              <w:t>13,5 %</w:t>
            </w:r>
          </w:p>
        </w:tc>
        <w:tc>
          <w:tcPr>
            <w:tcW w:type="dxa" w:w="907"/>
            <w:shd w:val="clear" w:color="auto" w:fill="F3F3F1"/>
          </w:tcPr>
          <w:p>
            <w:pPr>
              <w:spacing w:after="0"/>
            </w:pPr>
            <w:r>
              <w:rPr>
                <w:b w:val="0"/>
                <w:i w:val="0"/>
                <w:sz w:val="12"/>
              </w:rPr>
              <w:t>0</w:t>
            </w:r>
          </w:p>
        </w:tc>
      </w:tr>
      <w:tr>
        <w:tc>
          <w:tcPr>
            <w:tcW w:type="dxa" w:w="1077"/>
          </w:tcPr>
          <w:p>
            <w:pPr>
              <w:spacing w:after="0"/>
            </w:pPr>
            <w:r>
              <w:rPr>
                <w:b w:val="0"/>
                <w:i w:val="0"/>
                <w:sz w:val="12"/>
              </w:rPr>
              <w:t>Coton</w:t>
            </w:r>
          </w:p>
        </w:tc>
        <w:tc>
          <w:tcPr>
            <w:tcW w:type="dxa" w:w="1928"/>
          </w:tcPr>
          <w:p>
            <w:pPr>
              <w:spacing w:after="0"/>
            </w:pPr>
            <w:r>
              <w:rPr>
                <w:b w:val="0"/>
                <w:i w:val="0"/>
                <w:sz w:val="12"/>
              </w:rPr>
              <w:t>Prix -30 % pendant 2 campagnes</w:t>
            </w:r>
          </w:p>
        </w:tc>
        <w:tc>
          <w:tcPr>
            <w:tcW w:type="dxa" w:w="737"/>
          </w:tcPr>
          <w:p>
            <w:pPr>
              <w:spacing w:after="0"/>
            </w:pPr>
            <w:r>
              <w:rPr>
                <w:b w:val="0"/>
                <w:i w:val="0"/>
                <w:sz w:val="12"/>
              </w:rPr>
              <w:t>0 %</w:t>
            </w:r>
          </w:p>
        </w:tc>
        <w:tc>
          <w:tcPr>
            <w:tcW w:type="dxa" w:w="737"/>
          </w:tcPr>
          <w:p>
            <w:pPr>
              <w:spacing w:after="0"/>
            </w:pPr>
            <w:r>
              <w:rPr>
                <w:b w:val="0"/>
                <w:i w:val="0"/>
                <w:sz w:val="12"/>
              </w:rPr>
              <w:t>−15 %</w:t>
            </w:r>
          </w:p>
        </w:tc>
        <w:tc>
          <w:tcPr>
            <w:tcW w:type="dxa" w:w="737"/>
          </w:tcPr>
          <w:p>
            <w:pPr>
              <w:spacing w:after="0"/>
            </w:pPr>
            <w:r>
              <w:rPr>
                <w:b w:val="0"/>
                <w:i w:val="0"/>
                <w:sz w:val="12"/>
              </w:rPr>
              <w:t>0 %</w:t>
            </w:r>
          </w:p>
        </w:tc>
        <w:tc>
          <w:tcPr>
            <w:tcW w:type="dxa" w:w="850"/>
          </w:tcPr>
          <w:p>
            <w:pPr>
              <w:spacing w:after="0"/>
            </w:pPr>
            <w:r>
              <w:rPr>
                <w:b w:val="0"/>
                <w:i w:val="0"/>
                <w:sz w:val="12"/>
              </w:rPr>
              <w:t>27</w:t>
            </w:r>
          </w:p>
        </w:tc>
        <w:tc>
          <w:tcPr>
            <w:tcW w:type="dxa" w:w="964"/>
          </w:tcPr>
          <w:p>
            <w:pPr>
              <w:spacing w:after="0"/>
            </w:pPr>
            <w:r>
              <w:rPr>
                <w:b w:val="0"/>
                <w:i w:val="0"/>
                <w:sz w:val="12"/>
              </w:rPr>
              <w:t>80</w:t>
            </w:r>
          </w:p>
        </w:tc>
        <w:tc>
          <w:tcPr>
            <w:tcW w:type="dxa" w:w="794"/>
          </w:tcPr>
          <w:p>
            <w:pPr>
              <w:spacing w:after="0"/>
            </w:pPr>
            <w:r>
              <w:rPr>
                <w:b w:val="0"/>
                <w:i w:val="0"/>
                <w:sz w:val="12"/>
              </w:rPr>
              <w:t>40</w:t>
            </w:r>
          </w:p>
        </w:tc>
        <w:tc>
          <w:tcPr>
            <w:tcW w:type="dxa" w:w="680"/>
          </w:tcPr>
          <w:p>
            <w:pPr>
              <w:spacing w:after="0"/>
            </w:pPr>
            <w:r>
              <w:rPr>
                <w:b w:val="0"/>
                <w:i w:val="0"/>
                <w:sz w:val="12"/>
              </w:rPr>
              <w:t>35</w:t>
            </w:r>
          </w:p>
        </w:tc>
        <w:tc>
          <w:tcPr>
            <w:tcW w:type="dxa" w:w="794"/>
          </w:tcPr>
          <w:p>
            <w:pPr>
              <w:spacing w:after="0"/>
            </w:pPr>
            <w:r>
              <w:rPr>
                <w:b w:val="0"/>
                <w:i w:val="0"/>
                <w:sz w:val="12"/>
              </w:rPr>
              <w:t>22,5 %</w:t>
            </w:r>
          </w:p>
        </w:tc>
        <w:tc>
          <w:tcPr>
            <w:tcW w:type="dxa" w:w="907"/>
          </w:tcPr>
          <w:p>
            <w:pPr>
              <w:spacing w:after="0"/>
            </w:pPr>
            <w:r>
              <w:rPr>
                <w:b w:val="0"/>
                <w:i w:val="0"/>
                <w:sz w:val="12"/>
              </w:rPr>
              <w:t>0</w:t>
            </w:r>
          </w:p>
        </w:tc>
      </w:tr>
      <w:tr>
        <w:tc>
          <w:tcPr>
            <w:tcW w:type="dxa" w:w="1077"/>
            <w:shd w:val="clear" w:color="auto" w:fill="F3F3F1"/>
          </w:tcPr>
          <w:p>
            <w:pPr>
              <w:spacing w:after="0"/>
            </w:pPr>
            <w:r>
              <w:rPr>
                <w:b w:val="0"/>
                <w:i w:val="0"/>
                <w:sz w:val="12"/>
              </w:rPr>
              <w:t>Anacarde</w:t>
            </w:r>
          </w:p>
        </w:tc>
        <w:tc>
          <w:tcPr>
            <w:tcW w:type="dxa" w:w="1928"/>
            <w:shd w:val="clear" w:color="auto" w:fill="F3F3F1"/>
          </w:tcPr>
          <w:p>
            <w:pPr>
              <w:spacing w:after="0"/>
            </w:pPr>
            <w:r>
              <w:rPr>
                <w:b w:val="0"/>
                <w:i w:val="0"/>
                <w:sz w:val="12"/>
              </w:rPr>
              <w:t>Prix int. -10 %</w:t>
            </w:r>
          </w:p>
        </w:tc>
        <w:tc>
          <w:tcPr>
            <w:tcW w:type="dxa" w:w="737"/>
            <w:shd w:val="clear" w:color="auto" w:fill="F3F3F1"/>
          </w:tcPr>
          <w:p>
            <w:pPr>
              <w:spacing w:after="0"/>
            </w:pPr>
            <w:r>
              <w:rPr>
                <w:b w:val="0"/>
                <w:i w:val="0"/>
                <w:sz w:val="12"/>
              </w:rPr>
              <w:t>−10 %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−10 %</w:t>
            </w:r>
          </w:p>
        </w:tc>
        <w:tc>
          <w:tcPr>
            <w:tcW w:type="dxa" w:w="850"/>
            <w:shd w:val="clear" w:color="auto" w:fill="F3F3F1"/>
          </w:tcPr>
          <w:p>
            <w:pPr>
              <w:spacing w:after="0"/>
            </w:pPr>
            <w:r>
              <w:rPr>
                <w:b w:val="0"/>
                <w:i w:val="0"/>
                <w:sz w:val="12"/>
              </w:rPr>
              <w:t>48</w:t>
            </w:r>
          </w:p>
        </w:tc>
        <w:tc>
          <w:tcPr>
            <w:tcW w:type="dxa" w:w="964"/>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w:t>
            </w:r>
          </w:p>
        </w:tc>
        <w:tc>
          <w:tcPr>
            <w:tcW w:type="dxa" w:w="680"/>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0,0 %</w:t>
            </w:r>
          </w:p>
        </w:tc>
        <w:tc>
          <w:tcPr>
            <w:tcW w:type="dxa" w:w="907"/>
            <w:shd w:val="clear" w:color="auto" w:fill="F3F3F1"/>
          </w:tcPr>
          <w:p>
            <w:pPr>
              <w:spacing w:after="0"/>
            </w:pPr>
            <w:r>
              <w:rPr>
                <w:b w:val="0"/>
                <w:i w:val="0"/>
                <w:sz w:val="12"/>
              </w:rPr>
              <w:t>0</w:t>
            </w:r>
          </w:p>
        </w:tc>
      </w:tr>
      <w:tr>
        <w:tc>
          <w:tcPr>
            <w:tcW w:type="dxa" w:w="1077"/>
          </w:tcPr>
          <w:p>
            <w:pPr>
              <w:spacing w:after="0"/>
            </w:pPr>
            <w:r>
              <w:rPr>
                <w:b w:val="0"/>
                <w:i w:val="0"/>
                <w:sz w:val="12"/>
              </w:rPr>
              <w:t>Anacarde</w:t>
            </w:r>
          </w:p>
        </w:tc>
        <w:tc>
          <w:tcPr>
            <w:tcW w:type="dxa" w:w="1928"/>
          </w:tcPr>
          <w:p>
            <w:pPr>
              <w:spacing w:after="0"/>
            </w:pPr>
            <w:r>
              <w:rPr>
                <w:b w:val="0"/>
                <w:i w:val="0"/>
                <w:sz w:val="12"/>
              </w:rPr>
              <w:t>Prix int. -20 %</w:t>
            </w:r>
          </w:p>
        </w:tc>
        <w:tc>
          <w:tcPr>
            <w:tcW w:type="dxa" w:w="737"/>
          </w:tcPr>
          <w:p>
            <w:pPr>
              <w:spacing w:after="0"/>
            </w:pPr>
            <w:r>
              <w:rPr>
                <w:b w:val="0"/>
                <w:i w:val="0"/>
                <w:sz w:val="12"/>
              </w:rPr>
              <w:t>−20 %</w:t>
            </w:r>
          </w:p>
        </w:tc>
        <w:tc>
          <w:tcPr>
            <w:tcW w:type="dxa" w:w="737"/>
          </w:tcPr>
          <w:p>
            <w:pPr>
              <w:spacing w:after="0"/>
            </w:pPr>
            <w:r>
              <w:rPr>
                <w:b w:val="0"/>
                <w:i w:val="0"/>
                <w:sz w:val="12"/>
              </w:rPr>
              <w:t>—</w:t>
            </w:r>
          </w:p>
        </w:tc>
        <w:tc>
          <w:tcPr>
            <w:tcW w:type="dxa" w:w="737"/>
          </w:tcPr>
          <w:p>
            <w:pPr>
              <w:spacing w:after="0"/>
            </w:pPr>
            <w:r>
              <w:rPr>
                <w:b w:val="0"/>
                <w:i w:val="0"/>
                <w:sz w:val="12"/>
              </w:rPr>
              <w:t>−20 %</w:t>
            </w:r>
          </w:p>
        </w:tc>
        <w:tc>
          <w:tcPr>
            <w:tcW w:type="dxa" w:w="850"/>
          </w:tcPr>
          <w:p>
            <w:pPr>
              <w:spacing w:after="0"/>
            </w:pPr>
            <w:r>
              <w:rPr>
                <w:b w:val="0"/>
                <w:i w:val="0"/>
                <w:sz w:val="12"/>
              </w:rPr>
              <w:t>96</w:t>
            </w:r>
          </w:p>
        </w:tc>
        <w:tc>
          <w:tcPr>
            <w:tcW w:type="dxa" w:w="964"/>
          </w:tcPr>
          <w:p>
            <w:pPr>
              <w:spacing w:after="0"/>
            </w:pPr>
            <w:r>
              <w:rPr>
                <w:b w:val="0"/>
                <w:i w:val="0"/>
                <w:sz w:val="12"/>
              </w:rPr>
              <w:t>0</w:t>
            </w:r>
          </w:p>
        </w:tc>
        <w:tc>
          <w:tcPr>
            <w:tcW w:type="dxa" w:w="794"/>
          </w:tcPr>
          <w:p>
            <w:pPr>
              <w:spacing w:after="0"/>
            </w:pPr>
            <w:r>
              <w:rPr>
                <w:b w:val="0"/>
                <w:i w:val="0"/>
                <w:sz w:val="12"/>
              </w:rPr>
              <w:t>0</w:t>
            </w:r>
          </w:p>
        </w:tc>
        <w:tc>
          <w:tcPr>
            <w:tcW w:type="dxa" w:w="680"/>
          </w:tcPr>
          <w:p>
            <w:pPr>
              <w:spacing w:after="0"/>
            </w:pPr>
            <w:r>
              <w:rPr>
                <w:b w:val="0"/>
                <w:i w:val="0"/>
                <w:sz w:val="12"/>
              </w:rPr>
              <w:t>0</w:t>
            </w:r>
          </w:p>
        </w:tc>
        <w:tc>
          <w:tcPr>
            <w:tcW w:type="dxa" w:w="794"/>
          </w:tcPr>
          <w:p>
            <w:pPr>
              <w:spacing w:after="0"/>
            </w:pPr>
            <w:r>
              <w:rPr>
                <w:b w:val="0"/>
                <w:i w:val="0"/>
                <w:sz w:val="12"/>
              </w:rPr>
              <w:t>0,0 %</w:t>
            </w:r>
          </w:p>
        </w:tc>
        <w:tc>
          <w:tcPr>
            <w:tcW w:type="dxa" w:w="907"/>
          </w:tcPr>
          <w:p>
            <w:pPr>
              <w:spacing w:after="0"/>
            </w:pPr>
            <w:r>
              <w:rPr>
                <w:b w:val="0"/>
                <w:i w:val="0"/>
                <w:sz w:val="12"/>
              </w:rPr>
              <w:t>48</w:t>
            </w:r>
          </w:p>
        </w:tc>
      </w:tr>
      <w:tr>
        <w:tc>
          <w:tcPr>
            <w:tcW w:type="dxa" w:w="1077"/>
            <w:shd w:val="clear" w:color="auto" w:fill="F3F3F1"/>
          </w:tcPr>
          <w:p>
            <w:pPr>
              <w:spacing w:after="0"/>
            </w:pPr>
            <w:r>
              <w:rPr>
                <w:b w:val="0"/>
                <w:i w:val="0"/>
                <w:sz w:val="12"/>
              </w:rPr>
              <w:t>Anacarde</w:t>
            </w:r>
          </w:p>
        </w:tc>
        <w:tc>
          <w:tcPr>
            <w:tcW w:type="dxa" w:w="1928"/>
            <w:shd w:val="clear" w:color="auto" w:fill="F3F3F1"/>
          </w:tcPr>
          <w:p>
            <w:pPr>
              <w:spacing w:after="0"/>
            </w:pPr>
            <w:r>
              <w:rPr>
                <w:b w:val="0"/>
                <w:i w:val="0"/>
                <w:sz w:val="12"/>
              </w:rPr>
              <w:t>Prix int. -30 %</w:t>
            </w:r>
          </w:p>
        </w:tc>
        <w:tc>
          <w:tcPr>
            <w:tcW w:type="dxa" w:w="737"/>
            <w:shd w:val="clear" w:color="auto" w:fill="F3F3F1"/>
          </w:tcPr>
          <w:p>
            <w:pPr>
              <w:spacing w:after="0"/>
            </w:pPr>
            <w:r>
              <w:rPr>
                <w:b w:val="0"/>
                <w:i w:val="0"/>
                <w:sz w:val="12"/>
              </w:rPr>
              <w:t>−30 %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−30 %</w:t>
            </w:r>
          </w:p>
        </w:tc>
        <w:tc>
          <w:tcPr>
            <w:tcW w:type="dxa" w:w="850"/>
            <w:shd w:val="clear" w:color="auto" w:fill="F3F3F1"/>
          </w:tcPr>
          <w:p>
            <w:pPr>
              <w:spacing w:after="0"/>
            </w:pPr>
            <w:r>
              <w:rPr>
                <w:b w:val="0"/>
                <w:i w:val="0"/>
                <w:sz w:val="12"/>
              </w:rPr>
              <w:t>144</w:t>
            </w:r>
          </w:p>
        </w:tc>
        <w:tc>
          <w:tcPr>
            <w:tcW w:type="dxa" w:w="964"/>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w:t>
            </w:r>
          </w:p>
        </w:tc>
        <w:tc>
          <w:tcPr>
            <w:tcW w:type="dxa" w:w="680"/>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0,0 %</w:t>
            </w:r>
          </w:p>
        </w:tc>
        <w:tc>
          <w:tcPr>
            <w:tcW w:type="dxa" w:w="907"/>
            <w:shd w:val="clear" w:color="auto" w:fill="F3F3F1"/>
          </w:tcPr>
          <w:p>
            <w:pPr>
              <w:spacing w:after="0"/>
            </w:pPr>
            <w:r>
              <w:rPr>
                <w:b w:val="0"/>
                <w:i w:val="0"/>
                <w:sz w:val="12"/>
              </w:rPr>
              <w:t>96</w:t>
            </w:r>
          </w:p>
        </w:tc>
      </w:tr>
      <w:tr>
        <w:tc>
          <w:tcPr>
            <w:tcW w:type="dxa" w:w="1077"/>
          </w:tcPr>
          <w:p>
            <w:pPr>
              <w:spacing w:after="0"/>
            </w:pPr>
            <w:r>
              <w:rPr>
                <w:b w:val="0"/>
                <w:i w:val="0"/>
                <w:sz w:val="12"/>
              </w:rPr>
              <w:t>Anacarde</w:t>
            </w:r>
          </w:p>
        </w:tc>
        <w:tc>
          <w:tcPr>
            <w:tcW w:type="dxa" w:w="1928"/>
          </w:tcPr>
          <w:p>
            <w:pPr>
              <w:spacing w:after="0"/>
            </w:pPr>
            <w:r>
              <w:rPr>
                <w:b w:val="0"/>
                <w:i w:val="0"/>
                <w:sz w:val="12"/>
              </w:rPr>
              <w:t>Prix -30 % et production -10 %</w:t>
            </w:r>
          </w:p>
        </w:tc>
        <w:tc>
          <w:tcPr>
            <w:tcW w:type="dxa" w:w="737"/>
          </w:tcPr>
          <w:p>
            <w:pPr>
              <w:spacing w:after="0"/>
            </w:pPr>
            <w:r>
              <w:rPr>
                <w:b w:val="0"/>
                <w:i w:val="0"/>
                <w:sz w:val="12"/>
              </w:rPr>
              <w:t>−30 %</w:t>
            </w:r>
          </w:p>
        </w:tc>
        <w:tc>
          <w:tcPr>
            <w:tcW w:type="dxa" w:w="737"/>
          </w:tcPr>
          <w:p>
            <w:pPr>
              <w:spacing w:after="0"/>
            </w:pPr>
            <w:r>
              <w:rPr>
                <w:b w:val="0"/>
                <w:i w:val="0"/>
                <w:sz w:val="12"/>
              </w:rPr>
              <w:t>—</w:t>
            </w:r>
          </w:p>
        </w:tc>
        <w:tc>
          <w:tcPr>
            <w:tcW w:type="dxa" w:w="737"/>
          </w:tcPr>
          <w:p>
            <w:pPr>
              <w:spacing w:after="0"/>
            </w:pPr>
            <w:r>
              <w:rPr>
                <w:b w:val="0"/>
                <w:i w:val="0"/>
                <w:sz w:val="12"/>
              </w:rPr>
              <w:t>−37 %</w:t>
            </w:r>
          </w:p>
        </w:tc>
        <w:tc>
          <w:tcPr>
            <w:tcW w:type="dxa" w:w="850"/>
          </w:tcPr>
          <w:p>
            <w:pPr>
              <w:spacing w:after="0"/>
            </w:pPr>
            <w:r>
              <w:rPr>
                <w:b w:val="0"/>
                <w:i w:val="0"/>
                <w:sz w:val="12"/>
              </w:rPr>
              <w:t>178</w:t>
            </w:r>
          </w:p>
        </w:tc>
        <w:tc>
          <w:tcPr>
            <w:tcW w:type="dxa" w:w="964"/>
          </w:tcPr>
          <w:p>
            <w:pPr>
              <w:spacing w:after="0"/>
            </w:pPr>
            <w:r>
              <w:rPr>
                <w:b w:val="0"/>
                <w:i w:val="0"/>
                <w:sz w:val="12"/>
              </w:rPr>
              <w:t>0</w:t>
            </w:r>
          </w:p>
        </w:tc>
        <w:tc>
          <w:tcPr>
            <w:tcW w:type="dxa" w:w="794"/>
          </w:tcPr>
          <w:p>
            <w:pPr>
              <w:spacing w:after="0"/>
            </w:pPr>
            <w:r>
              <w:rPr>
                <w:b w:val="0"/>
                <w:i w:val="0"/>
                <w:sz w:val="12"/>
              </w:rPr>
              <w:t>0</w:t>
            </w:r>
          </w:p>
        </w:tc>
        <w:tc>
          <w:tcPr>
            <w:tcW w:type="dxa" w:w="680"/>
          </w:tcPr>
          <w:p>
            <w:pPr>
              <w:spacing w:after="0"/>
            </w:pPr>
            <w:r>
              <w:rPr>
                <w:b w:val="0"/>
                <w:i w:val="0"/>
                <w:sz w:val="12"/>
              </w:rPr>
              <w:t>0</w:t>
            </w:r>
          </w:p>
        </w:tc>
        <w:tc>
          <w:tcPr>
            <w:tcW w:type="dxa" w:w="794"/>
          </w:tcPr>
          <w:p>
            <w:pPr>
              <w:spacing w:after="0"/>
            </w:pPr>
            <w:r>
              <w:rPr>
                <w:b w:val="0"/>
                <w:i w:val="0"/>
                <w:sz w:val="12"/>
              </w:rPr>
              <w:t>0,0 %</w:t>
            </w:r>
          </w:p>
        </w:tc>
        <w:tc>
          <w:tcPr>
            <w:tcW w:type="dxa" w:w="907"/>
          </w:tcPr>
          <w:p>
            <w:pPr>
              <w:spacing w:after="0"/>
            </w:pPr>
            <w:r>
              <w:rPr>
                <w:b w:val="0"/>
                <w:i w:val="0"/>
                <w:sz w:val="12"/>
              </w:rPr>
              <w:t>130</w:t>
            </w:r>
          </w:p>
        </w:tc>
      </w:tr>
      <w:tr>
        <w:tc>
          <w:tcPr>
            <w:tcW w:type="dxa" w:w="1077"/>
            <w:shd w:val="clear" w:color="auto" w:fill="F3F3F1"/>
          </w:tcPr>
          <w:p>
            <w:pPr>
              <w:spacing w:after="0"/>
            </w:pPr>
            <w:r>
              <w:rPr>
                <w:b w:val="0"/>
                <w:i w:val="0"/>
                <w:sz w:val="12"/>
              </w:rPr>
              <w:t>Anacarde</w:t>
            </w:r>
          </w:p>
        </w:tc>
        <w:tc>
          <w:tcPr>
            <w:tcW w:type="dxa" w:w="1928"/>
            <w:shd w:val="clear" w:color="auto" w:fill="F3F3F1"/>
          </w:tcPr>
          <w:p>
            <w:pPr>
              <w:spacing w:after="0"/>
            </w:pPr>
            <w:r>
              <w:rPr>
                <w:b w:val="0"/>
                <w:i w:val="0"/>
                <w:sz w:val="12"/>
              </w:rPr>
              <w:t>Prix -30 % pendant 2 campagnes</w:t>
            </w:r>
          </w:p>
        </w:tc>
        <w:tc>
          <w:tcPr>
            <w:tcW w:type="dxa" w:w="737"/>
            <w:shd w:val="clear" w:color="auto" w:fill="F3F3F1"/>
          </w:tcPr>
          <w:p>
            <w:pPr>
              <w:spacing w:after="0"/>
            </w:pPr>
            <w:r>
              <w:rPr>
                <w:b w:val="0"/>
                <w:i w:val="0"/>
                <w:sz w:val="12"/>
              </w:rPr>
              <w:t>−30 %</w:t>
            </w:r>
          </w:p>
        </w:tc>
        <w:tc>
          <w:tcPr>
            <w:tcW w:type="dxa" w:w="737"/>
            <w:shd w:val="clear" w:color="auto" w:fill="F3F3F1"/>
          </w:tcPr>
          <w:p>
            <w:pPr>
              <w:spacing w:after="0"/>
            </w:pPr>
            <w:r>
              <w:rPr>
                <w:b w:val="0"/>
                <w:i w:val="0"/>
                <w:sz w:val="12"/>
              </w:rPr>
              <w:t>−30 %</w:t>
            </w:r>
          </w:p>
        </w:tc>
        <w:tc>
          <w:tcPr>
            <w:tcW w:type="dxa" w:w="737"/>
            <w:shd w:val="clear" w:color="auto" w:fill="F3F3F1"/>
          </w:tcPr>
          <w:p>
            <w:pPr>
              <w:spacing w:after="0"/>
            </w:pPr>
            <w:r>
              <w:rPr>
                <w:b w:val="0"/>
                <w:i w:val="0"/>
                <w:sz w:val="12"/>
              </w:rPr>
              <w:t>−30 %</w:t>
            </w:r>
          </w:p>
        </w:tc>
        <w:tc>
          <w:tcPr>
            <w:tcW w:type="dxa" w:w="850"/>
            <w:shd w:val="clear" w:color="auto" w:fill="F3F3F1"/>
          </w:tcPr>
          <w:p>
            <w:pPr>
              <w:spacing w:after="0"/>
            </w:pPr>
            <w:r>
              <w:rPr>
                <w:b w:val="0"/>
                <w:i w:val="0"/>
                <w:sz w:val="12"/>
              </w:rPr>
              <w:t>288</w:t>
            </w:r>
          </w:p>
        </w:tc>
        <w:tc>
          <w:tcPr>
            <w:tcW w:type="dxa" w:w="964"/>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w:t>
            </w:r>
          </w:p>
        </w:tc>
        <w:tc>
          <w:tcPr>
            <w:tcW w:type="dxa" w:w="680"/>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0,0 %</w:t>
            </w:r>
          </w:p>
        </w:tc>
        <w:tc>
          <w:tcPr>
            <w:tcW w:type="dxa" w:w="907"/>
            <w:shd w:val="clear" w:color="auto" w:fill="F3F3F1"/>
          </w:tcPr>
          <w:p>
            <w:pPr>
              <w:spacing w:after="0"/>
            </w:pPr>
            <w:r>
              <w:rPr>
                <w:b w:val="0"/>
                <w:i w:val="0"/>
                <w:sz w:val="12"/>
              </w:rPr>
              <w:t>96</w:t>
            </w:r>
          </w:p>
        </w:tc>
      </w:tr>
      <w:tr>
        <w:tc>
          <w:tcPr>
            <w:tcW w:type="dxa" w:w="1077"/>
          </w:tcPr>
          <w:p>
            <w:pPr>
              <w:spacing w:after="0"/>
            </w:pPr>
            <w:r>
              <w:rPr>
                <w:b w:val="0"/>
                <w:i w:val="0"/>
                <w:sz w:val="12"/>
              </w:rPr>
              <w:t>Hévéa</w:t>
            </w:r>
          </w:p>
        </w:tc>
        <w:tc>
          <w:tcPr>
            <w:tcW w:type="dxa" w:w="1928"/>
          </w:tcPr>
          <w:p>
            <w:pPr>
              <w:spacing w:after="0"/>
            </w:pPr>
            <w:r>
              <w:rPr>
                <w:b w:val="0"/>
                <w:i w:val="0"/>
                <w:sz w:val="12"/>
              </w:rPr>
              <w:t>Prix int. -10 %</w:t>
            </w:r>
          </w:p>
        </w:tc>
        <w:tc>
          <w:tcPr>
            <w:tcW w:type="dxa" w:w="737"/>
          </w:tcPr>
          <w:p>
            <w:pPr>
              <w:spacing w:after="0"/>
            </w:pPr>
            <w:r>
              <w:rPr>
                <w:b w:val="0"/>
                <w:i w:val="0"/>
                <w:sz w:val="12"/>
              </w:rPr>
              <w:t>−10 %</w:t>
            </w:r>
          </w:p>
        </w:tc>
        <w:tc>
          <w:tcPr>
            <w:tcW w:type="dxa" w:w="737"/>
          </w:tcPr>
          <w:p>
            <w:pPr>
              <w:spacing w:after="0"/>
            </w:pPr>
            <w:r>
              <w:rPr>
                <w:b w:val="0"/>
                <w:i w:val="0"/>
                <w:sz w:val="12"/>
              </w:rPr>
              <w:t>—</w:t>
            </w:r>
          </w:p>
        </w:tc>
        <w:tc>
          <w:tcPr>
            <w:tcW w:type="dxa" w:w="737"/>
          </w:tcPr>
          <w:p>
            <w:pPr>
              <w:spacing w:after="0"/>
            </w:pPr>
            <w:r>
              <w:rPr>
                <w:b w:val="0"/>
                <w:i w:val="0"/>
                <w:sz w:val="12"/>
              </w:rPr>
              <w:t>−10 %</w:t>
            </w:r>
          </w:p>
        </w:tc>
        <w:tc>
          <w:tcPr>
            <w:tcW w:type="dxa" w:w="850"/>
          </w:tcPr>
          <w:p>
            <w:pPr>
              <w:spacing w:after="0"/>
            </w:pPr>
            <w:r>
              <w:rPr>
                <w:b w:val="0"/>
                <w:i w:val="0"/>
                <w:sz w:val="12"/>
              </w:rPr>
              <w:t>133</w:t>
            </w:r>
          </w:p>
        </w:tc>
        <w:tc>
          <w:tcPr>
            <w:tcW w:type="dxa" w:w="964"/>
          </w:tcPr>
          <w:p>
            <w:pPr>
              <w:spacing w:after="0"/>
            </w:pPr>
            <w:r>
              <w:rPr>
                <w:b w:val="0"/>
                <w:i w:val="0"/>
                <w:sz w:val="12"/>
              </w:rPr>
              <w:t>0</w:t>
            </w:r>
          </w:p>
        </w:tc>
        <w:tc>
          <w:tcPr>
            <w:tcW w:type="dxa" w:w="794"/>
          </w:tcPr>
          <w:p>
            <w:pPr>
              <w:spacing w:after="0"/>
            </w:pPr>
            <w:r>
              <w:rPr>
                <w:b w:val="0"/>
                <w:i w:val="0"/>
                <w:sz w:val="12"/>
              </w:rPr>
              <w:t>0</w:t>
            </w:r>
          </w:p>
        </w:tc>
        <w:tc>
          <w:tcPr>
            <w:tcW w:type="dxa" w:w="680"/>
          </w:tcPr>
          <w:p>
            <w:pPr>
              <w:spacing w:after="0"/>
            </w:pPr>
            <w:r>
              <w:rPr>
                <w:b w:val="0"/>
                <w:i w:val="0"/>
                <w:sz w:val="12"/>
              </w:rPr>
              <w:t>0</w:t>
            </w:r>
          </w:p>
        </w:tc>
        <w:tc>
          <w:tcPr>
            <w:tcW w:type="dxa" w:w="794"/>
          </w:tcPr>
          <w:p>
            <w:pPr>
              <w:spacing w:after="0"/>
            </w:pPr>
            <w:r>
              <w:rPr>
                <w:b w:val="0"/>
                <w:i w:val="0"/>
                <w:sz w:val="12"/>
              </w:rPr>
              <w:t>0,0 %</w:t>
            </w:r>
          </w:p>
        </w:tc>
        <w:tc>
          <w:tcPr>
            <w:tcW w:type="dxa" w:w="907"/>
          </w:tcPr>
          <w:p>
            <w:pPr>
              <w:spacing w:after="0"/>
            </w:pPr>
            <w:r>
              <w:rPr>
                <w:b w:val="0"/>
                <w:i w:val="0"/>
                <w:sz w:val="12"/>
              </w:rPr>
              <w:t>0</w:t>
            </w:r>
          </w:p>
        </w:tc>
      </w:tr>
      <w:tr>
        <w:tc>
          <w:tcPr>
            <w:tcW w:type="dxa" w:w="1077"/>
            <w:shd w:val="clear" w:color="auto" w:fill="F3F3F1"/>
          </w:tcPr>
          <w:p>
            <w:pPr>
              <w:spacing w:after="0"/>
            </w:pPr>
            <w:r>
              <w:rPr>
                <w:b w:val="0"/>
                <w:i w:val="0"/>
                <w:sz w:val="12"/>
              </w:rPr>
              <w:t>Hévéa</w:t>
            </w:r>
          </w:p>
        </w:tc>
        <w:tc>
          <w:tcPr>
            <w:tcW w:type="dxa" w:w="1928"/>
            <w:shd w:val="clear" w:color="auto" w:fill="F3F3F1"/>
          </w:tcPr>
          <w:p>
            <w:pPr>
              <w:spacing w:after="0"/>
            </w:pPr>
            <w:r>
              <w:rPr>
                <w:b w:val="0"/>
                <w:i w:val="0"/>
                <w:sz w:val="12"/>
              </w:rPr>
              <w:t>Prix int. -20 %</w:t>
            </w:r>
          </w:p>
        </w:tc>
        <w:tc>
          <w:tcPr>
            <w:tcW w:type="dxa" w:w="737"/>
            <w:shd w:val="clear" w:color="auto" w:fill="F3F3F1"/>
          </w:tcPr>
          <w:p>
            <w:pPr>
              <w:spacing w:after="0"/>
            </w:pPr>
            <w:r>
              <w:rPr>
                <w:b w:val="0"/>
                <w:i w:val="0"/>
                <w:sz w:val="12"/>
              </w:rPr>
              <w:t>−20 %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−20 %</w:t>
            </w:r>
          </w:p>
        </w:tc>
        <w:tc>
          <w:tcPr>
            <w:tcW w:type="dxa" w:w="850"/>
            <w:shd w:val="clear" w:color="auto" w:fill="F3F3F1"/>
          </w:tcPr>
          <w:p>
            <w:pPr>
              <w:spacing w:after="0"/>
            </w:pPr>
            <w:r>
              <w:rPr>
                <w:b w:val="0"/>
                <w:i w:val="0"/>
                <w:sz w:val="12"/>
              </w:rPr>
              <w:t>266</w:t>
            </w:r>
          </w:p>
        </w:tc>
        <w:tc>
          <w:tcPr>
            <w:tcW w:type="dxa" w:w="964"/>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w:t>
            </w:r>
          </w:p>
        </w:tc>
        <w:tc>
          <w:tcPr>
            <w:tcW w:type="dxa" w:w="680"/>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0,0 %</w:t>
            </w:r>
          </w:p>
        </w:tc>
        <w:tc>
          <w:tcPr>
            <w:tcW w:type="dxa" w:w="907"/>
            <w:shd w:val="clear" w:color="auto" w:fill="F3F3F1"/>
          </w:tcPr>
          <w:p>
            <w:pPr>
              <w:spacing w:after="0"/>
            </w:pPr>
            <w:r>
              <w:rPr>
                <w:b w:val="0"/>
                <w:i w:val="0"/>
                <w:sz w:val="12"/>
              </w:rPr>
              <w:t>133</w:t>
            </w:r>
          </w:p>
        </w:tc>
      </w:tr>
      <w:tr>
        <w:tc>
          <w:tcPr>
            <w:tcW w:type="dxa" w:w="1077"/>
          </w:tcPr>
          <w:p>
            <w:pPr>
              <w:spacing w:after="0"/>
            </w:pPr>
            <w:r>
              <w:rPr>
                <w:b w:val="0"/>
                <w:i w:val="0"/>
                <w:sz w:val="12"/>
              </w:rPr>
              <w:t>Hévéa</w:t>
            </w:r>
          </w:p>
        </w:tc>
        <w:tc>
          <w:tcPr>
            <w:tcW w:type="dxa" w:w="1928"/>
          </w:tcPr>
          <w:p>
            <w:pPr>
              <w:spacing w:after="0"/>
            </w:pPr>
            <w:r>
              <w:rPr>
                <w:b w:val="0"/>
                <w:i w:val="0"/>
                <w:sz w:val="12"/>
              </w:rPr>
              <w:t>Prix int. -30 %</w:t>
            </w:r>
          </w:p>
        </w:tc>
        <w:tc>
          <w:tcPr>
            <w:tcW w:type="dxa" w:w="737"/>
          </w:tcPr>
          <w:p>
            <w:pPr>
              <w:spacing w:after="0"/>
            </w:pPr>
            <w:r>
              <w:rPr>
                <w:b w:val="0"/>
                <w:i w:val="0"/>
                <w:sz w:val="12"/>
              </w:rPr>
              <w:t>−30 %</w:t>
            </w:r>
          </w:p>
        </w:tc>
        <w:tc>
          <w:tcPr>
            <w:tcW w:type="dxa" w:w="737"/>
          </w:tcPr>
          <w:p>
            <w:pPr>
              <w:spacing w:after="0"/>
            </w:pPr>
            <w:r>
              <w:rPr>
                <w:b w:val="0"/>
                <w:i w:val="0"/>
                <w:sz w:val="12"/>
              </w:rPr>
              <w:t>—</w:t>
            </w:r>
          </w:p>
        </w:tc>
        <w:tc>
          <w:tcPr>
            <w:tcW w:type="dxa" w:w="737"/>
          </w:tcPr>
          <w:p>
            <w:pPr>
              <w:spacing w:after="0"/>
            </w:pPr>
            <w:r>
              <w:rPr>
                <w:b w:val="0"/>
                <w:i w:val="0"/>
                <w:sz w:val="12"/>
              </w:rPr>
              <w:t>−30 %</w:t>
            </w:r>
          </w:p>
        </w:tc>
        <w:tc>
          <w:tcPr>
            <w:tcW w:type="dxa" w:w="850"/>
          </w:tcPr>
          <w:p>
            <w:pPr>
              <w:spacing w:after="0"/>
            </w:pPr>
            <w:r>
              <w:rPr>
                <w:b w:val="0"/>
                <w:i w:val="0"/>
                <w:sz w:val="12"/>
              </w:rPr>
              <w:t>399</w:t>
            </w:r>
          </w:p>
        </w:tc>
        <w:tc>
          <w:tcPr>
            <w:tcW w:type="dxa" w:w="964"/>
          </w:tcPr>
          <w:p>
            <w:pPr>
              <w:spacing w:after="0"/>
            </w:pPr>
            <w:r>
              <w:rPr>
                <w:b w:val="0"/>
                <w:i w:val="0"/>
                <w:sz w:val="12"/>
              </w:rPr>
              <w:t>0</w:t>
            </w:r>
          </w:p>
        </w:tc>
        <w:tc>
          <w:tcPr>
            <w:tcW w:type="dxa" w:w="794"/>
          </w:tcPr>
          <w:p>
            <w:pPr>
              <w:spacing w:after="0"/>
            </w:pPr>
            <w:r>
              <w:rPr>
                <w:b w:val="0"/>
                <w:i w:val="0"/>
                <w:sz w:val="12"/>
              </w:rPr>
              <w:t>0</w:t>
            </w:r>
          </w:p>
        </w:tc>
        <w:tc>
          <w:tcPr>
            <w:tcW w:type="dxa" w:w="680"/>
          </w:tcPr>
          <w:p>
            <w:pPr>
              <w:spacing w:after="0"/>
            </w:pPr>
            <w:r>
              <w:rPr>
                <w:b w:val="0"/>
                <w:i w:val="0"/>
                <w:sz w:val="12"/>
              </w:rPr>
              <w:t>0</w:t>
            </w:r>
          </w:p>
        </w:tc>
        <w:tc>
          <w:tcPr>
            <w:tcW w:type="dxa" w:w="794"/>
          </w:tcPr>
          <w:p>
            <w:pPr>
              <w:spacing w:after="0"/>
            </w:pPr>
            <w:r>
              <w:rPr>
                <w:b w:val="0"/>
                <w:i w:val="0"/>
                <w:sz w:val="12"/>
              </w:rPr>
              <w:t>0,0 %</w:t>
            </w:r>
          </w:p>
        </w:tc>
        <w:tc>
          <w:tcPr>
            <w:tcW w:type="dxa" w:w="907"/>
          </w:tcPr>
          <w:p>
            <w:pPr>
              <w:spacing w:after="0"/>
            </w:pPr>
            <w:r>
              <w:rPr>
                <w:b w:val="0"/>
                <w:i w:val="0"/>
                <w:sz w:val="12"/>
              </w:rPr>
              <w:t>266</w:t>
            </w:r>
          </w:p>
        </w:tc>
      </w:tr>
      <w:tr>
        <w:tc>
          <w:tcPr>
            <w:tcW w:type="dxa" w:w="1077"/>
            <w:shd w:val="clear" w:color="auto" w:fill="F3F3F1"/>
          </w:tcPr>
          <w:p>
            <w:pPr>
              <w:spacing w:after="0"/>
            </w:pPr>
            <w:r>
              <w:rPr>
                <w:b w:val="0"/>
                <w:i w:val="0"/>
                <w:sz w:val="12"/>
              </w:rPr>
              <w:t>Hévéa</w:t>
            </w:r>
          </w:p>
        </w:tc>
        <w:tc>
          <w:tcPr>
            <w:tcW w:type="dxa" w:w="1928"/>
            <w:shd w:val="clear" w:color="auto" w:fill="F3F3F1"/>
          </w:tcPr>
          <w:p>
            <w:pPr>
              <w:spacing w:after="0"/>
            </w:pPr>
            <w:r>
              <w:rPr>
                <w:b w:val="0"/>
                <w:i w:val="0"/>
                <w:sz w:val="12"/>
              </w:rPr>
              <w:t>Prix -30 % et production -10 %</w:t>
            </w:r>
          </w:p>
        </w:tc>
        <w:tc>
          <w:tcPr>
            <w:tcW w:type="dxa" w:w="737"/>
            <w:shd w:val="clear" w:color="auto" w:fill="F3F3F1"/>
          </w:tcPr>
          <w:p>
            <w:pPr>
              <w:spacing w:after="0"/>
            </w:pPr>
            <w:r>
              <w:rPr>
                <w:b w:val="0"/>
                <w:i w:val="0"/>
                <w:sz w:val="12"/>
              </w:rPr>
              <w:t>−30 %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−37 %</w:t>
            </w:r>
          </w:p>
        </w:tc>
        <w:tc>
          <w:tcPr>
            <w:tcW w:type="dxa" w:w="850"/>
            <w:shd w:val="clear" w:color="auto" w:fill="F3F3F1"/>
          </w:tcPr>
          <w:p>
            <w:pPr>
              <w:spacing w:after="0"/>
            </w:pPr>
            <w:r>
              <w:rPr>
                <w:b w:val="0"/>
                <w:i w:val="0"/>
                <w:sz w:val="12"/>
              </w:rPr>
              <w:t>493</w:t>
            </w:r>
          </w:p>
        </w:tc>
        <w:tc>
          <w:tcPr>
            <w:tcW w:type="dxa" w:w="964"/>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w:t>
            </w:r>
          </w:p>
        </w:tc>
        <w:tc>
          <w:tcPr>
            <w:tcW w:type="dxa" w:w="680"/>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0,0 %</w:t>
            </w:r>
          </w:p>
        </w:tc>
        <w:tc>
          <w:tcPr>
            <w:tcW w:type="dxa" w:w="907"/>
            <w:shd w:val="clear" w:color="auto" w:fill="F3F3F1"/>
          </w:tcPr>
          <w:p>
            <w:pPr>
              <w:spacing w:after="0"/>
            </w:pPr>
            <w:r>
              <w:rPr>
                <w:b w:val="0"/>
                <w:i w:val="0"/>
                <w:sz w:val="12"/>
              </w:rPr>
              <w:t>359</w:t>
            </w:r>
          </w:p>
        </w:tc>
      </w:tr>
      <w:tr>
        <w:tc>
          <w:tcPr>
            <w:tcW w:type="dxa" w:w="1077"/>
          </w:tcPr>
          <w:p>
            <w:pPr>
              <w:spacing w:after="0"/>
            </w:pPr>
            <w:r>
              <w:rPr>
                <w:b w:val="0"/>
                <w:i w:val="0"/>
                <w:sz w:val="12"/>
              </w:rPr>
              <w:t>Hévéa</w:t>
            </w:r>
          </w:p>
        </w:tc>
        <w:tc>
          <w:tcPr>
            <w:tcW w:type="dxa" w:w="1928"/>
          </w:tcPr>
          <w:p>
            <w:pPr>
              <w:spacing w:after="0"/>
            </w:pPr>
            <w:r>
              <w:rPr>
                <w:b w:val="0"/>
                <w:i w:val="0"/>
                <w:sz w:val="12"/>
              </w:rPr>
              <w:t>Prix -30 % pendant 2 campagnes</w:t>
            </w:r>
          </w:p>
        </w:tc>
        <w:tc>
          <w:tcPr>
            <w:tcW w:type="dxa" w:w="737"/>
          </w:tcPr>
          <w:p>
            <w:pPr>
              <w:spacing w:after="0"/>
            </w:pPr>
            <w:r>
              <w:rPr>
                <w:b w:val="0"/>
                <w:i w:val="0"/>
                <w:sz w:val="12"/>
              </w:rPr>
              <w:t>−30 %</w:t>
            </w:r>
          </w:p>
        </w:tc>
        <w:tc>
          <w:tcPr>
            <w:tcW w:type="dxa" w:w="737"/>
          </w:tcPr>
          <w:p>
            <w:pPr>
              <w:spacing w:after="0"/>
            </w:pPr>
            <w:r>
              <w:rPr>
                <w:b w:val="0"/>
                <w:i w:val="0"/>
                <w:sz w:val="12"/>
              </w:rPr>
              <w:t>−30 %</w:t>
            </w:r>
          </w:p>
        </w:tc>
        <w:tc>
          <w:tcPr>
            <w:tcW w:type="dxa" w:w="737"/>
          </w:tcPr>
          <w:p>
            <w:pPr>
              <w:spacing w:after="0"/>
            </w:pPr>
            <w:r>
              <w:rPr>
                <w:b w:val="0"/>
                <w:i w:val="0"/>
                <w:sz w:val="12"/>
              </w:rPr>
              <w:t>−30 %</w:t>
            </w:r>
          </w:p>
        </w:tc>
        <w:tc>
          <w:tcPr>
            <w:tcW w:type="dxa" w:w="850"/>
          </w:tcPr>
          <w:p>
            <w:pPr>
              <w:spacing w:after="0"/>
            </w:pPr>
            <w:r>
              <w:rPr>
                <w:b w:val="0"/>
                <w:i w:val="0"/>
                <w:sz w:val="12"/>
              </w:rPr>
              <w:t>799</w:t>
            </w:r>
          </w:p>
        </w:tc>
        <w:tc>
          <w:tcPr>
            <w:tcW w:type="dxa" w:w="964"/>
          </w:tcPr>
          <w:p>
            <w:pPr>
              <w:spacing w:after="0"/>
            </w:pPr>
            <w:r>
              <w:rPr>
                <w:b w:val="0"/>
                <w:i w:val="0"/>
                <w:sz w:val="12"/>
              </w:rPr>
              <w:t>0</w:t>
            </w:r>
          </w:p>
        </w:tc>
        <w:tc>
          <w:tcPr>
            <w:tcW w:type="dxa" w:w="794"/>
          </w:tcPr>
          <w:p>
            <w:pPr>
              <w:spacing w:after="0"/>
            </w:pPr>
            <w:r>
              <w:rPr>
                <w:b w:val="0"/>
                <w:i w:val="0"/>
                <w:sz w:val="12"/>
              </w:rPr>
              <w:t>0</w:t>
            </w:r>
          </w:p>
        </w:tc>
        <w:tc>
          <w:tcPr>
            <w:tcW w:type="dxa" w:w="680"/>
          </w:tcPr>
          <w:p>
            <w:pPr>
              <w:spacing w:after="0"/>
            </w:pPr>
            <w:r>
              <w:rPr>
                <w:b w:val="0"/>
                <w:i w:val="0"/>
                <w:sz w:val="12"/>
              </w:rPr>
              <w:t>0</w:t>
            </w:r>
          </w:p>
        </w:tc>
        <w:tc>
          <w:tcPr>
            <w:tcW w:type="dxa" w:w="794"/>
          </w:tcPr>
          <w:p>
            <w:pPr>
              <w:spacing w:after="0"/>
            </w:pPr>
            <w:r>
              <w:rPr>
                <w:b w:val="0"/>
                <w:i w:val="0"/>
                <w:sz w:val="12"/>
              </w:rPr>
              <w:t>0,0 %</w:t>
            </w:r>
          </w:p>
        </w:tc>
        <w:tc>
          <w:tcPr>
            <w:tcW w:type="dxa" w:w="907"/>
          </w:tcPr>
          <w:p>
            <w:pPr>
              <w:spacing w:after="0"/>
            </w:pPr>
            <w:r>
              <w:rPr>
                <w:b w:val="0"/>
                <w:i w:val="0"/>
                <w:sz w:val="12"/>
              </w:rPr>
              <w:t>266</w:t>
            </w:r>
          </w:p>
        </w:tc>
      </w:tr>
      <w:tr>
        <w:tc>
          <w:tcPr>
            <w:tcW w:type="dxa" w:w="1077"/>
            <w:shd w:val="clear" w:color="auto" w:fill="F3F3F1"/>
          </w:tcPr>
          <w:p>
            <w:pPr>
              <w:spacing w:after="0"/>
            </w:pPr>
            <w:r>
              <w:rPr>
                <w:b w:val="0"/>
                <w:i w:val="0"/>
                <w:sz w:val="12"/>
              </w:rPr>
              <w:t>Palmier à huile</w:t>
            </w:r>
          </w:p>
        </w:tc>
        <w:tc>
          <w:tcPr>
            <w:tcW w:type="dxa" w:w="1928"/>
            <w:shd w:val="clear" w:color="auto" w:fill="F3F3F1"/>
          </w:tcPr>
          <w:p>
            <w:pPr>
              <w:spacing w:after="0"/>
            </w:pPr>
            <w:r>
              <w:rPr>
                <w:b w:val="0"/>
                <w:i w:val="0"/>
                <w:sz w:val="12"/>
              </w:rPr>
              <w:t>Prix int. -10 %</w:t>
            </w:r>
          </w:p>
        </w:tc>
        <w:tc>
          <w:tcPr>
            <w:tcW w:type="dxa" w:w="737"/>
            <w:shd w:val="clear" w:color="auto" w:fill="F3F3F1"/>
          </w:tcPr>
          <w:p>
            <w:pPr>
              <w:spacing w:after="0"/>
            </w:pPr>
            <w:r>
              <w:rPr>
                <w:b w:val="0"/>
                <w:i w:val="0"/>
                <w:sz w:val="12"/>
              </w:rPr>
              <w:t>−7 %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−7 %</w:t>
            </w:r>
          </w:p>
        </w:tc>
        <w:tc>
          <w:tcPr>
            <w:tcW w:type="dxa" w:w="850"/>
            <w:shd w:val="clear" w:color="auto" w:fill="F3F3F1"/>
          </w:tcPr>
          <w:p>
            <w:pPr>
              <w:spacing w:after="0"/>
            </w:pPr>
            <w:r>
              <w:rPr>
                <w:b w:val="0"/>
                <w:i w:val="0"/>
                <w:sz w:val="12"/>
              </w:rPr>
              <w:t>18</w:t>
            </w:r>
          </w:p>
        </w:tc>
        <w:tc>
          <w:tcPr>
            <w:tcW w:type="dxa" w:w="964"/>
            <w:shd w:val="clear" w:color="auto" w:fill="F3F3F1"/>
          </w:tcPr>
          <w:p>
            <w:pPr>
              <w:spacing w:after="0"/>
            </w:pPr>
            <w:r>
              <w:rPr>
                <w:b w:val="0"/>
                <w:i w:val="0"/>
                <w:sz w:val="12"/>
              </w:rPr>
              <w:t>8</w:t>
            </w:r>
          </w:p>
        </w:tc>
        <w:tc>
          <w:tcPr>
            <w:tcW w:type="dxa" w:w="794"/>
            <w:shd w:val="clear" w:color="auto" w:fill="F3F3F1"/>
          </w:tcPr>
          <w:p>
            <w:pPr>
              <w:spacing w:after="0"/>
            </w:pPr>
            <w:r>
              <w:rPr>
                <w:b w:val="0"/>
                <w:i w:val="0"/>
                <w:sz w:val="12"/>
              </w:rPr>
              <w:t>0</w:t>
            </w:r>
          </w:p>
        </w:tc>
        <w:tc>
          <w:tcPr>
            <w:tcW w:type="dxa" w:w="680"/>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0,0 %</w:t>
            </w:r>
          </w:p>
        </w:tc>
        <w:tc>
          <w:tcPr>
            <w:tcW w:type="dxa" w:w="907"/>
            <w:shd w:val="clear" w:color="auto" w:fill="F3F3F1"/>
          </w:tcPr>
          <w:p>
            <w:pPr>
              <w:spacing w:after="0"/>
            </w:pPr>
            <w:r>
              <w:rPr>
                <w:b w:val="0"/>
                <w:i w:val="0"/>
                <w:sz w:val="12"/>
              </w:rPr>
              <w:t>0</w:t>
            </w:r>
          </w:p>
        </w:tc>
      </w:tr>
      <w:tr>
        <w:tc>
          <w:tcPr>
            <w:tcW w:type="dxa" w:w="1077"/>
          </w:tcPr>
          <w:p>
            <w:pPr>
              <w:spacing w:after="0"/>
            </w:pPr>
            <w:r>
              <w:rPr>
                <w:b w:val="0"/>
                <w:i w:val="0"/>
                <w:sz w:val="12"/>
              </w:rPr>
              <w:t>Palmier à huile</w:t>
            </w:r>
          </w:p>
        </w:tc>
        <w:tc>
          <w:tcPr>
            <w:tcW w:type="dxa" w:w="1928"/>
          </w:tcPr>
          <w:p>
            <w:pPr>
              <w:spacing w:after="0"/>
            </w:pPr>
            <w:r>
              <w:rPr>
                <w:b w:val="0"/>
                <w:i w:val="0"/>
                <w:sz w:val="12"/>
              </w:rPr>
              <w:t>Prix int. -20 %</w:t>
            </w:r>
          </w:p>
        </w:tc>
        <w:tc>
          <w:tcPr>
            <w:tcW w:type="dxa" w:w="737"/>
          </w:tcPr>
          <w:p>
            <w:pPr>
              <w:spacing w:after="0"/>
            </w:pPr>
            <w:r>
              <w:rPr>
                <w:b w:val="0"/>
                <w:i w:val="0"/>
                <w:sz w:val="12"/>
              </w:rPr>
              <w:t>−14 %</w:t>
            </w:r>
          </w:p>
        </w:tc>
        <w:tc>
          <w:tcPr>
            <w:tcW w:type="dxa" w:w="737"/>
          </w:tcPr>
          <w:p>
            <w:pPr>
              <w:spacing w:after="0"/>
            </w:pPr>
            <w:r>
              <w:rPr>
                <w:b w:val="0"/>
                <w:i w:val="0"/>
                <w:sz w:val="12"/>
              </w:rPr>
              <w:t>—</w:t>
            </w:r>
          </w:p>
        </w:tc>
        <w:tc>
          <w:tcPr>
            <w:tcW w:type="dxa" w:w="737"/>
          </w:tcPr>
          <w:p>
            <w:pPr>
              <w:spacing w:after="0"/>
            </w:pPr>
            <w:r>
              <w:rPr>
                <w:b w:val="0"/>
                <w:i w:val="0"/>
                <w:sz w:val="12"/>
              </w:rPr>
              <w:t>−14 %</w:t>
            </w:r>
          </w:p>
        </w:tc>
        <w:tc>
          <w:tcPr>
            <w:tcW w:type="dxa" w:w="850"/>
          </w:tcPr>
          <w:p>
            <w:pPr>
              <w:spacing w:after="0"/>
            </w:pPr>
            <w:r>
              <w:rPr>
                <w:b w:val="0"/>
                <w:i w:val="0"/>
                <w:sz w:val="12"/>
              </w:rPr>
              <w:t>35</w:t>
            </w:r>
          </w:p>
        </w:tc>
        <w:tc>
          <w:tcPr>
            <w:tcW w:type="dxa" w:w="964"/>
          </w:tcPr>
          <w:p>
            <w:pPr>
              <w:spacing w:after="0"/>
            </w:pPr>
            <w:r>
              <w:rPr>
                <w:b w:val="0"/>
                <w:i w:val="0"/>
                <w:sz w:val="12"/>
              </w:rPr>
              <w:t>15</w:t>
            </w:r>
          </w:p>
        </w:tc>
        <w:tc>
          <w:tcPr>
            <w:tcW w:type="dxa" w:w="794"/>
          </w:tcPr>
          <w:p>
            <w:pPr>
              <w:spacing w:after="0"/>
            </w:pPr>
            <w:r>
              <w:rPr>
                <w:b w:val="0"/>
                <w:i w:val="0"/>
                <w:sz w:val="12"/>
              </w:rPr>
              <w:t>0</w:t>
            </w:r>
          </w:p>
        </w:tc>
        <w:tc>
          <w:tcPr>
            <w:tcW w:type="dxa" w:w="680"/>
          </w:tcPr>
          <w:p>
            <w:pPr>
              <w:spacing w:after="0"/>
            </w:pPr>
            <w:r>
              <w:rPr>
                <w:b w:val="0"/>
                <w:i w:val="0"/>
                <w:sz w:val="12"/>
              </w:rPr>
              <w:t>0</w:t>
            </w:r>
          </w:p>
        </w:tc>
        <w:tc>
          <w:tcPr>
            <w:tcW w:type="dxa" w:w="794"/>
          </w:tcPr>
          <w:p>
            <w:pPr>
              <w:spacing w:after="0"/>
            </w:pPr>
            <w:r>
              <w:rPr>
                <w:b w:val="0"/>
                <w:i w:val="0"/>
                <w:sz w:val="12"/>
              </w:rPr>
              <w:t>0,0 %</w:t>
            </w:r>
          </w:p>
        </w:tc>
        <w:tc>
          <w:tcPr>
            <w:tcW w:type="dxa" w:w="907"/>
          </w:tcPr>
          <w:p>
            <w:pPr>
              <w:spacing w:after="0"/>
            </w:pPr>
            <w:r>
              <w:rPr>
                <w:b w:val="0"/>
                <w:i w:val="0"/>
                <w:sz w:val="12"/>
              </w:rPr>
              <w:t>10</w:t>
            </w:r>
          </w:p>
        </w:tc>
      </w:tr>
      <w:tr>
        <w:tc>
          <w:tcPr>
            <w:tcW w:type="dxa" w:w="1077"/>
            <w:shd w:val="clear" w:color="auto" w:fill="F3F3F1"/>
          </w:tcPr>
          <w:p>
            <w:pPr>
              <w:spacing w:after="0"/>
            </w:pPr>
            <w:r>
              <w:rPr>
                <w:b w:val="0"/>
                <w:i w:val="0"/>
                <w:sz w:val="12"/>
              </w:rPr>
              <w:t>Palmier à huile</w:t>
            </w:r>
          </w:p>
        </w:tc>
        <w:tc>
          <w:tcPr>
            <w:tcW w:type="dxa" w:w="1928"/>
            <w:shd w:val="clear" w:color="auto" w:fill="F3F3F1"/>
          </w:tcPr>
          <w:p>
            <w:pPr>
              <w:spacing w:after="0"/>
            </w:pPr>
            <w:r>
              <w:rPr>
                <w:b w:val="0"/>
                <w:i w:val="0"/>
                <w:sz w:val="12"/>
              </w:rPr>
              <w:t>Prix int. -30 %</w:t>
            </w:r>
          </w:p>
        </w:tc>
        <w:tc>
          <w:tcPr>
            <w:tcW w:type="dxa" w:w="737"/>
            <w:shd w:val="clear" w:color="auto" w:fill="F3F3F1"/>
          </w:tcPr>
          <w:p>
            <w:pPr>
              <w:spacing w:after="0"/>
            </w:pPr>
            <w:r>
              <w:rPr>
                <w:b w:val="0"/>
                <w:i w:val="0"/>
                <w:sz w:val="12"/>
              </w:rPr>
              <w:t>−21 %</w:t>
            </w:r>
          </w:p>
        </w:tc>
        <w:tc>
          <w:tcPr>
            <w:tcW w:type="dxa" w:w="737"/>
            <w:shd w:val="clear" w:color="auto" w:fill="F3F3F1"/>
          </w:tcPr>
          <w:p>
            <w:pPr>
              <w:spacing w:after="0"/>
            </w:pPr>
            <w:r>
              <w:rPr>
                <w:b w:val="0"/>
                <w:i w:val="0"/>
                <w:sz w:val="12"/>
              </w:rPr>
              <w:t>—</w:t>
            </w:r>
          </w:p>
        </w:tc>
        <w:tc>
          <w:tcPr>
            <w:tcW w:type="dxa" w:w="737"/>
            <w:shd w:val="clear" w:color="auto" w:fill="F3F3F1"/>
          </w:tcPr>
          <w:p>
            <w:pPr>
              <w:spacing w:after="0"/>
            </w:pPr>
            <w:r>
              <w:rPr>
                <w:b w:val="0"/>
                <w:i w:val="0"/>
                <w:sz w:val="12"/>
              </w:rPr>
              <w:t>−21 %</w:t>
            </w:r>
          </w:p>
        </w:tc>
        <w:tc>
          <w:tcPr>
            <w:tcW w:type="dxa" w:w="850"/>
            <w:shd w:val="clear" w:color="auto" w:fill="F3F3F1"/>
          </w:tcPr>
          <w:p>
            <w:pPr>
              <w:spacing w:after="0"/>
            </w:pPr>
            <w:r>
              <w:rPr>
                <w:b w:val="0"/>
                <w:i w:val="0"/>
                <w:sz w:val="12"/>
              </w:rPr>
              <w:t>52</w:t>
            </w:r>
          </w:p>
        </w:tc>
        <w:tc>
          <w:tcPr>
            <w:tcW w:type="dxa" w:w="964"/>
            <w:shd w:val="clear" w:color="auto" w:fill="F3F3F1"/>
          </w:tcPr>
          <w:p>
            <w:pPr>
              <w:spacing w:after="0"/>
            </w:pPr>
            <w:r>
              <w:rPr>
                <w:b w:val="0"/>
                <w:i w:val="0"/>
                <w:sz w:val="12"/>
              </w:rPr>
              <w:t>22</w:t>
            </w:r>
          </w:p>
        </w:tc>
        <w:tc>
          <w:tcPr>
            <w:tcW w:type="dxa" w:w="794"/>
            <w:shd w:val="clear" w:color="auto" w:fill="F3F3F1"/>
          </w:tcPr>
          <w:p>
            <w:pPr>
              <w:spacing w:after="0"/>
            </w:pPr>
            <w:r>
              <w:rPr>
                <w:b w:val="0"/>
                <w:i w:val="0"/>
                <w:sz w:val="12"/>
              </w:rPr>
              <w:t>0</w:t>
            </w:r>
          </w:p>
        </w:tc>
        <w:tc>
          <w:tcPr>
            <w:tcW w:type="dxa" w:w="680"/>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0,0 %</w:t>
            </w:r>
          </w:p>
        </w:tc>
        <w:tc>
          <w:tcPr>
            <w:tcW w:type="dxa" w:w="907"/>
            <w:shd w:val="clear" w:color="auto" w:fill="F3F3F1"/>
          </w:tcPr>
          <w:p>
            <w:pPr>
              <w:spacing w:after="0"/>
            </w:pPr>
            <w:r>
              <w:rPr>
                <w:b w:val="0"/>
                <w:i w:val="0"/>
                <w:sz w:val="12"/>
              </w:rPr>
              <w:t>28</w:t>
            </w:r>
          </w:p>
        </w:tc>
      </w:tr>
      <w:tr>
        <w:tc>
          <w:tcPr>
            <w:tcW w:type="dxa" w:w="1077"/>
          </w:tcPr>
          <w:p>
            <w:pPr>
              <w:spacing w:after="0"/>
            </w:pPr>
            <w:r>
              <w:rPr>
                <w:b w:val="0"/>
                <w:i w:val="0"/>
                <w:sz w:val="12"/>
              </w:rPr>
              <w:t>Palmier à huile</w:t>
            </w:r>
          </w:p>
        </w:tc>
        <w:tc>
          <w:tcPr>
            <w:tcW w:type="dxa" w:w="1928"/>
          </w:tcPr>
          <w:p>
            <w:pPr>
              <w:spacing w:after="0"/>
            </w:pPr>
            <w:r>
              <w:rPr>
                <w:b w:val="0"/>
                <w:i w:val="0"/>
                <w:sz w:val="12"/>
              </w:rPr>
              <w:t>Prix -30 % et production -10 %</w:t>
            </w:r>
          </w:p>
        </w:tc>
        <w:tc>
          <w:tcPr>
            <w:tcW w:type="dxa" w:w="737"/>
          </w:tcPr>
          <w:p>
            <w:pPr>
              <w:spacing w:after="0"/>
            </w:pPr>
            <w:r>
              <w:rPr>
                <w:b w:val="0"/>
                <w:i w:val="0"/>
                <w:sz w:val="12"/>
              </w:rPr>
              <w:t>−21 %</w:t>
            </w:r>
          </w:p>
        </w:tc>
        <w:tc>
          <w:tcPr>
            <w:tcW w:type="dxa" w:w="737"/>
          </w:tcPr>
          <w:p>
            <w:pPr>
              <w:spacing w:after="0"/>
            </w:pPr>
            <w:r>
              <w:rPr>
                <w:b w:val="0"/>
                <w:i w:val="0"/>
                <w:sz w:val="12"/>
              </w:rPr>
              <w:t>—</w:t>
            </w:r>
          </w:p>
        </w:tc>
        <w:tc>
          <w:tcPr>
            <w:tcW w:type="dxa" w:w="737"/>
          </w:tcPr>
          <w:p>
            <w:pPr>
              <w:spacing w:after="0"/>
            </w:pPr>
            <w:r>
              <w:rPr>
                <w:b w:val="0"/>
                <w:i w:val="0"/>
                <w:sz w:val="12"/>
              </w:rPr>
              <w:t>−29 %</w:t>
            </w:r>
          </w:p>
        </w:tc>
        <w:tc>
          <w:tcPr>
            <w:tcW w:type="dxa" w:w="850"/>
          </w:tcPr>
          <w:p>
            <w:pPr>
              <w:spacing w:after="0"/>
            </w:pPr>
            <w:r>
              <w:rPr>
                <w:b w:val="0"/>
                <w:i w:val="0"/>
                <w:sz w:val="12"/>
              </w:rPr>
              <w:t>72</w:t>
            </w:r>
          </w:p>
        </w:tc>
        <w:tc>
          <w:tcPr>
            <w:tcW w:type="dxa" w:w="964"/>
          </w:tcPr>
          <w:p>
            <w:pPr>
              <w:spacing w:after="0"/>
            </w:pPr>
            <w:r>
              <w:rPr>
                <w:b w:val="0"/>
                <w:i w:val="0"/>
                <w:sz w:val="12"/>
              </w:rPr>
              <w:t>20</w:t>
            </w:r>
          </w:p>
        </w:tc>
        <w:tc>
          <w:tcPr>
            <w:tcW w:type="dxa" w:w="794"/>
          </w:tcPr>
          <w:p>
            <w:pPr>
              <w:spacing w:after="0"/>
            </w:pPr>
            <w:r>
              <w:rPr>
                <w:b w:val="0"/>
                <w:i w:val="0"/>
                <w:sz w:val="12"/>
              </w:rPr>
              <w:t>0</w:t>
            </w:r>
          </w:p>
        </w:tc>
        <w:tc>
          <w:tcPr>
            <w:tcW w:type="dxa" w:w="680"/>
          </w:tcPr>
          <w:p>
            <w:pPr>
              <w:spacing w:after="0"/>
            </w:pPr>
            <w:r>
              <w:rPr>
                <w:b w:val="0"/>
                <w:i w:val="0"/>
                <w:sz w:val="12"/>
              </w:rPr>
              <w:t>0</w:t>
            </w:r>
          </w:p>
        </w:tc>
        <w:tc>
          <w:tcPr>
            <w:tcW w:type="dxa" w:w="794"/>
          </w:tcPr>
          <w:p>
            <w:pPr>
              <w:spacing w:after="0"/>
            </w:pPr>
            <w:r>
              <w:rPr>
                <w:b w:val="0"/>
                <w:i w:val="0"/>
                <w:sz w:val="12"/>
              </w:rPr>
              <w:t>0,0 %</w:t>
            </w:r>
          </w:p>
        </w:tc>
        <w:tc>
          <w:tcPr>
            <w:tcW w:type="dxa" w:w="907"/>
          </w:tcPr>
          <w:p>
            <w:pPr>
              <w:spacing w:after="0"/>
            </w:pPr>
            <w:r>
              <w:rPr>
                <w:b w:val="0"/>
                <w:i w:val="0"/>
                <w:sz w:val="12"/>
              </w:rPr>
              <w:t>47</w:t>
            </w:r>
          </w:p>
        </w:tc>
      </w:tr>
      <w:tr>
        <w:tc>
          <w:tcPr>
            <w:tcW w:type="dxa" w:w="1077"/>
            <w:shd w:val="clear" w:color="auto" w:fill="F3F3F1"/>
          </w:tcPr>
          <w:p>
            <w:pPr>
              <w:spacing w:after="0"/>
            </w:pPr>
            <w:r>
              <w:rPr>
                <w:b w:val="0"/>
                <w:i w:val="0"/>
                <w:sz w:val="12"/>
              </w:rPr>
              <w:t>Palmier à huile</w:t>
            </w:r>
          </w:p>
        </w:tc>
        <w:tc>
          <w:tcPr>
            <w:tcW w:type="dxa" w:w="1928"/>
            <w:shd w:val="clear" w:color="auto" w:fill="F3F3F1"/>
          </w:tcPr>
          <w:p>
            <w:pPr>
              <w:spacing w:after="0"/>
            </w:pPr>
            <w:r>
              <w:rPr>
                <w:b w:val="0"/>
                <w:i w:val="0"/>
                <w:sz w:val="12"/>
              </w:rPr>
              <w:t>Prix -30 % pendant 2 campagnes</w:t>
            </w:r>
          </w:p>
        </w:tc>
        <w:tc>
          <w:tcPr>
            <w:tcW w:type="dxa" w:w="737"/>
            <w:shd w:val="clear" w:color="auto" w:fill="F3F3F1"/>
          </w:tcPr>
          <w:p>
            <w:pPr>
              <w:spacing w:after="0"/>
            </w:pPr>
            <w:r>
              <w:rPr>
                <w:b w:val="0"/>
                <w:i w:val="0"/>
                <w:sz w:val="12"/>
              </w:rPr>
              <w:t>−21 %</w:t>
            </w:r>
          </w:p>
        </w:tc>
        <w:tc>
          <w:tcPr>
            <w:tcW w:type="dxa" w:w="737"/>
            <w:shd w:val="clear" w:color="auto" w:fill="F3F3F1"/>
          </w:tcPr>
          <w:p>
            <w:pPr>
              <w:spacing w:after="0"/>
            </w:pPr>
            <w:r>
              <w:rPr>
                <w:b w:val="0"/>
                <w:i w:val="0"/>
                <w:sz w:val="12"/>
              </w:rPr>
              <w:t>−27 %</w:t>
            </w:r>
          </w:p>
        </w:tc>
        <w:tc>
          <w:tcPr>
            <w:tcW w:type="dxa" w:w="737"/>
            <w:shd w:val="clear" w:color="auto" w:fill="F3F3F1"/>
          </w:tcPr>
          <w:p>
            <w:pPr>
              <w:spacing w:after="0"/>
            </w:pPr>
            <w:r>
              <w:rPr>
                <w:b w:val="0"/>
                <w:i w:val="0"/>
                <w:sz w:val="12"/>
              </w:rPr>
              <w:t>−21 %</w:t>
            </w:r>
          </w:p>
        </w:tc>
        <w:tc>
          <w:tcPr>
            <w:tcW w:type="dxa" w:w="850"/>
            <w:shd w:val="clear" w:color="auto" w:fill="F3F3F1"/>
          </w:tcPr>
          <w:p>
            <w:pPr>
              <w:spacing w:after="0"/>
            </w:pPr>
            <w:r>
              <w:rPr>
                <w:b w:val="0"/>
                <w:i w:val="0"/>
                <w:sz w:val="12"/>
              </w:rPr>
              <w:t>120</w:t>
            </w:r>
          </w:p>
        </w:tc>
        <w:tc>
          <w:tcPr>
            <w:tcW w:type="dxa" w:w="964"/>
            <w:shd w:val="clear" w:color="auto" w:fill="F3F3F1"/>
          </w:tcPr>
          <w:p>
            <w:pPr>
              <w:spacing w:after="0"/>
            </w:pPr>
            <w:r>
              <w:rPr>
                <w:b w:val="0"/>
                <w:i w:val="0"/>
                <w:sz w:val="12"/>
              </w:rPr>
              <w:t>30</w:t>
            </w:r>
          </w:p>
        </w:tc>
        <w:tc>
          <w:tcPr>
            <w:tcW w:type="dxa" w:w="794"/>
            <w:shd w:val="clear" w:color="auto" w:fill="F3F3F1"/>
          </w:tcPr>
          <w:p>
            <w:pPr>
              <w:spacing w:after="0"/>
            </w:pPr>
            <w:r>
              <w:rPr>
                <w:b w:val="0"/>
                <w:i w:val="0"/>
                <w:sz w:val="12"/>
              </w:rPr>
              <w:t>0</w:t>
            </w:r>
          </w:p>
        </w:tc>
        <w:tc>
          <w:tcPr>
            <w:tcW w:type="dxa" w:w="680"/>
            <w:shd w:val="clear" w:color="auto" w:fill="F3F3F1"/>
          </w:tcPr>
          <w:p>
            <w:pPr>
              <w:spacing w:after="0"/>
            </w:pPr>
            <w:r>
              <w:rPr>
                <w:b w:val="0"/>
                <w:i w:val="0"/>
                <w:sz w:val="12"/>
              </w:rPr>
              <w:t>0</w:t>
            </w:r>
          </w:p>
        </w:tc>
        <w:tc>
          <w:tcPr>
            <w:tcW w:type="dxa" w:w="794"/>
            <w:shd w:val="clear" w:color="auto" w:fill="F3F3F1"/>
          </w:tcPr>
          <w:p>
            <w:pPr>
              <w:spacing w:after="0"/>
            </w:pPr>
            <w:r>
              <w:rPr>
                <w:b w:val="0"/>
                <w:i w:val="0"/>
                <w:sz w:val="12"/>
              </w:rPr>
              <w:t>0,0 %</w:t>
            </w:r>
          </w:p>
        </w:tc>
        <w:tc>
          <w:tcPr>
            <w:tcW w:type="dxa" w:w="907"/>
            <w:shd w:val="clear" w:color="auto" w:fill="F3F3F1"/>
          </w:tcPr>
          <w:p>
            <w:pPr>
              <w:spacing w:after="0"/>
            </w:pPr>
            <w:r>
              <w:rPr>
                <w:b w:val="0"/>
                <w:i w:val="0"/>
                <w:sz w:val="12"/>
              </w:rPr>
              <w:t>28</w:t>
            </w:r>
          </w:p>
        </w:tc>
      </w:tr>
    </w:tbl>
    <w:p>
      <w:pPr>
        <w:spacing w:after="20"/>
      </w:pPr>
    </w:p>
    <w:p>
      <w:pPr>
        <w:spacing w:after="40"/>
      </w:pPr>
      <w:r>
        <w:rPr>
          <w:b w:val="0"/>
          <w:i w:val="0"/>
          <w:sz w:val="13"/>
        </w:rPr>
        <w:t>Formules : ΔP c1 = β1 × choc ; Δ recette = (1 + ΔP)(1 + ΔQ) − 1 ; charge hors producteurs = (1 − β) × |choc| × P0 × Q0 ; besoin public = charge × part publique ; garantie de recette à 90 % = max(0 ; 0,9 − (1 + Δ recette)) × P0 × Q0. La capacité financière identifiée est fixée à 0 tant que l'état du FRP n'est pas publié. Le déficit de financement est donc égal au besoin public.</w:t>
      </w:r>
    </w:p>
    <w:p>
      <w:pPr>
        <w:pStyle w:val="Heading1"/>
      </w:pPr>
      <w:r>
        <w:t>Annexe B – Asymétrie : transmission des hausses vs transmission des baisses (épisodes)</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2608"/>
        <w:gridCol w:w="1077"/>
        <w:gridCol w:w="680"/>
        <w:gridCol w:w="1077"/>
        <w:gridCol w:w="963"/>
        <w:gridCol w:w="850"/>
        <w:gridCol w:w="850"/>
        <w:gridCol w:w="963"/>
        <w:gridCol w:w="1077"/>
      </w:tblGrid>
      <w:tr>
        <w:tc>
          <w:tcPr>
            <w:tcW w:type="dxa" w:w="2608"/>
            <w:shd w:val="clear" w:color="auto" w:fill="1F4E3D"/>
          </w:tcPr>
          <w:p>
            <w:pPr>
              <w:spacing w:after="0"/>
            </w:pPr>
            <w:r>
              <w:rPr>
                <w:b/>
                <w:i w:val="0"/>
                <w:color w:val="FFFFFF"/>
                <w:sz w:val="12"/>
              </w:rPr>
              <w:t>Épisode</w:t>
            </w:r>
          </w:p>
        </w:tc>
        <w:tc>
          <w:tcPr>
            <w:tcW w:type="dxa" w:w="1077"/>
            <w:shd w:val="clear" w:color="auto" w:fill="1F4E3D"/>
          </w:tcPr>
          <w:p>
            <w:pPr>
              <w:spacing w:after="0"/>
            </w:pPr>
            <w:r>
              <w:rPr>
                <w:b/>
                <w:i w:val="0"/>
                <w:color w:val="FFFFFF"/>
                <w:sz w:val="12"/>
              </w:rPr>
              <w:t>Pays</w:t>
            </w:r>
          </w:p>
        </w:tc>
        <w:tc>
          <w:tcPr>
            <w:tcW w:type="dxa" w:w="680"/>
            <w:shd w:val="clear" w:color="auto" w:fill="1F4E3D"/>
          </w:tcPr>
          <w:p>
            <w:pPr>
              <w:spacing w:after="0"/>
            </w:pPr>
            <w:r>
              <w:rPr>
                <w:b/>
                <w:i w:val="0"/>
                <w:color w:val="FFFFFF"/>
                <w:sz w:val="12"/>
              </w:rPr>
              <w:t>Sens</w:t>
            </w:r>
          </w:p>
        </w:tc>
        <w:tc>
          <w:tcPr>
            <w:tcW w:type="dxa" w:w="1077"/>
            <w:shd w:val="clear" w:color="auto" w:fill="1F4E3D"/>
          </w:tcPr>
          <w:p>
            <w:pPr>
              <w:spacing w:after="0"/>
            </w:pPr>
            <w:r>
              <w:rPr>
                <w:b/>
                <w:i w:val="0"/>
                <w:color w:val="FFFFFF"/>
                <w:sz w:val="12"/>
              </w:rPr>
              <w:t>Choc int. (monnaie locale)</w:t>
            </w:r>
          </w:p>
        </w:tc>
        <w:tc>
          <w:tcPr>
            <w:tcW w:type="dxa" w:w="964"/>
            <w:shd w:val="clear" w:color="auto" w:fill="1F4E3D"/>
          </w:tcPr>
          <w:p>
            <w:pPr>
              <w:spacing w:after="0"/>
            </w:pPr>
            <w:r>
              <w:rPr>
                <w:b/>
                <w:i w:val="0"/>
                <w:color w:val="FFFFFF"/>
                <w:sz w:val="12"/>
              </w:rPr>
              <w:t>Choc producteur</w:t>
            </w:r>
          </w:p>
        </w:tc>
        <w:tc>
          <w:tcPr>
            <w:tcW w:type="dxa" w:w="850"/>
            <w:shd w:val="clear" w:color="auto" w:fill="1F4E3D"/>
          </w:tcPr>
          <w:p>
            <w:pPr>
              <w:spacing w:after="0"/>
            </w:pPr>
            <w:r>
              <w:rPr>
                <w:b/>
                <w:i w:val="0"/>
                <w:color w:val="FFFFFF"/>
                <w:sz w:val="12"/>
              </w:rPr>
              <w:t>Transmission β</w:t>
            </w:r>
          </w:p>
        </w:tc>
        <w:tc>
          <w:tcPr>
            <w:tcW w:type="dxa" w:w="850"/>
            <w:shd w:val="clear" w:color="auto" w:fill="1F4E3D"/>
          </w:tcPr>
          <w:p>
            <w:pPr>
              <w:spacing w:after="0"/>
            </w:pPr>
            <w:r>
              <w:rPr>
                <w:b/>
                <w:i w:val="0"/>
                <w:color w:val="FFFFFF"/>
                <w:sz w:val="12"/>
              </w:rPr>
              <w:t>Δ recette</w:t>
            </w:r>
          </w:p>
        </w:tc>
        <w:tc>
          <w:tcPr>
            <w:tcW w:type="dxa" w:w="964"/>
            <w:shd w:val="clear" w:color="auto" w:fill="1F4E3D"/>
          </w:tcPr>
          <w:p>
            <w:pPr>
              <w:spacing w:after="0"/>
            </w:pPr>
            <w:r>
              <w:rPr>
                <w:b/>
                <w:i w:val="0"/>
                <w:color w:val="FFFFFF"/>
                <w:sz w:val="12"/>
              </w:rPr>
              <w:t>Délai de réaction (mois)</w:t>
            </w:r>
          </w:p>
        </w:tc>
        <w:tc>
          <w:tcPr>
            <w:tcW w:type="dxa" w:w="1077"/>
            <w:shd w:val="clear" w:color="auto" w:fill="1F4E3D"/>
          </w:tcPr>
          <w:p>
            <w:pPr>
              <w:spacing w:after="0"/>
            </w:pPr>
            <w:r>
              <w:rPr>
                <w:b/>
                <w:i w:val="0"/>
                <w:color w:val="FFFFFF"/>
                <w:sz w:val="12"/>
              </w:rPr>
              <w:t>Qualité</w:t>
            </w:r>
          </w:p>
        </w:tc>
      </w:tr>
      <w:tr>
        <w:tc>
          <w:tcPr>
            <w:tcW w:type="dxa" w:w="2608"/>
          </w:tcPr>
          <w:p>
            <w:pPr>
              <w:spacing w:after="0"/>
            </w:pPr>
            <w:r>
              <w:rPr>
                <w:b w:val="0"/>
                <w:i w:val="0"/>
                <w:sz w:val="12"/>
              </w:rPr>
              <w:t>Cacao – Chute des cours 2016-17</w:t>
            </w:r>
          </w:p>
        </w:tc>
        <w:tc>
          <w:tcPr>
            <w:tcW w:type="dxa" w:w="1077"/>
          </w:tcPr>
          <w:p>
            <w:pPr>
              <w:spacing w:after="0"/>
            </w:pPr>
            <w:r>
              <w:rPr>
                <w:b w:val="0"/>
                <w:i w:val="0"/>
                <w:sz w:val="12"/>
              </w:rPr>
              <w:t>Côte d'Ivoire</w:t>
            </w:r>
          </w:p>
        </w:tc>
        <w:tc>
          <w:tcPr>
            <w:tcW w:type="dxa" w:w="680"/>
          </w:tcPr>
          <w:p>
            <w:pPr>
              <w:spacing w:after="0"/>
            </w:pPr>
            <w:r>
              <w:rPr>
                <w:b w:val="0"/>
                <w:i w:val="0"/>
                <w:sz w:val="12"/>
              </w:rPr>
              <w:t>baisse</w:t>
            </w:r>
          </w:p>
        </w:tc>
        <w:tc>
          <w:tcPr>
            <w:tcW w:type="dxa" w:w="1077"/>
          </w:tcPr>
          <w:p>
            <w:pPr>
              <w:spacing w:after="0"/>
            </w:pPr>
            <w:r>
              <w:rPr>
                <w:b w:val="0"/>
                <w:i w:val="0"/>
                <w:sz w:val="12"/>
              </w:rPr>
              <w:t>−33 %</w:t>
            </w:r>
          </w:p>
        </w:tc>
        <w:tc>
          <w:tcPr>
            <w:tcW w:type="dxa" w:w="964"/>
          </w:tcPr>
          <w:p>
            <w:pPr>
              <w:spacing w:after="0"/>
            </w:pPr>
            <w:r>
              <w:rPr>
                <w:b w:val="0"/>
                <w:i w:val="0"/>
                <w:sz w:val="12"/>
              </w:rPr>
              <w:t>−36 %</w:t>
            </w:r>
          </w:p>
        </w:tc>
        <w:tc>
          <w:tcPr>
            <w:tcW w:type="dxa" w:w="850"/>
          </w:tcPr>
          <w:p>
            <w:pPr>
              <w:spacing w:after="0"/>
            </w:pPr>
            <w:r>
              <w:rPr>
                <w:b w:val="0"/>
                <w:i w:val="0"/>
                <w:sz w:val="12"/>
              </w:rPr>
              <w:t>1,11</w:t>
            </w:r>
          </w:p>
        </w:tc>
        <w:tc>
          <w:tcPr>
            <w:tcW w:type="dxa" w:w="850"/>
          </w:tcPr>
          <w:p>
            <w:pPr>
              <w:spacing w:after="0"/>
            </w:pPr>
            <w:r>
              <w:rPr>
                <w:b w:val="0"/>
                <w:i w:val="0"/>
                <w:sz w:val="12"/>
              </w:rPr>
              <w:t>−38 %</w:t>
            </w:r>
          </w:p>
        </w:tc>
        <w:tc>
          <w:tcPr>
            <w:tcW w:type="dxa" w:w="964"/>
          </w:tcPr>
          <w:p>
            <w:pPr>
              <w:spacing w:after="0"/>
            </w:pPr>
            <w:r>
              <w:rPr>
                <w:b w:val="0"/>
                <w:i w:val="0"/>
                <w:sz w:val="12"/>
              </w:rPr>
              <w:t>8</w:t>
            </w:r>
          </w:p>
        </w:tc>
        <w:tc>
          <w:tcPr>
            <w:tcW w:type="dxa" w:w="1077"/>
          </w:tcPr>
          <w:p>
            <w:pPr>
              <w:spacing w:after="0"/>
            </w:pPr>
            <w:r>
              <w:rPr>
                <w:b w:val="0"/>
                <w:i w:val="0"/>
                <w:sz w:val="12"/>
              </w:rPr>
              <w:t>B</w:t>
            </w:r>
          </w:p>
        </w:tc>
      </w:tr>
      <w:tr>
        <w:tc>
          <w:tcPr>
            <w:tcW w:type="dxa" w:w="2608"/>
            <w:shd w:val="clear" w:color="auto" w:fill="F3F3F1"/>
          </w:tcPr>
          <w:p>
            <w:pPr>
              <w:spacing w:after="0"/>
            </w:pPr>
            <w:r>
              <w:rPr>
                <w:b w:val="0"/>
                <w:i w:val="0"/>
                <w:sz w:val="12"/>
              </w:rPr>
              <w:t>Cacao – Chute des cours 2016-17</w:t>
            </w:r>
          </w:p>
        </w:tc>
        <w:tc>
          <w:tcPr>
            <w:tcW w:type="dxa" w:w="1077"/>
            <w:shd w:val="clear" w:color="auto" w:fill="F3F3F1"/>
          </w:tcPr>
          <w:p>
            <w:pPr>
              <w:spacing w:after="0"/>
            </w:pPr>
            <w:r>
              <w:rPr>
                <w:b w:val="0"/>
                <w:i w:val="0"/>
                <w:sz w:val="12"/>
              </w:rPr>
              <w:t>Ghana</w:t>
            </w:r>
          </w:p>
        </w:tc>
        <w:tc>
          <w:tcPr>
            <w:tcW w:type="dxa" w:w="680"/>
            <w:shd w:val="clear" w:color="auto" w:fill="F3F3F1"/>
          </w:tcPr>
          <w:p>
            <w:pPr>
              <w:spacing w:after="0"/>
            </w:pPr>
            <w:r>
              <w:rPr>
                <w:b w:val="0"/>
                <w:i w:val="0"/>
                <w:sz w:val="12"/>
              </w:rPr>
              <w:t>baisse</w:t>
            </w:r>
          </w:p>
        </w:tc>
        <w:tc>
          <w:tcPr>
            <w:tcW w:type="dxa" w:w="1077"/>
            <w:shd w:val="clear" w:color="auto" w:fill="F3F3F1"/>
          </w:tcPr>
          <w:p>
            <w:pPr>
              <w:spacing w:after="0"/>
            </w:pPr>
            <w:r>
              <w:rPr>
                <w:b w:val="0"/>
                <w:i w:val="0"/>
                <w:sz w:val="12"/>
              </w:rPr>
              <w:t>−30 %</w:t>
            </w:r>
          </w:p>
        </w:tc>
        <w:tc>
          <w:tcPr>
            <w:tcW w:type="dxa" w:w="964"/>
            <w:shd w:val="clear" w:color="auto" w:fill="F3F3F1"/>
          </w:tcPr>
          <w:p>
            <w:pPr>
              <w:spacing w:after="0"/>
            </w:pPr>
            <w:r>
              <w:rPr>
                <w:b w:val="0"/>
                <w:i w:val="0"/>
                <w:sz w:val="12"/>
              </w:rPr>
              <w:t>0 %</w:t>
            </w:r>
          </w:p>
        </w:tc>
        <w:tc>
          <w:tcPr>
            <w:tcW w:type="dxa" w:w="850"/>
            <w:shd w:val="clear" w:color="auto" w:fill="F3F3F1"/>
          </w:tcPr>
          <w:p>
            <w:pPr>
              <w:spacing w:after="0"/>
            </w:pPr>
            <w:r>
              <w:rPr>
                <w:b w:val="0"/>
                <w:i w:val="0"/>
                <w:sz w:val="12"/>
              </w:rPr>
              <w:t>0,00</w:t>
            </w:r>
          </w:p>
        </w:tc>
        <w:tc>
          <w:tcPr>
            <w:tcW w:type="dxa" w:w="850"/>
            <w:shd w:val="clear" w:color="auto" w:fill="F3F3F1"/>
          </w:tcPr>
          <w:p>
            <w:pPr>
              <w:spacing w:after="0"/>
            </w:pPr>
            <w:r>
              <w:rPr>
                <w:b w:val="0"/>
                <w:i w:val="0"/>
                <w:sz w:val="12"/>
              </w:rPr>
              <w:t>−7 %</w:t>
            </w:r>
          </w:p>
        </w:tc>
        <w:tc>
          <w:tcPr>
            <w:tcW w:type="dxa" w:w="964"/>
            <w:shd w:val="clear" w:color="auto" w:fill="F3F3F1"/>
          </w:tcPr>
          <w:p>
            <w:pPr>
              <w:spacing w:after="0"/>
            </w:pPr>
            <w:r>
              <w:rPr>
                <w:b w:val="0"/>
                <w:i w:val="0"/>
                <w:sz w:val="12"/>
              </w:rPr>
              <w:t>—</w:t>
            </w:r>
          </w:p>
        </w:tc>
        <w:tc>
          <w:tcPr>
            <w:tcW w:type="dxa" w:w="1077"/>
            <w:shd w:val="clear" w:color="auto" w:fill="F3F3F1"/>
          </w:tcPr>
          <w:p>
            <w:pPr>
              <w:spacing w:after="0"/>
            </w:pPr>
            <w:r>
              <w:rPr>
                <w:b w:val="0"/>
                <w:i w:val="0"/>
                <w:sz w:val="12"/>
              </w:rPr>
              <w:t>B</w:t>
            </w:r>
          </w:p>
        </w:tc>
      </w:tr>
      <w:tr>
        <w:tc>
          <w:tcPr>
            <w:tcW w:type="dxa" w:w="2608"/>
          </w:tcPr>
          <w:p>
            <w:pPr>
              <w:spacing w:after="0"/>
            </w:pPr>
            <w:r>
              <w:rPr>
                <w:b w:val="0"/>
                <w:i w:val="0"/>
                <w:sz w:val="12"/>
              </w:rPr>
              <w:t>Cacao – Chute des cours 2016-17</w:t>
            </w:r>
          </w:p>
        </w:tc>
        <w:tc>
          <w:tcPr>
            <w:tcW w:type="dxa" w:w="1077"/>
          </w:tcPr>
          <w:p>
            <w:pPr>
              <w:spacing w:after="0"/>
            </w:pPr>
            <w:r>
              <w:rPr>
                <w:b w:val="0"/>
                <w:i w:val="0"/>
                <w:sz w:val="12"/>
              </w:rPr>
              <w:t>Cameroun</w:t>
            </w:r>
          </w:p>
        </w:tc>
        <w:tc>
          <w:tcPr>
            <w:tcW w:type="dxa" w:w="680"/>
          </w:tcPr>
          <w:p>
            <w:pPr>
              <w:spacing w:after="0"/>
            </w:pPr>
            <w:r>
              <w:rPr>
                <w:b w:val="0"/>
                <w:i w:val="0"/>
                <w:sz w:val="12"/>
              </w:rPr>
              <w:t>baisse</w:t>
            </w:r>
          </w:p>
        </w:tc>
        <w:tc>
          <w:tcPr>
            <w:tcW w:type="dxa" w:w="1077"/>
          </w:tcPr>
          <w:p>
            <w:pPr>
              <w:spacing w:after="0"/>
            </w:pPr>
            <w:r>
              <w:rPr>
                <w:b w:val="0"/>
                <w:i w:val="0"/>
                <w:sz w:val="12"/>
              </w:rPr>
              <w:t>−33 %</w:t>
            </w:r>
          </w:p>
        </w:tc>
        <w:tc>
          <w:tcPr>
            <w:tcW w:type="dxa" w:w="964"/>
          </w:tcPr>
          <w:p>
            <w:pPr>
              <w:spacing w:after="0"/>
            </w:pPr>
            <w:r>
              <w:rPr>
                <w:b w:val="0"/>
                <w:i w:val="0"/>
                <w:sz w:val="12"/>
              </w:rPr>
              <w:t>−34 %</w:t>
            </w:r>
          </w:p>
        </w:tc>
        <w:tc>
          <w:tcPr>
            <w:tcW w:type="dxa" w:w="850"/>
          </w:tcPr>
          <w:p>
            <w:pPr>
              <w:spacing w:after="0"/>
            </w:pPr>
            <w:r>
              <w:rPr>
                <w:b w:val="0"/>
                <w:i w:val="0"/>
                <w:sz w:val="12"/>
              </w:rPr>
              <w:t>1,05</w:t>
            </w:r>
          </w:p>
        </w:tc>
        <w:tc>
          <w:tcPr>
            <w:tcW w:type="dxa" w:w="850"/>
          </w:tcPr>
          <w:p>
            <w:pPr>
              <w:spacing w:after="0"/>
            </w:pPr>
            <w:r>
              <w:rPr>
                <w:b w:val="0"/>
                <w:i w:val="0"/>
                <w:sz w:val="12"/>
              </w:rPr>
              <w:t>−37 %</w:t>
            </w:r>
          </w:p>
        </w:tc>
        <w:tc>
          <w:tcPr>
            <w:tcW w:type="dxa" w:w="964"/>
          </w:tcPr>
          <w:p>
            <w:pPr>
              <w:spacing w:after="0"/>
            </w:pPr>
            <w:r>
              <w:rPr>
                <w:b w:val="0"/>
                <w:i w:val="0"/>
                <w:sz w:val="12"/>
              </w:rPr>
              <w:t>1</w:t>
            </w:r>
          </w:p>
        </w:tc>
        <w:tc>
          <w:tcPr>
            <w:tcW w:type="dxa" w:w="1077"/>
          </w:tcPr>
          <w:p>
            <w:pPr>
              <w:spacing w:after="0"/>
            </w:pPr>
            <w:r>
              <w:rPr>
                <w:b w:val="0"/>
                <w:i w:val="0"/>
                <w:sz w:val="12"/>
              </w:rPr>
              <w:t>C</w:t>
            </w:r>
          </w:p>
        </w:tc>
      </w:tr>
      <w:tr>
        <w:tc>
          <w:tcPr>
            <w:tcW w:type="dxa" w:w="2608"/>
            <w:shd w:val="clear" w:color="auto" w:fill="F3F3F1"/>
          </w:tcPr>
          <w:p>
            <w:pPr>
              <w:spacing w:after="0"/>
            </w:pPr>
            <w:r>
              <w:rPr>
                <w:b w:val="0"/>
                <w:i w:val="0"/>
                <w:sz w:val="12"/>
              </w:rPr>
              <w:t>Cacao – Chute des cours 2016-17</w:t>
            </w:r>
          </w:p>
        </w:tc>
        <w:tc>
          <w:tcPr>
            <w:tcW w:type="dxa" w:w="1077"/>
            <w:shd w:val="clear" w:color="auto" w:fill="F3F3F1"/>
          </w:tcPr>
          <w:p>
            <w:pPr>
              <w:spacing w:after="0"/>
            </w:pPr>
            <w:r>
              <w:rPr>
                <w:b w:val="0"/>
                <w:i w:val="0"/>
                <w:sz w:val="12"/>
              </w:rPr>
              <w:t>Équateur</w:t>
            </w:r>
          </w:p>
        </w:tc>
        <w:tc>
          <w:tcPr>
            <w:tcW w:type="dxa" w:w="680"/>
            <w:shd w:val="clear" w:color="auto" w:fill="F3F3F1"/>
          </w:tcPr>
          <w:p>
            <w:pPr>
              <w:spacing w:after="0"/>
            </w:pPr>
            <w:r>
              <w:rPr>
                <w:b w:val="0"/>
                <w:i w:val="0"/>
                <w:sz w:val="12"/>
              </w:rPr>
              <w:t>baisse</w:t>
            </w:r>
          </w:p>
        </w:tc>
        <w:tc>
          <w:tcPr>
            <w:tcW w:type="dxa" w:w="1077"/>
            <w:shd w:val="clear" w:color="auto" w:fill="F3F3F1"/>
          </w:tcPr>
          <w:p>
            <w:pPr>
              <w:spacing w:after="0"/>
            </w:pPr>
            <w:r>
              <w:rPr>
                <w:b w:val="0"/>
                <w:i w:val="0"/>
                <w:sz w:val="12"/>
              </w:rPr>
              <w:t>−36 %</w:t>
            </w:r>
          </w:p>
        </w:tc>
        <w:tc>
          <w:tcPr>
            <w:tcW w:type="dxa" w:w="964"/>
            <w:shd w:val="clear" w:color="auto" w:fill="F3F3F1"/>
          </w:tcPr>
          <w:p>
            <w:pPr>
              <w:spacing w:after="0"/>
            </w:pPr>
            <w:r>
              <w:rPr>
                <w:b w:val="0"/>
                <w:i w:val="0"/>
                <w:sz w:val="12"/>
              </w:rPr>
              <w:t>−35 %</w:t>
            </w:r>
          </w:p>
        </w:tc>
        <w:tc>
          <w:tcPr>
            <w:tcW w:type="dxa" w:w="850"/>
            <w:shd w:val="clear" w:color="auto" w:fill="F3F3F1"/>
          </w:tcPr>
          <w:p>
            <w:pPr>
              <w:spacing w:after="0"/>
            </w:pPr>
            <w:r>
              <w:rPr>
                <w:b w:val="0"/>
                <w:i w:val="0"/>
                <w:sz w:val="12"/>
              </w:rPr>
              <w:t>0,96</w:t>
            </w:r>
          </w:p>
        </w:tc>
        <w:tc>
          <w:tcPr>
            <w:tcW w:type="dxa" w:w="850"/>
            <w:shd w:val="clear" w:color="auto" w:fill="F3F3F1"/>
          </w:tcPr>
          <w:p>
            <w:pPr>
              <w:spacing w:after="0"/>
            </w:pPr>
            <w:r>
              <w:rPr>
                <w:b w:val="0"/>
                <w:i w:val="0"/>
                <w:sz w:val="12"/>
              </w:rPr>
              <w:t>−24 %</w:t>
            </w:r>
          </w:p>
        </w:tc>
        <w:tc>
          <w:tcPr>
            <w:tcW w:type="dxa" w:w="964"/>
            <w:shd w:val="clear" w:color="auto" w:fill="F3F3F1"/>
          </w:tcPr>
          <w:p>
            <w:pPr>
              <w:spacing w:after="0"/>
            </w:pPr>
            <w:r>
              <w:rPr>
                <w:b w:val="0"/>
                <w:i w:val="0"/>
                <w:sz w:val="12"/>
              </w:rPr>
              <w:t>1</w:t>
            </w:r>
          </w:p>
        </w:tc>
        <w:tc>
          <w:tcPr>
            <w:tcW w:type="dxa" w:w="1077"/>
            <w:shd w:val="clear" w:color="auto" w:fill="F3F3F1"/>
          </w:tcPr>
          <w:p>
            <w:pPr>
              <w:spacing w:after="0"/>
            </w:pPr>
            <w:r>
              <w:rPr>
                <w:b w:val="0"/>
                <w:i w:val="0"/>
                <w:sz w:val="12"/>
              </w:rPr>
              <w:t>C</w:t>
            </w:r>
          </w:p>
        </w:tc>
      </w:tr>
      <w:tr>
        <w:tc>
          <w:tcPr>
            <w:tcW w:type="dxa" w:w="2608"/>
          </w:tcPr>
          <w:p>
            <w:pPr>
              <w:spacing w:after="0"/>
            </w:pPr>
            <w:r>
              <w:rPr>
                <w:b w:val="0"/>
                <w:i w:val="0"/>
                <w:sz w:val="12"/>
              </w:rPr>
              <w:t>Cacao – Envolée 2023-25</w:t>
            </w:r>
          </w:p>
        </w:tc>
        <w:tc>
          <w:tcPr>
            <w:tcW w:type="dxa" w:w="1077"/>
          </w:tcPr>
          <w:p>
            <w:pPr>
              <w:spacing w:after="0"/>
            </w:pPr>
            <w:r>
              <w:rPr>
                <w:b w:val="0"/>
                <w:i w:val="0"/>
                <w:sz w:val="12"/>
              </w:rPr>
              <w:t>Côte d'Ivoire</w:t>
            </w:r>
          </w:p>
        </w:tc>
        <w:tc>
          <w:tcPr>
            <w:tcW w:type="dxa" w:w="680"/>
          </w:tcPr>
          <w:p>
            <w:pPr>
              <w:spacing w:after="0"/>
            </w:pPr>
            <w:r>
              <w:rPr>
                <w:b w:val="0"/>
                <w:i w:val="0"/>
                <w:sz w:val="12"/>
              </w:rPr>
              <w:t>hausse</w:t>
            </w:r>
          </w:p>
        </w:tc>
        <w:tc>
          <w:tcPr>
            <w:tcW w:type="dxa" w:w="1077"/>
          </w:tcPr>
          <w:p>
            <w:pPr>
              <w:spacing w:after="0"/>
            </w:pPr>
            <w:r>
              <w:rPr>
                <w:b w:val="0"/>
                <w:i w:val="0"/>
                <w:sz w:val="12"/>
              </w:rPr>
              <w:t>174 %</w:t>
            </w:r>
          </w:p>
        </w:tc>
        <w:tc>
          <w:tcPr>
            <w:tcW w:type="dxa" w:w="964"/>
          </w:tcPr>
          <w:p>
            <w:pPr>
              <w:spacing w:after="0"/>
            </w:pPr>
            <w:r>
              <w:rPr>
                <w:b w:val="0"/>
                <w:i w:val="0"/>
                <w:sz w:val="12"/>
              </w:rPr>
              <w:t>100 %</w:t>
            </w:r>
          </w:p>
        </w:tc>
        <w:tc>
          <w:tcPr>
            <w:tcW w:type="dxa" w:w="850"/>
          </w:tcPr>
          <w:p>
            <w:pPr>
              <w:spacing w:after="0"/>
            </w:pPr>
            <w:r>
              <w:rPr>
                <w:b w:val="0"/>
                <w:i w:val="0"/>
                <w:sz w:val="12"/>
              </w:rPr>
              <w:t>0,57</w:t>
            </w:r>
          </w:p>
        </w:tc>
        <w:tc>
          <w:tcPr>
            <w:tcW w:type="dxa" w:w="850"/>
          </w:tcPr>
          <w:p>
            <w:pPr>
              <w:spacing w:after="0"/>
            </w:pPr>
            <w:r>
              <w:rPr>
                <w:b w:val="0"/>
                <w:i w:val="0"/>
                <w:sz w:val="12"/>
              </w:rPr>
              <w:t>65 %</w:t>
            </w:r>
          </w:p>
        </w:tc>
        <w:tc>
          <w:tcPr>
            <w:tcW w:type="dxa" w:w="964"/>
          </w:tcPr>
          <w:p>
            <w:pPr>
              <w:spacing w:after="0"/>
            </w:pPr>
            <w:r>
              <w:rPr>
                <w:b w:val="0"/>
                <w:i w:val="0"/>
                <w:sz w:val="12"/>
              </w:rPr>
              <w:t>7</w:t>
            </w:r>
          </w:p>
        </w:tc>
        <w:tc>
          <w:tcPr>
            <w:tcW w:type="dxa" w:w="1077"/>
          </w:tcPr>
          <w:p>
            <w:pPr>
              <w:spacing w:after="0"/>
            </w:pPr>
            <w:r>
              <w:rPr>
                <w:b w:val="0"/>
                <w:i w:val="0"/>
                <w:sz w:val="12"/>
              </w:rPr>
              <w:t>B</w:t>
            </w:r>
          </w:p>
        </w:tc>
      </w:tr>
      <w:tr>
        <w:tc>
          <w:tcPr>
            <w:tcW w:type="dxa" w:w="2608"/>
            <w:shd w:val="clear" w:color="auto" w:fill="F3F3F1"/>
          </w:tcPr>
          <w:p>
            <w:pPr>
              <w:spacing w:after="0"/>
            </w:pPr>
            <w:r>
              <w:rPr>
                <w:b w:val="0"/>
                <w:i w:val="0"/>
                <w:sz w:val="12"/>
              </w:rPr>
              <w:t>Cacao – Envolée 2023-25</w:t>
            </w:r>
          </w:p>
        </w:tc>
        <w:tc>
          <w:tcPr>
            <w:tcW w:type="dxa" w:w="1077"/>
            <w:shd w:val="clear" w:color="auto" w:fill="F3F3F1"/>
          </w:tcPr>
          <w:p>
            <w:pPr>
              <w:spacing w:after="0"/>
            </w:pPr>
            <w:r>
              <w:rPr>
                <w:b w:val="0"/>
                <w:i w:val="0"/>
                <w:sz w:val="12"/>
              </w:rPr>
              <w:t>Ghana</w:t>
            </w:r>
          </w:p>
        </w:tc>
        <w:tc>
          <w:tcPr>
            <w:tcW w:type="dxa" w:w="680"/>
            <w:shd w:val="clear" w:color="auto" w:fill="F3F3F1"/>
          </w:tcPr>
          <w:p>
            <w:pPr>
              <w:spacing w:after="0"/>
            </w:pPr>
            <w:r>
              <w:rPr>
                <w:b w:val="0"/>
                <w:i w:val="0"/>
                <w:sz w:val="12"/>
              </w:rPr>
              <w:t>hausse</w:t>
            </w:r>
          </w:p>
        </w:tc>
        <w:tc>
          <w:tcPr>
            <w:tcW w:type="dxa" w:w="1077"/>
            <w:shd w:val="clear" w:color="auto" w:fill="F3F3F1"/>
          </w:tcPr>
          <w:p>
            <w:pPr>
              <w:spacing w:after="0"/>
            </w:pPr>
            <w:r>
              <w:rPr>
                <w:b w:val="0"/>
                <w:i w:val="0"/>
                <w:sz w:val="12"/>
              </w:rPr>
              <w:t>297 %</w:t>
            </w:r>
          </w:p>
        </w:tc>
        <w:tc>
          <w:tcPr>
            <w:tcW w:type="dxa" w:w="964"/>
            <w:shd w:val="clear" w:color="auto" w:fill="F3F3F1"/>
          </w:tcPr>
          <w:p>
            <w:pPr>
              <w:spacing w:after="0"/>
            </w:pPr>
            <w:r>
              <w:rPr>
                <w:b w:val="0"/>
                <w:i w:val="0"/>
                <w:sz w:val="12"/>
              </w:rPr>
              <w:t>288 %</w:t>
            </w:r>
          </w:p>
        </w:tc>
        <w:tc>
          <w:tcPr>
            <w:tcW w:type="dxa" w:w="850"/>
            <w:shd w:val="clear" w:color="auto" w:fill="F3F3F1"/>
          </w:tcPr>
          <w:p>
            <w:pPr>
              <w:spacing w:after="0"/>
            </w:pPr>
            <w:r>
              <w:rPr>
                <w:b w:val="0"/>
                <w:i w:val="0"/>
                <w:sz w:val="12"/>
              </w:rPr>
              <w:t>0,97</w:t>
            </w:r>
          </w:p>
        </w:tc>
        <w:tc>
          <w:tcPr>
            <w:tcW w:type="dxa" w:w="850"/>
            <w:shd w:val="clear" w:color="auto" w:fill="F3F3F1"/>
          </w:tcPr>
          <w:p>
            <w:pPr>
              <w:spacing w:after="0"/>
            </w:pPr>
            <w:r>
              <w:rPr>
                <w:b w:val="0"/>
                <w:i w:val="0"/>
                <w:sz w:val="12"/>
              </w:rPr>
              <w:t>256 %</w:t>
            </w:r>
          </w:p>
        </w:tc>
        <w:tc>
          <w:tcPr>
            <w:tcW w:type="dxa" w:w="964"/>
            <w:shd w:val="clear" w:color="auto" w:fill="F3F3F1"/>
          </w:tcPr>
          <w:p>
            <w:pPr>
              <w:spacing w:after="0"/>
            </w:pPr>
            <w:r>
              <w:rPr>
                <w:b w:val="0"/>
                <w:i w:val="0"/>
                <w:sz w:val="12"/>
              </w:rPr>
              <w:t>6</w:t>
            </w:r>
          </w:p>
        </w:tc>
        <w:tc>
          <w:tcPr>
            <w:tcW w:type="dxa" w:w="1077"/>
            <w:shd w:val="clear" w:color="auto" w:fill="F3F3F1"/>
          </w:tcPr>
          <w:p>
            <w:pPr>
              <w:spacing w:after="0"/>
            </w:pPr>
            <w:r>
              <w:rPr>
                <w:b w:val="0"/>
                <w:i w:val="0"/>
                <w:sz w:val="12"/>
              </w:rPr>
              <w:t>B</w:t>
            </w:r>
          </w:p>
        </w:tc>
      </w:tr>
      <w:tr>
        <w:tc>
          <w:tcPr>
            <w:tcW w:type="dxa" w:w="2608"/>
          </w:tcPr>
          <w:p>
            <w:pPr>
              <w:spacing w:after="0"/>
            </w:pPr>
            <w:r>
              <w:rPr>
                <w:b w:val="0"/>
                <w:i w:val="0"/>
                <w:sz w:val="12"/>
              </w:rPr>
              <w:t>Cacao – Envolée 2023-25</w:t>
            </w:r>
          </w:p>
        </w:tc>
        <w:tc>
          <w:tcPr>
            <w:tcW w:type="dxa" w:w="1077"/>
          </w:tcPr>
          <w:p>
            <w:pPr>
              <w:spacing w:after="0"/>
            </w:pPr>
            <w:r>
              <w:rPr>
                <w:b w:val="0"/>
                <w:i w:val="0"/>
                <w:sz w:val="12"/>
              </w:rPr>
              <w:t>Cameroun</w:t>
            </w:r>
          </w:p>
        </w:tc>
        <w:tc>
          <w:tcPr>
            <w:tcW w:type="dxa" w:w="680"/>
          </w:tcPr>
          <w:p>
            <w:pPr>
              <w:spacing w:after="0"/>
            </w:pPr>
            <w:r>
              <w:rPr>
                <w:b w:val="0"/>
                <w:i w:val="0"/>
                <w:sz w:val="12"/>
              </w:rPr>
              <w:t>hausse</w:t>
            </w:r>
          </w:p>
        </w:tc>
        <w:tc>
          <w:tcPr>
            <w:tcW w:type="dxa" w:w="1077"/>
          </w:tcPr>
          <w:p>
            <w:pPr>
              <w:spacing w:after="0"/>
            </w:pPr>
            <w:r>
              <w:rPr>
                <w:b w:val="0"/>
                <w:i w:val="0"/>
                <w:sz w:val="12"/>
              </w:rPr>
              <w:t>174 %</w:t>
            </w:r>
          </w:p>
        </w:tc>
        <w:tc>
          <w:tcPr>
            <w:tcW w:type="dxa" w:w="964"/>
          </w:tcPr>
          <w:p>
            <w:pPr>
              <w:spacing w:after="0"/>
            </w:pPr>
            <w:r>
              <w:rPr>
                <w:b w:val="0"/>
                <w:i w:val="0"/>
                <w:sz w:val="12"/>
              </w:rPr>
              <w:t>233 %</w:t>
            </w:r>
          </w:p>
        </w:tc>
        <w:tc>
          <w:tcPr>
            <w:tcW w:type="dxa" w:w="850"/>
          </w:tcPr>
          <w:p>
            <w:pPr>
              <w:spacing w:after="0"/>
            </w:pPr>
            <w:r>
              <w:rPr>
                <w:b w:val="0"/>
                <w:i w:val="0"/>
                <w:sz w:val="12"/>
              </w:rPr>
              <w:t>1,34</w:t>
            </w:r>
          </w:p>
        </w:tc>
        <w:tc>
          <w:tcPr>
            <w:tcW w:type="dxa" w:w="850"/>
          </w:tcPr>
          <w:p>
            <w:pPr>
              <w:spacing w:after="0"/>
            </w:pPr>
            <w:r>
              <w:rPr>
                <w:b w:val="0"/>
                <w:i w:val="0"/>
                <w:sz w:val="12"/>
              </w:rPr>
              <w:t>239 %</w:t>
            </w:r>
          </w:p>
        </w:tc>
        <w:tc>
          <w:tcPr>
            <w:tcW w:type="dxa" w:w="964"/>
          </w:tcPr>
          <w:p>
            <w:pPr>
              <w:spacing w:after="0"/>
            </w:pPr>
            <w:r>
              <w:rPr>
                <w:b w:val="0"/>
                <w:i w:val="0"/>
                <w:sz w:val="12"/>
              </w:rPr>
              <w:t>1</w:t>
            </w:r>
          </w:p>
        </w:tc>
        <w:tc>
          <w:tcPr>
            <w:tcW w:type="dxa" w:w="1077"/>
          </w:tcPr>
          <w:p>
            <w:pPr>
              <w:spacing w:after="0"/>
            </w:pPr>
            <w:r>
              <w:rPr>
                <w:b w:val="0"/>
                <w:i w:val="0"/>
                <w:sz w:val="12"/>
              </w:rPr>
              <w:t>C</w:t>
            </w:r>
          </w:p>
        </w:tc>
      </w:tr>
      <w:tr>
        <w:tc>
          <w:tcPr>
            <w:tcW w:type="dxa" w:w="2608"/>
            <w:shd w:val="clear" w:color="auto" w:fill="F3F3F1"/>
          </w:tcPr>
          <w:p>
            <w:pPr>
              <w:spacing w:after="0"/>
            </w:pPr>
            <w:r>
              <w:rPr>
                <w:b w:val="0"/>
                <w:i w:val="0"/>
                <w:sz w:val="12"/>
              </w:rPr>
              <w:t>Cacao – Retournement 2025-26</w:t>
            </w:r>
          </w:p>
        </w:tc>
        <w:tc>
          <w:tcPr>
            <w:tcW w:type="dxa" w:w="1077"/>
            <w:shd w:val="clear" w:color="auto" w:fill="F3F3F1"/>
          </w:tcPr>
          <w:p>
            <w:pPr>
              <w:spacing w:after="0"/>
            </w:pPr>
            <w:r>
              <w:rPr>
                <w:b w:val="0"/>
                <w:i w:val="0"/>
                <w:sz w:val="12"/>
              </w:rPr>
              <w:t>Côte d'Ivoire</w:t>
            </w:r>
          </w:p>
        </w:tc>
        <w:tc>
          <w:tcPr>
            <w:tcW w:type="dxa" w:w="680"/>
            <w:shd w:val="clear" w:color="auto" w:fill="F3F3F1"/>
          </w:tcPr>
          <w:p>
            <w:pPr>
              <w:spacing w:after="0"/>
            </w:pPr>
            <w:r>
              <w:rPr>
                <w:b w:val="0"/>
                <w:i w:val="0"/>
                <w:sz w:val="12"/>
              </w:rPr>
              <w:t>baisse</w:t>
            </w:r>
          </w:p>
        </w:tc>
        <w:tc>
          <w:tcPr>
            <w:tcW w:type="dxa" w:w="1077"/>
            <w:shd w:val="clear" w:color="auto" w:fill="F3F3F1"/>
          </w:tcPr>
          <w:p>
            <w:pPr>
              <w:spacing w:after="0"/>
            </w:pPr>
            <w:r>
              <w:rPr>
                <w:b w:val="0"/>
                <w:i w:val="0"/>
                <w:sz w:val="12"/>
              </w:rPr>
              <w:t>−65 %</w:t>
            </w:r>
          </w:p>
        </w:tc>
        <w:tc>
          <w:tcPr>
            <w:tcW w:type="dxa" w:w="964"/>
            <w:shd w:val="clear" w:color="auto" w:fill="F3F3F1"/>
          </w:tcPr>
          <w:p>
            <w:pPr>
              <w:spacing w:after="0"/>
            </w:pPr>
            <w:r>
              <w:rPr>
                <w:b w:val="0"/>
                <w:i w:val="0"/>
                <w:sz w:val="12"/>
              </w:rPr>
              <w:t>−57 %</w:t>
            </w:r>
          </w:p>
        </w:tc>
        <w:tc>
          <w:tcPr>
            <w:tcW w:type="dxa" w:w="850"/>
            <w:shd w:val="clear" w:color="auto" w:fill="F3F3F1"/>
          </w:tcPr>
          <w:p>
            <w:pPr>
              <w:spacing w:after="0"/>
            </w:pPr>
            <w:r>
              <w:rPr>
                <w:b w:val="0"/>
                <w:i w:val="0"/>
                <w:sz w:val="12"/>
              </w:rPr>
              <w:t>0,88</w:t>
            </w:r>
          </w:p>
        </w:tc>
        <w:tc>
          <w:tcPr>
            <w:tcW w:type="dxa" w:w="850"/>
            <w:shd w:val="clear" w:color="auto" w:fill="F3F3F1"/>
          </w:tcPr>
          <w:p>
            <w:pPr>
              <w:spacing w:after="0"/>
            </w:pPr>
            <w:r>
              <w:rPr>
                <w:b w:val="0"/>
                <w:i w:val="0"/>
                <w:sz w:val="12"/>
              </w:rPr>
              <w:t>−58 %</w:t>
            </w:r>
          </w:p>
        </w:tc>
        <w:tc>
          <w:tcPr>
            <w:tcW w:type="dxa" w:w="964"/>
            <w:shd w:val="clear" w:color="auto" w:fill="F3F3F1"/>
          </w:tcPr>
          <w:p>
            <w:pPr>
              <w:spacing w:after="0"/>
            </w:pPr>
            <w:r>
              <w:rPr>
                <w:b w:val="0"/>
                <w:i w:val="0"/>
                <w:sz w:val="12"/>
              </w:rPr>
              <w:t>15</w:t>
            </w:r>
          </w:p>
        </w:tc>
        <w:tc>
          <w:tcPr>
            <w:tcW w:type="dxa" w:w="1077"/>
            <w:shd w:val="clear" w:color="auto" w:fill="F3F3F1"/>
          </w:tcPr>
          <w:p>
            <w:pPr>
              <w:spacing w:after="0"/>
            </w:pPr>
            <w:r>
              <w:rPr>
                <w:b w:val="0"/>
                <w:i w:val="0"/>
                <w:sz w:val="12"/>
              </w:rPr>
              <w:t>A (prix) / C (coût)</w:t>
            </w:r>
          </w:p>
        </w:tc>
      </w:tr>
      <w:tr>
        <w:tc>
          <w:tcPr>
            <w:tcW w:type="dxa" w:w="2608"/>
          </w:tcPr>
          <w:p>
            <w:pPr>
              <w:spacing w:after="0"/>
            </w:pPr>
            <w:r>
              <w:rPr>
                <w:b w:val="0"/>
                <w:i w:val="0"/>
                <w:sz w:val="12"/>
              </w:rPr>
              <w:t>Cacao – Retournement 2025-26</w:t>
            </w:r>
          </w:p>
        </w:tc>
        <w:tc>
          <w:tcPr>
            <w:tcW w:type="dxa" w:w="1077"/>
          </w:tcPr>
          <w:p>
            <w:pPr>
              <w:spacing w:after="0"/>
            </w:pPr>
            <w:r>
              <w:rPr>
                <w:b w:val="0"/>
                <w:i w:val="0"/>
                <w:sz w:val="12"/>
              </w:rPr>
              <w:t>Ghana</w:t>
            </w:r>
          </w:p>
        </w:tc>
        <w:tc>
          <w:tcPr>
            <w:tcW w:type="dxa" w:w="680"/>
          </w:tcPr>
          <w:p>
            <w:pPr>
              <w:spacing w:after="0"/>
            </w:pPr>
            <w:r>
              <w:rPr>
                <w:b w:val="0"/>
                <w:i w:val="0"/>
                <w:sz w:val="12"/>
              </w:rPr>
              <w:t>baisse</w:t>
            </w:r>
          </w:p>
        </w:tc>
        <w:tc>
          <w:tcPr>
            <w:tcW w:type="dxa" w:w="1077"/>
          </w:tcPr>
          <w:p>
            <w:pPr>
              <w:spacing w:after="0"/>
            </w:pPr>
            <w:r>
              <w:rPr>
                <w:b w:val="0"/>
                <w:i w:val="0"/>
                <w:sz w:val="12"/>
              </w:rPr>
              <w:t>−35 %</w:t>
            </w:r>
          </w:p>
        </w:tc>
        <w:tc>
          <w:tcPr>
            <w:tcW w:type="dxa" w:w="964"/>
          </w:tcPr>
          <w:p>
            <w:pPr>
              <w:spacing w:after="0"/>
            </w:pPr>
            <w:r>
              <w:rPr>
                <w:b w:val="0"/>
                <w:i w:val="0"/>
                <w:sz w:val="12"/>
              </w:rPr>
              <w:t>−29 %</w:t>
            </w:r>
          </w:p>
        </w:tc>
        <w:tc>
          <w:tcPr>
            <w:tcW w:type="dxa" w:w="850"/>
          </w:tcPr>
          <w:p>
            <w:pPr>
              <w:spacing w:after="0"/>
            </w:pPr>
            <w:r>
              <w:rPr>
                <w:b w:val="0"/>
                <w:i w:val="0"/>
                <w:sz w:val="12"/>
              </w:rPr>
              <w:t>0,83</w:t>
            </w:r>
          </w:p>
        </w:tc>
        <w:tc>
          <w:tcPr>
            <w:tcW w:type="dxa" w:w="850"/>
          </w:tcPr>
          <w:p>
            <w:pPr>
              <w:spacing w:after="0"/>
            </w:pPr>
            <w:r>
              <w:rPr>
                <w:b w:val="0"/>
                <w:i w:val="0"/>
                <w:sz w:val="12"/>
              </w:rPr>
              <w:t>−23 %</w:t>
            </w:r>
          </w:p>
        </w:tc>
        <w:tc>
          <w:tcPr>
            <w:tcW w:type="dxa" w:w="964"/>
          </w:tcPr>
          <w:p>
            <w:pPr>
              <w:spacing w:after="0"/>
            </w:pPr>
            <w:r>
              <w:rPr>
                <w:b w:val="0"/>
                <w:i w:val="0"/>
                <w:sz w:val="12"/>
              </w:rPr>
              <w:t>4</w:t>
            </w:r>
          </w:p>
        </w:tc>
        <w:tc>
          <w:tcPr>
            <w:tcW w:type="dxa" w:w="1077"/>
          </w:tcPr>
          <w:p>
            <w:pPr>
              <w:spacing w:after="0"/>
            </w:pPr>
            <w:r>
              <w:rPr>
                <w:b w:val="0"/>
                <w:i w:val="0"/>
                <w:sz w:val="12"/>
              </w:rPr>
              <w:t>A</w:t>
            </w:r>
          </w:p>
        </w:tc>
      </w:tr>
      <w:tr>
        <w:tc>
          <w:tcPr>
            <w:tcW w:type="dxa" w:w="2608"/>
            <w:shd w:val="clear" w:color="auto" w:fill="F3F3F1"/>
          </w:tcPr>
          <w:p>
            <w:pPr>
              <w:spacing w:after="0"/>
            </w:pPr>
            <w:r>
              <w:rPr>
                <w:b w:val="0"/>
                <w:i w:val="0"/>
                <w:sz w:val="12"/>
              </w:rPr>
              <w:t>Café – Envolée robusta 2023-25</w:t>
            </w:r>
          </w:p>
        </w:tc>
        <w:tc>
          <w:tcPr>
            <w:tcW w:type="dxa" w:w="1077"/>
            <w:shd w:val="clear" w:color="auto" w:fill="F3F3F1"/>
          </w:tcPr>
          <w:p>
            <w:pPr>
              <w:spacing w:after="0"/>
            </w:pPr>
            <w:r>
              <w:rPr>
                <w:b w:val="0"/>
                <w:i w:val="0"/>
                <w:sz w:val="12"/>
              </w:rPr>
              <w:t>Côte d'Ivoire</w:t>
            </w:r>
          </w:p>
        </w:tc>
        <w:tc>
          <w:tcPr>
            <w:tcW w:type="dxa" w:w="680"/>
            <w:shd w:val="clear" w:color="auto" w:fill="F3F3F1"/>
          </w:tcPr>
          <w:p>
            <w:pPr>
              <w:spacing w:after="0"/>
            </w:pPr>
            <w:r>
              <w:rPr>
                <w:b w:val="0"/>
                <w:i w:val="0"/>
                <w:sz w:val="12"/>
              </w:rPr>
              <w:t>hausse</w:t>
            </w:r>
          </w:p>
        </w:tc>
        <w:tc>
          <w:tcPr>
            <w:tcW w:type="dxa" w:w="1077"/>
            <w:shd w:val="clear" w:color="auto" w:fill="F3F3F1"/>
          </w:tcPr>
          <w:p>
            <w:pPr>
              <w:spacing w:after="0"/>
            </w:pPr>
            <w:r>
              <w:rPr>
                <w:b w:val="0"/>
                <w:i w:val="0"/>
                <w:sz w:val="12"/>
              </w:rPr>
              <w:t>101 %</w:t>
            </w:r>
          </w:p>
        </w:tc>
        <w:tc>
          <w:tcPr>
            <w:tcW w:type="dxa" w:w="964"/>
            <w:shd w:val="clear" w:color="auto" w:fill="F3F3F1"/>
          </w:tcPr>
          <w:p>
            <w:pPr>
              <w:spacing w:after="0"/>
            </w:pPr>
            <w:r>
              <w:rPr>
                <w:b w:val="0"/>
                <w:i w:val="0"/>
                <w:sz w:val="12"/>
              </w:rPr>
              <w:t>67 %</w:t>
            </w:r>
          </w:p>
        </w:tc>
        <w:tc>
          <w:tcPr>
            <w:tcW w:type="dxa" w:w="850"/>
            <w:shd w:val="clear" w:color="auto" w:fill="F3F3F1"/>
          </w:tcPr>
          <w:p>
            <w:pPr>
              <w:spacing w:after="0"/>
            </w:pPr>
            <w:r>
              <w:rPr>
                <w:b w:val="0"/>
                <w:i w:val="0"/>
                <w:sz w:val="12"/>
              </w:rPr>
              <w:t>0,66</w:t>
            </w:r>
          </w:p>
        </w:tc>
        <w:tc>
          <w:tcPr>
            <w:tcW w:type="dxa" w:w="850"/>
            <w:shd w:val="clear" w:color="auto" w:fill="F3F3F1"/>
          </w:tcPr>
          <w:p>
            <w:pPr>
              <w:spacing w:after="0"/>
            </w:pPr>
            <w:r>
              <w:rPr>
                <w:b w:val="0"/>
                <w:i w:val="0"/>
                <w:sz w:val="12"/>
              </w:rPr>
              <w:t>25 %</w:t>
            </w:r>
          </w:p>
        </w:tc>
        <w:tc>
          <w:tcPr>
            <w:tcW w:type="dxa" w:w="964"/>
            <w:shd w:val="clear" w:color="auto" w:fill="F3F3F1"/>
          </w:tcPr>
          <w:p>
            <w:pPr>
              <w:spacing w:after="0"/>
            </w:pPr>
            <w:r>
              <w:rPr>
                <w:b w:val="0"/>
                <w:i w:val="0"/>
                <w:sz w:val="12"/>
              </w:rPr>
              <w:t>12</w:t>
            </w:r>
          </w:p>
        </w:tc>
        <w:tc>
          <w:tcPr>
            <w:tcW w:type="dxa" w:w="1077"/>
            <w:shd w:val="clear" w:color="auto" w:fill="F3F3F1"/>
          </w:tcPr>
          <w:p>
            <w:pPr>
              <w:spacing w:after="0"/>
            </w:pPr>
            <w:r>
              <w:rPr>
                <w:b w:val="0"/>
                <w:i w:val="0"/>
                <w:sz w:val="12"/>
              </w:rPr>
              <w:t>B/C</w:t>
            </w:r>
          </w:p>
        </w:tc>
      </w:tr>
      <w:tr>
        <w:tc>
          <w:tcPr>
            <w:tcW w:type="dxa" w:w="2608"/>
          </w:tcPr>
          <w:p>
            <w:pPr>
              <w:spacing w:after="0"/>
            </w:pPr>
            <w:r>
              <w:rPr>
                <w:b w:val="0"/>
                <w:i w:val="0"/>
                <w:sz w:val="12"/>
              </w:rPr>
              <w:t>Café – Repli robusta 2025-26</w:t>
            </w:r>
          </w:p>
        </w:tc>
        <w:tc>
          <w:tcPr>
            <w:tcW w:type="dxa" w:w="1077"/>
          </w:tcPr>
          <w:p>
            <w:pPr>
              <w:spacing w:after="0"/>
            </w:pPr>
            <w:r>
              <w:rPr>
                <w:b w:val="0"/>
                <w:i w:val="0"/>
                <w:sz w:val="12"/>
              </w:rPr>
              <w:t>Côte d'Ivoire</w:t>
            </w:r>
          </w:p>
        </w:tc>
        <w:tc>
          <w:tcPr>
            <w:tcW w:type="dxa" w:w="680"/>
          </w:tcPr>
          <w:p>
            <w:pPr>
              <w:spacing w:after="0"/>
            </w:pPr>
            <w:r>
              <w:rPr>
                <w:b w:val="0"/>
                <w:i w:val="0"/>
                <w:sz w:val="12"/>
              </w:rPr>
              <w:t>baisse</w:t>
            </w:r>
          </w:p>
        </w:tc>
        <w:tc>
          <w:tcPr>
            <w:tcW w:type="dxa" w:w="1077"/>
          </w:tcPr>
          <w:p>
            <w:pPr>
              <w:spacing w:after="0"/>
            </w:pPr>
            <w:r>
              <w:rPr>
                <w:b w:val="0"/>
                <w:i w:val="0"/>
                <w:sz w:val="12"/>
              </w:rPr>
              <w:t>−21 %</w:t>
            </w:r>
          </w:p>
        </w:tc>
        <w:tc>
          <w:tcPr>
            <w:tcW w:type="dxa" w:w="964"/>
          </w:tcPr>
          <w:p>
            <w:pPr>
              <w:spacing w:after="0"/>
            </w:pPr>
            <w:r>
              <w:rPr>
                <w:b w:val="0"/>
                <w:i w:val="0"/>
                <w:sz w:val="12"/>
              </w:rPr>
              <w:t>−24 %</w:t>
            </w:r>
          </w:p>
        </w:tc>
        <w:tc>
          <w:tcPr>
            <w:tcW w:type="dxa" w:w="850"/>
          </w:tcPr>
          <w:p>
            <w:pPr>
              <w:spacing w:after="0"/>
            </w:pPr>
            <w:r>
              <w:rPr>
                <w:b w:val="0"/>
                <w:i w:val="0"/>
                <w:sz w:val="12"/>
              </w:rPr>
              <w:t>1,12</w:t>
            </w:r>
          </w:p>
        </w:tc>
        <w:tc>
          <w:tcPr>
            <w:tcW w:type="dxa" w:w="850"/>
          </w:tcPr>
          <w:p>
            <w:pPr>
              <w:spacing w:after="0"/>
            </w:pPr>
            <w:r>
              <w:rPr>
                <w:b w:val="0"/>
                <w:i w:val="0"/>
                <w:sz w:val="12"/>
              </w:rPr>
              <w:t>−24 %</w:t>
            </w:r>
          </w:p>
        </w:tc>
        <w:tc>
          <w:tcPr>
            <w:tcW w:type="dxa" w:w="964"/>
          </w:tcPr>
          <w:p>
            <w:pPr>
              <w:spacing w:after="0"/>
            </w:pPr>
            <w:r>
              <w:rPr>
                <w:b w:val="0"/>
                <w:i w:val="0"/>
                <w:sz w:val="12"/>
              </w:rPr>
              <w:t>10</w:t>
            </w:r>
          </w:p>
        </w:tc>
        <w:tc>
          <w:tcPr>
            <w:tcW w:type="dxa" w:w="1077"/>
          </w:tcPr>
          <w:p>
            <w:pPr>
              <w:spacing w:after="0"/>
            </w:pPr>
            <w:r>
              <w:rPr>
                <w:b w:val="0"/>
                <w:i w:val="0"/>
                <w:sz w:val="12"/>
              </w:rPr>
              <w:t>A (prix prod.) / C (prix int.)</w:t>
            </w:r>
          </w:p>
        </w:tc>
      </w:tr>
      <w:tr>
        <w:tc>
          <w:tcPr>
            <w:tcW w:type="dxa" w:w="2608"/>
            <w:shd w:val="clear" w:color="auto" w:fill="F3F3F1"/>
          </w:tcPr>
          <w:p>
            <w:pPr>
              <w:spacing w:after="0"/>
            </w:pPr>
            <w:r>
              <w:rPr>
                <w:b w:val="0"/>
                <w:i w:val="0"/>
                <w:sz w:val="12"/>
              </w:rPr>
              <w:t>Café – Envolée robusta 2023-25</w:t>
            </w:r>
          </w:p>
        </w:tc>
        <w:tc>
          <w:tcPr>
            <w:tcW w:type="dxa" w:w="1077"/>
            <w:shd w:val="clear" w:color="auto" w:fill="F3F3F1"/>
          </w:tcPr>
          <w:p>
            <w:pPr>
              <w:spacing w:after="0"/>
            </w:pPr>
            <w:r>
              <w:rPr>
                <w:b w:val="0"/>
                <w:i w:val="0"/>
                <w:sz w:val="12"/>
              </w:rPr>
              <w:t>Vietnam</w:t>
            </w:r>
          </w:p>
        </w:tc>
        <w:tc>
          <w:tcPr>
            <w:tcW w:type="dxa" w:w="680"/>
            <w:shd w:val="clear" w:color="auto" w:fill="F3F3F1"/>
          </w:tcPr>
          <w:p>
            <w:pPr>
              <w:spacing w:after="0"/>
            </w:pPr>
            <w:r>
              <w:rPr>
                <w:b w:val="0"/>
                <w:i w:val="0"/>
                <w:sz w:val="12"/>
              </w:rPr>
              <w:t>hausse</w:t>
            </w:r>
          </w:p>
        </w:tc>
        <w:tc>
          <w:tcPr>
            <w:tcW w:type="dxa" w:w="1077"/>
            <w:shd w:val="clear" w:color="auto" w:fill="F3F3F1"/>
          </w:tcPr>
          <w:p>
            <w:pPr>
              <w:spacing w:after="0"/>
            </w:pPr>
            <w:r>
              <w:rPr>
                <w:b w:val="0"/>
                <w:i w:val="0"/>
                <w:sz w:val="12"/>
              </w:rPr>
              <w:t>130 %</w:t>
            </w:r>
          </w:p>
        </w:tc>
        <w:tc>
          <w:tcPr>
            <w:tcW w:type="dxa" w:w="964"/>
            <w:shd w:val="clear" w:color="auto" w:fill="F3F3F1"/>
          </w:tcPr>
          <w:p>
            <w:pPr>
              <w:spacing w:after="0"/>
            </w:pPr>
            <w:r>
              <w:rPr>
                <w:b w:val="0"/>
                <w:i w:val="0"/>
                <w:sz w:val="12"/>
              </w:rPr>
              <w:t>193 %</w:t>
            </w:r>
          </w:p>
        </w:tc>
        <w:tc>
          <w:tcPr>
            <w:tcW w:type="dxa" w:w="850"/>
            <w:shd w:val="clear" w:color="auto" w:fill="F3F3F1"/>
          </w:tcPr>
          <w:p>
            <w:pPr>
              <w:spacing w:after="0"/>
            </w:pPr>
            <w:r>
              <w:rPr>
                <w:b w:val="0"/>
                <w:i w:val="0"/>
                <w:sz w:val="12"/>
              </w:rPr>
              <w:t>1,49</w:t>
            </w:r>
          </w:p>
        </w:tc>
        <w:tc>
          <w:tcPr>
            <w:tcW w:type="dxa" w:w="850"/>
            <w:shd w:val="clear" w:color="auto" w:fill="F3F3F1"/>
          </w:tcPr>
          <w:p>
            <w:pPr>
              <w:spacing w:after="0"/>
            </w:pPr>
            <w:r>
              <w:rPr>
                <w:b w:val="0"/>
                <w:i w:val="0"/>
                <w:sz w:val="12"/>
              </w:rPr>
              <w:t>176 %</w:t>
            </w:r>
          </w:p>
        </w:tc>
        <w:tc>
          <w:tcPr>
            <w:tcW w:type="dxa" w:w="964"/>
            <w:shd w:val="clear" w:color="auto" w:fill="F3F3F1"/>
          </w:tcPr>
          <w:p>
            <w:pPr>
              <w:spacing w:after="0"/>
            </w:pPr>
            <w:r>
              <w:rPr>
                <w:b w:val="0"/>
                <w:i w:val="0"/>
                <w:sz w:val="12"/>
              </w:rPr>
              <w:t>0</w:t>
            </w:r>
          </w:p>
        </w:tc>
        <w:tc>
          <w:tcPr>
            <w:tcW w:type="dxa" w:w="1077"/>
            <w:shd w:val="clear" w:color="auto" w:fill="F3F3F1"/>
          </w:tcPr>
          <w:p>
            <w:pPr>
              <w:spacing w:after="0"/>
            </w:pPr>
            <w:r>
              <w:rPr>
                <w:b w:val="0"/>
                <w:i w:val="0"/>
                <w:sz w:val="12"/>
              </w:rPr>
              <w:t>B/C</w:t>
            </w:r>
          </w:p>
        </w:tc>
      </w:tr>
      <w:tr>
        <w:tc>
          <w:tcPr>
            <w:tcW w:type="dxa" w:w="2608"/>
          </w:tcPr>
          <w:p>
            <w:pPr>
              <w:spacing w:after="0"/>
            </w:pPr>
            <w:r>
              <w:rPr>
                <w:b w:val="0"/>
                <w:i w:val="0"/>
                <w:sz w:val="12"/>
              </w:rPr>
              <w:t>Coton – Choc COVID 2020</w:t>
            </w:r>
          </w:p>
        </w:tc>
        <w:tc>
          <w:tcPr>
            <w:tcW w:type="dxa" w:w="1077"/>
          </w:tcPr>
          <w:p>
            <w:pPr>
              <w:spacing w:after="0"/>
            </w:pPr>
            <w:r>
              <w:rPr>
                <w:b w:val="0"/>
                <w:i w:val="0"/>
                <w:sz w:val="12"/>
              </w:rPr>
              <w:t>Côte d'Ivoire</w:t>
            </w:r>
          </w:p>
        </w:tc>
        <w:tc>
          <w:tcPr>
            <w:tcW w:type="dxa" w:w="680"/>
          </w:tcPr>
          <w:p>
            <w:pPr>
              <w:spacing w:after="0"/>
            </w:pPr>
            <w:r>
              <w:rPr>
                <w:b w:val="0"/>
                <w:i w:val="0"/>
                <w:sz w:val="12"/>
              </w:rPr>
              <w:t>baisse</w:t>
            </w:r>
          </w:p>
        </w:tc>
        <w:tc>
          <w:tcPr>
            <w:tcW w:type="dxa" w:w="1077"/>
          </w:tcPr>
          <w:p>
            <w:pPr>
              <w:spacing w:after="0"/>
            </w:pPr>
            <w:r>
              <w:rPr>
                <w:b w:val="0"/>
                <w:i w:val="0"/>
                <w:sz w:val="12"/>
              </w:rPr>
              <w:t>−14 %</w:t>
            </w:r>
          </w:p>
        </w:tc>
        <w:tc>
          <w:tcPr>
            <w:tcW w:type="dxa" w:w="964"/>
          </w:tcPr>
          <w:p>
            <w:pPr>
              <w:spacing w:after="0"/>
            </w:pPr>
            <w:r>
              <w:rPr>
                <w:b w:val="0"/>
                <w:i w:val="0"/>
                <w:sz w:val="12"/>
              </w:rPr>
              <w:t>0 %</w:t>
            </w:r>
          </w:p>
        </w:tc>
        <w:tc>
          <w:tcPr>
            <w:tcW w:type="dxa" w:w="850"/>
          </w:tcPr>
          <w:p>
            <w:pPr>
              <w:spacing w:after="0"/>
            </w:pPr>
            <w:r>
              <w:rPr>
                <w:b w:val="0"/>
                <w:i w:val="0"/>
                <w:sz w:val="12"/>
              </w:rPr>
              <w:t>0,00</w:t>
            </w:r>
          </w:p>
        </w:tc>
        <w:tc>
          <w:tcPr>
            <w:tcW w:type="dxa" w:w="850"/>
          </w:tcPr>
          <w:p>
            <w:pPr>
              <w:spacing w:after="0"/>
            </w:pPr>
            <w:r>
              <w:rPr>
                <w:b w:val="0"/>
                <w:i w:val="0"/>
                <w:sz w:val="12"/>
              </w:rPr>
              <w:t>14 %</w:t>
            </w:r>
          </w:p>
        </w:tc>
        <w:tc>
          <w:tcPr>
            <w:tcW w:type="dxa" w:w="964"/>
          </w:tcPr>
          <w:p>
            <w:pPr>
              <w:spacing w:after="0"/>
            </w:pPr>
            <w:r>
              <w:rPr>
                <w:b w:val="0"/>
                <w:i w:val="0"/>
                <w:sz w:val="12"/>
              </w:rPr>
              <w:t>—</w:t>
            </w:r>
          </w:p>
        </w:tc>
        <w:tc>
          <w:tcPr>
            <w:tcW w:type="dxa" w:w="1077"/>
          </w:tcPr>
          <w:p>
            <w:pPr>
              <w:spacing w:after="0"/>
            </w:pPr>
            <w:r>
              <w:rPr>
                <w:b w:val="0"/>
                <w:i w:val="0"/>
                <w:sz w:val="12"/>
              </w:rPr>
              <w:t>B</w:t>
            </w:r>
          </w:p>
        </w:tc>
      </w:tr>
      <w:tr>
        <w:tc>
          <w:tcPr>
            <w:tcW w:type="dxa" w:w="2608"/>
            <w:shd w:val="clear" w:color="auto" w:fill="F3F3F1"/>
          </w:tcPr>
          <w:p>
            <w:pPr>
              <w:spacing w:after="0"/>
            </w:pPr>
            <w:r>
              <w:rPr>
                <w:b w:val="0"/>
                <w:i w:val="0"/>
                <w:sz w:val="12"/>
              </w:rPr>
              <w:t>Coton – Choc COVID 2020</w:t>
            </w:r>
          </w:p>
        </w:tc>
        <w:tc>
          <w:tcPr>
            <w:tcW w:type="dxa" w:w="1077"/>
            <w:shd w:val="clear" w:color="auto" w:fill="F3F3F1"/>
          </w:tcPr>
          <w:p>
            <w:pPr>
              <w:spacing w:after="0"/>
            </w:pPr>
            <w:r>
              <w:rPr>
                <w:b w:val="0"/>
                <w:i w:val="0"/>
                <w:sz w:val="12"/>
              </w:rPr>
              <w:t>Mali</w:t>
            </w:r>
          </w:p>
        </w:tc>
        <w:tc>
          <w:tcPr>
            <w:tcW w:type="dxa" w:w="680"/>
            <w:shd w:val="clear" w:color="auto" w:fill="F3F3F1"/>
          </w:tcPr>
          <w:p>
            <w:pPr>
              <w:spacing w:after="0"/>
            </w:pPr>
            <w:r>
              <w:rPr>
                <w:b w:val="0"/>
                <w:i w:val="0"/>
                <w:sz w:val="12"/>
              </w:rPr>
              <w:t>baisse</w:t>
            </w:r>
          </w:p>
        </w:tc>
        <w:tc>
          <w:tcPr>
            <w:tcW w:type="dxa" w:w="1077"/>
            <w:shd w:val="clear" w:color="auto" w:fill="F3F3F1"/>
          </w:tcPr>
          <w:p>
            <w:pPr>
              <w:spacing w:after="0"/>
            </w:pPr>
            <w:r>
              <w:rPr>
                <w:b w:val="0"/>
                <w:i w:val="0"/>
                <w:sz w:val="12"/>
              </w:rPr>
              <w:t>−14 %</w:t>
            </w:r>
          </w:p>
        </w:tc>
        <w:tc>
          <w:tcPr>
            <w:tcW w:type="dxa" w:w="964"/>
            <w:shd w:val="clear" w:color="auto" w:fill="F3F3F1"/>
          </w:tcPr>
          <w:p>
            <w:pPr>
              <w:spacing w:after="0"/>
            </w:pPr>
            <w:r>
              <w:rPr>
                <w:b w:val="0"/>
                <w:i w:val="0"/>
                <w:sz w:val="12"/>
              </w:rPr>
              <w:t>−27 %</w:t>
            </w:r>
          </w:p>
        </w:tc>
        <w:tc>
          <w:tcPr>
            <w:tcW w:type="dxa" w:w="850"/>
            <w:shd w:val="clear" w:color="auto" w:fill="F3F3F1"/>
          </w:tcPr>
          <w:p>
            <w:pPr>
              <w:spacing w:after="0"/>
            </w:pPr>
            <w:r>
              <w:rPr>
                <w:b w:val="0"/>
                <w:i w:val="0"/>
                <w:sz w:val="12"/>
              </w:rPr>
              <w:t>1,90</w:t>
            </w:r>
          </w:p>
        </w:tc>
        <w:tc>
          <w:tcPr>
            <w:tcW w:type="dxa" w:w="850"/>
            <w:shd w:val="clear" w:color="auto" w:fill="F3F3F1"/>
          </w:tcPr>
          <w:p>
            <w:pPr>
              <w:spacing w:after="0"/>
            </w:pPr>
            <w:r>
              <w:rPr>
                <w:b w:val="0"/>
                <w:i w:val="0"/>
                <w:sz w:val="12"/>
              </w:rPr>
              <w:t>−85 %</w:t>
            </w:r>
          </w:p>
        </w:tc>
        <w:tc>
          <w:tcPr>
            <w:tcW w:type="dxa" w:w="964"/>
            <w:shd w:val="clear" w:color="auto" w:fill="F3F3F1"/>
          </w:tcPr>
          <w:p>
            <w:pPr>
              <w:spacing w:after="0"/>
            </w:pPr>
            <w:r>
              <w:rPr>
                <w:b w:val="0"/>
                <w:i w:val="0"/>
                <w:sz w:val="12"/>
              </w:rPr>
              <w:t>3</w:t>
            </w:r>
          </w:p>
        </w:tc>
        <w:tc>
          <w:tcPr>
            <w:tcW w:type="dxa" w:w="1077"/>
            <w:shd w:val="clear" w:color="auto" w:fill="F3F3F1"/>
          </w:tcPr>
          <w:p>
            <w:pPr>
              <w:spacing w:after="0"/>
            </w:pPr>
            <w:r>
              <w:rPr>
                <w:b w:val="0"/>
                <w:i w:val="0"/>
                <w:sz w:val="12"/>
              </w:rPr>
              <w:t>B</w:t>
            </w:r>
          </w:p>
        </w:tc>
      </w:tr>
      <w:tr>
        <w:tc>
          <w:tcPr>
            <w:tcW w:type="dxa" w:w="2608"/>
          </w:tcPr>
          <w:p>
            <w:pPr>
              <w:spacing w:after="0"/>
            </w:pPr>
            <w:r>
              <w:rPr>
                <w:b w:val="0"/>
                <w:i w:val="0"/>
                <w:sz w:val="12"/>
              </w:rPr>
              <w:t>Coton – Choc COVID 2020</w:t>
            </w:r>
          </w:p>
        </w:tc>
        <w:tc>
          <w:tcPr>
            <w:tcW w:type="dxa" w:w="1077"/>
          </w:tcPr>
          <w:p>
            <w:pPr>
              <w:spacing w:after="0"/>
            </w:pPr>
            <w:r>
              <w:rPr>
                <w:b w:val="0"/>
                <w:i w:val="0"/>
                <w:sz w:val="12"/>
              </w:rPr>
              <w:t>Burkina Faso</w:t>
            </w:r>
          </w:p>
        </w:tc>
        <w:tc>
          <w:tcPr>
            <w:tcW w:type="dxa" w:w="680"/>
          </w:tcPr>
          <w:p>
            <w:pPr>
              <w:spacing w:after="0"/>
            </w:pPr>
            <w:r>
              <w:rPr>
                <w:b w:val="0"/>
                <w:i w:val="0"/>
                <w:sz w:val="12"/>
              </w:rPr>
              <w:t>baisse</w:t>
            </w:r>
          </w:p>
        </w:tc>
        <w:tc>
          <w:tcPr>
            <w:tcW w:type="dxa" w:w="1077"/>
          </w:tcPr>
          <w:p>
            <w:pPr>
              <w:spacing w:after="0"/>
            </w:pPr>
            <w:r>
              <w:rPr>
                <w:b w:val="0"/>
                <w:i w:val="0"/>
                <w:sz w:val="12"/>
              </w:rPr>
              <w:t>−14 %</w:t>
            </w:r>
          </w:p>
        </w:tc>
        <w:tc>
          <w:tcPr>
            <w:tcW w:type="dxa" w:w="964"/>
          </w:tcPr>
          <w:p>
            <w:pPr>
              <w:spacing w:after="0"/>
            </w:pPr>
            <w:r>
              <w:rPr>
                <w:b w:val="0"/>
                <w:i w:val="0"/>
                <w:sz w:val="12"/>
              </w:rPr>
              <w:t>−6 %</w:t>
            </w:r>
          </w:p>
        </w:tc>
        <w:tc>
          <w:tcPr>
            <w:tcW w:type="dxa" w:w="850"/>
          </w:tcPr>
          <w:p>
            <w:pPr>
              <w:spacing w:after="0"/>
            </w:pPr>
            <w:r>
              <w:rPr>
                <w:b w:val="0"/>
                <w:i w:val="0"/>
                <w:sz w:val="12"/>
              </w:rPr>
              <w:t>0,39</w:t>
            </w:r>
          </w:p>
        </w:tc>
        <w:tc>
          <w:tcPr>
            <w:tcW w:type="dxa" w:w="850"/>
          </w:tcPr>
          <w:p>
            <w:pPr>
              <w:spacing w:after="0"/>
            </w:pPr>
            <w:r>
              <w:rPr>
                <w:b w:val="0"/>
                <w:i w:val="0"/>
                <w:sz w:val="12"/>
              </w:rPr>
              <w:t>−30 %</w:t>
            </w:r>
          </w:p>
        </w:tc>
        <w:tc>
          <w:tcPr>
            <w:tcW w:type="dxa" w:w="964"/>
          </w:tcPr>
          <w:p>
            <w:pPr>
              <w:spacing w:after="0"/>
            </w:pPr>
            <w:r>
              <w:rPr>
                <w:b w:val="0"/>
                <w:i w:val="0"/>
                <w:sz w:val="12"/>
              </w:rPr>
              <w:t>3</w:t>
            </w:r>
          </w:p>
        </w:tc>
        <w:tc>
          <w:tcPr>
            <w:tcW w:type="dxa" w:w="1077"/>
          </w:tcPr>
          <w:p>
            <w:pPr>
              <w:spacing w:after="0"/>
            </w:pPr>
            <w:r>
              <w:rPr>
                <w:b w:val="0"/>
                <w:i w:val="0"/>
                <w:sz w:val="12"/>
              </w:rPr>
              <w:t>C</w:t>
            </w:r>
          </w:p>
        </w:tc>
      </w:tr>
      <w:tr>
        <w:tc>
          <w:tcPr>
            <w:tcW w:type="dxa" w:w="2608"/>
            <w:shd w:val="clear" w:color="auto" w:fill="F3F3F1"/>
          </w:tcPr>
          <w:p>
            <w:pPr>
              <w:spacing w:after="0"/>
            </w:pPr>
            <w:r>
              <w:rPr>
                <w:b w:val="0"/>
                <w:i w:val="0"/>
                <w:sz w:val="12"/>
              </w:rPr>
              <w:t>Coton – Envolée 2021-22</w:t>
            </w:r>
          </w:p>
        </w:tc>
        <w:tc>
          <w:tcPr>
            <w:tcW w:type="dxa" w:w="1077"/>
            <w:shd w:val="clear" w:color="auto" w:fill="F3F3F1"/>
          </w:tcPr>
          <w:p>
            <w:pPr>
              <w:spacing w:after="0"/>
            </w:pPr>
            <w:r>
              <w:rPr>
                <w:b w:val="0"/>
                <w:i w:val="0"/>
                <w:sz w:val="12"/>
              </w:rPr>
              <w:t>Côte d'Ivoire</w:t>
            </w:r>
          </w:p>
        </w:tc>
        <w:tc>
          <w:tcPr>
            <w:tcW w:type="dxa" w:w="680"/>
            <w:shd w:val="clear" w:color="auto" w:fill="F3F3F1"/>
          </w:tcPr>
          <w:p>
            <w:pPr>
              <w:spacing w:after="0"/>
            </w:pPr>
            <w:r>
              <w:rPr>
                <w:b w:val="0"/>
                <w:i w:val="0"/>
                <w:sz w:val="12"/>
              </w:rPr>
              <w:t>hausse</w:t>
            </w:r>
          </w:p>
        </w:tc>
        <w:tc>
          <w:tcPr>
            <w:tcW w:type="dxa" w:w="1077"/>
            <w:shd w:val="clear" w:color="auto" w:fill="F3F3F1"/>
          </w:tcPr>
          <w:p>
            <w:pPr>
              <w:spacing w:after="0"/>
            </w:pPr>
            <w:r>
              <w:rPr>
                <w:b w:val="0"/>
                <w:i w:val="0"/>
                <w:sz w:val="12"/>
              </w:rPr>
              <w:t>81 %</w:t>
            </w:r>
          </w:p>
        </w:tc>
        <w:tc>
          <w:tcPr>
            <w:tcW w:type="dxa" w:w="964"/>
            <w:shd w:val="clear" w:color="auto" w:fill="F3F3F1"/>
          </w:tcPr>
          <w:p>
            <w:pPr>
              <w:spacing w:after="0"/>
            </w:pPr>
            <w:r>
              <w:rPr>
                <w:b w:val="0"/>
                <w:i w:val="0"/>
                <w:sz w:val="12"/>
              </w:rPr>
              <w:t>0 %</w:t>
            </w:r>
          </w:p>
        </w:tc>
        <w:tc>
          <w:tcPr>
            <w:tcW w:type="dxa" w:w="850"/>
            <w:shd w:val="clear" w:color="auto" w:fill="F3F3F1"/>
          </w:tcPr>
          <w:p>
            <w:pPr>
              <w:spacing w:after="0"/>
            </w:pPr>
            <w:r>
              <w:rPr>
                <w:b w:val="0"/>
                <w:i w:val="0"/>
                <w:sz w:val="12"/>
              </w:rPr>
              <w:t>0,00</w:t>
            </w:r>
          </w:p>
        </w:tc>
        <w:tc>
          <w:tcPr>
            <w:tcW w:type="dxa" w:w="850"/>
            <w:shd w:val="clear" w:color="auto" w:fill="F3F3F1"/>
          </w:tcPr>
          <w:p>
            <w:pPr>
              <w:spacing w:after="0"/>
            </w:pPr>
            <w:r>
              <w:rPr>
                <w:b w:val="0"/>
                <w:i w:val="0"/>
                <w:sz w:val="12"/>
              </w:rPr>
              <w:t>14 %</w:t>
            </w:r>
          </w:p>
        </w:tc>
        <w:tc>
          <w:tcPr>
            <w:tcW w:type="dxa" w:w="964"/>
            <w:shd w:val="clear" w:color="auto" w:fill="F3F3F1"/>
          </w:tcPr>
          <w:p>
            <w:pPr>
              <w:spacing w:after="0"/>
            </w:pPr>
            <w:r>
              <w:rPr>
                <w:b w:val="0"/>
                <w:i w:val="0"/>
                <w:sz w:val="12"/>
              </w:rPr>
              <w:t>—</w:t>
            </w:r>
          </w:p>
        </w:tc>
        <w:tc>
          <w:tcPr>
            <w:tcW w:type="dxa" w:w="1077"/>
            <w:shd w:val="clear" w:color="auto" w:fill="F3F3F1"/>
          </w:tcPr>
          <w:p>
            <w:pPr>
              <w:spacing w:after="0"/>
            </w:pPr>
            <w:r>
              <w:rPr>
                <w:b w:val="0"/>
                <w:i w:val="0"/>
                <w:sz w:val="12"/>
              </w:rPr>
              <w:t>B</w:t>
            </w:r>
          </w:p>
        </w:tc>
      </w:tr>
      <w:tr>
        <w:tc>
          <w:tcPr>
            <w:tcW w:type="dxa" w:w="2608"/>
          </w:tcPr>
          <w:p>
            <w:pPr>
              <w:spacing w:after="0"/>
            </w:pPr>
            <w:r>
              <w:rPr>
                <w:b w:val="0"/>
                <w:i w:val="0"/>
                <w:sz w:val="12"/>
              </w:rPr>
              <w:t>Anacarde – Effondrement 2018-19</w:t>
            </w:r>
          </w:p>
        </w:tc>
        <w:tc>
          <w:tcPr>
            <w:tcW w:type="dxa" w:w="1077"/>
          </w:tcPr>
          <w:p>
            <w:pPr>
              <w:spacing w:after="0"/>
            </w:pPr>
            <w:r>
              <w:rPr>
                <w:b w:val="0"/>
                <w:i w:val="0"/>
                <w:sz w:val="12"/>
              </w:rPr>
              <w:t>Côte d'Ivoire</w:t>
            </w:r>
          </w:p>
        </w:tc>
        <w:tc>
          <w:tcPr>
            <w:tcW w:type="dxa" w:w="680"/>
          </w:tcPr>
          <w:p>
            <w:pPr>
              <w:spacing w:after="0"/>
            </w:pPr>
            <w:r>
              <w:rPr>
                <w:b w:val="0"/>
                <w:i w:val="0"/>
                <w:sz w:val="12"/>
              </w:rPr>
              <w:t>baisse</w:t>
            </w:r>
          </w:p>
        </w:tc>
        <w:tc>
          <w:tcPr>
            <w:tcW w:type="dxa" w:w="1077"/>
          </w:tcPr>
          <w:p>
            <w:pPr>
              <w:spacing w:after="0"/>
            </w:pPr>
            <w:r>
              <w:rPr>
                <w:b w:val="0"/>
                <w:i w:val="0"/>
                <w:sz w:val="12"/>
              </w:rPr>
              <w:t>−29 %</w:t>
            </w:r>
          </w:p>
        </w:tc>
        <w:tc>
          <w:tcPr>
            <w:tcW w:type="dxa" w:w="964"/>
          </w:tcPr>
          <w:p>
            <w:pPr>
              <w:spacing w:after="0"/>
            </w:pPr>
            <w:r>
              <w:rPr>
                <w:b w:val="0"/>
                <w:i w:val="0"/>
                <w:sz w:val="12"/>
              </w:rPr>
              <w:t>−40 %</w:t>
            </w:r>
          </w:p>
        </w:tc>
        <w:tc>
          <w:tcPr>
            <w:tcW w:type="dxa" w:w="850"/>
          </w:tcPr>
          <w:p>
            <w:pPr>
              <w:spacing w:after="0"/>
            </w:pPr>
            <w:r>
              <w:rPr>
                <w:b w:val="0"/>
                <w:i w:val="0"/>
                <w:sz w:val="12"/>
              </w:rPr>
              <w:t>1,40</w:t>
            </w:r>
          </w:p>
        </w:tc>
        <w:tc>
          <w:tcPr>
            <w:tcW w:type="dxa" w:w="850"/>
          </w:tcPr>
          <w:p>
            <w:pPr>
              <w:spacing w:after="0"/>
            </w:pPr>
            <w:r>
              <w:rPr>
                <w:b w:val="0"/>
                <w:i w:val="0"/>
                <w:sz w:val="12"/>
              </w:rPr>
              <w:t>−50 %</w:t>
            </w:r>
          </w:p>
        </w:tc>
        <w:tc>
          <w:tcPr>
            <w:tcW w:type="dxa" w:w="964"/>
          </w:tcPr>
          <w:p>
            <w:pPr>
              <w:spacing w:after="0"/>
            </w:pPr>
            <w:r>
              <w:rPr>
                <w:b w:val="0"/>
                <w:i w:val="0"/>
                <w:sz w:val="12"/>
              </w:rPr>
              <w:t>2</w:t>
            </w:r>
          </w:p>
        </w:tc>
        <w:tc>
          <w:tcPr>
            <w:tcW w:type="dxa" w:w="1077"/>
          </w:tcPr>
          <w:p>
            <w:pPr>
              <w:spacing w:after="0"/>
            </w:pPr>
            <w:r>
              <w:rPr>
                <w:b w:val="0"/>
                <w:i w:val="0"/>
                <w:sz w:val="12"/>
              </w:rPr>
              <w:t>C</w:t>
            </w:r>
          </w:p>
        </w:tc>
      </w:tr>
      <w:tr>
        <w:tc>
          <w:tcPr>
            <w:tcW w:type="dxa" w:w="2608"/>
            <w:shd w:val="clear" w:color="auto" w:fill="F3F3F1"/>
          </w:tcPr>
          <w:p>
            <w:pPr>
              <w:spacing w:after="0"/>
            </w:pPr>
            <w:r>
              <w:rPr>
                <w:b w:val="0"/>
                <w:i w:val="0"/>
                <w:sz w:val="12"/>
              </w:rPr>
              <w:t>Anacarde – Effondrement 2018-19</w:t>
            </w:r>
          </w:p>
        </w:tc>
        <w:tc>
          <w:tcPr>
            <w:tcW w:type="dxa" w:w="1077"/>
            <w:shd w:val="clear" w:color="auto" w:fill="F3F3F1"/>
          </w:tcPr>
          <w:p>
            <w:pPr>
              <w:spacing w:after="0"/>
            </w:pPr>
            <w:r>
              <w:rPr>
                <w:b w:val="0"/>
                <w:i w:val="0"/>
                <w:sz w:val="12"/>
              </w:rPr>
              <w:t>Tanzanie</w:t>
            </w:r>
          </w:p>
        </w:tc>
        <w:tc>
          <w:tcPr>
            <w:tcW w:type="dxa" w:w="680"/>
            <w:shd w:val="clear" w:color="auto" w:fill="F3F3F1"/>
          </w:tcPr>
          <w:p>
            <w:pPr>
              <w:spacing w:after="0"/>
            </w:pPr>
            <w:r>
              <w:rPr>
                <w:b w:val="0"/>
                <w:i w:val="0"/>
                <w:sz w:val="12"/>
              </w:rPr>
              <w:t>baisse</w:t>
            </w:r>
          </w:p>
        </w:tc>
        <w:tc>
          <w:tcPr>
            <w:tcW w:type="dxa" w:w="1077"/>
            <w:shd w:val="clear" w:color="auto" w:fill="F3F3F1"/>
          </w:tcPr>
          <w:p>
            <w:pPr>
              <w:spacing w:after="0"/>
            </w:pPr>
            <w:r>
              <w:rPr>
                <w:b w:val="0"/>
                <w:i w:val="0"/>
                <w:sz w:val="12"/>
              </w:rPr>
              <w:t>−31 %</w:t>
            </w:r>
          </w:p>
        </w:tc>
        <w:tc>
          <w:tcPr>
            <w:tcW w:type="dxa" w:w="964"/>
            <w:shd w:val="clear" w:color="auto" w:fill="F3F3F1"/>
          </w:tcPr>
          <w:p>
            <w:pPr>
              <w:spacing w:after="0"/>
            </w:pPr>
            <w:r>
              <w:rPr>
                <w:b w:val="0"/>
                <w:i w:val="0"/>
                <w:sz w:val="12"/>
              </w:rPr>
              <w:t>−26 %</w:t>
            </w:r>
          </w:p>
        </w:tc>
        <w:tc>
          <w:tcPr>
            <w:tcW w:type="dxa" w:w="850"/>
            <w:shd w:val="clear" w:color="auto" w:fill="F3F3F1"/>
          </w:tcPr>
          <w:p>
            <w:pPr>
              <w:spacing w:after="0"/>
            </w:pPr>
            <w:r>
              <w:rPr>
                <w:b w:val="0"/>
                <w:i w:val="0"/>
                <w:sz w:val="12"/>
              </w:rPr>
              <w:t>0,83</w:t>
            </w:r>
          </w:p>
        </w:tc>
        <w:tc>
          <w:tcPr>
            <w:tcW w:type="dxa" w:w="850"/>
            <w:shd w:val="clear" w:color="auto" w:fill="F3F3F1"/>
          </w:tcPr>
          <w:p>
            <w:pPr>
              <w:spacing w:after="0"/>
            </w:pPr>
            <w:r>
              <w:rPr>
                <w:b w:val="0"/>
                <w:i w:val="0"/>
                <w:sz w:val="12"/>
              </w:rPr>
              <w:t>−47 %</w:t>
            </w:r>
          </w:p>
        </w:tc>
        <w:tc>
          <w:tcPr>
            <w:tcW w:type="dxa" w:w="964"/>
            <w:shd w:val="clear" w:color="auto" w:fill="F3F3F1"/>
          </w:tcPr>
          <w:p>
            <w:pPr>
              <w:spacing w:after="0"/>
            </w:pPr>
            <w:r>
              <w:rPr>
                <w:b w:val="0"/>
                <w:i w:val="0"/>
                <w:sz w:val="12"/>
              </w:rPr>
              <w:t>1</w:t>
            </w:r>
          </w:p>
        </w:tc>
        <w:tc>
          <w:tcPr>
            <w:tcW w:type="dxa" w:w="1077"/>
            <w:shd w:val="clear" w:color="auto" w:fill="F3F3F1"/>
          </w:tcPr>
          <w:p>
            <w:pPr>
              <w:spacing w:after="0"/>
            </w:pPr>
            <w:r>
              <w:rPr>
                <w:b w:val="0"/>
                <w:i w:val="0"/>
                <w:sz w:val="12"/>
              </w:rPr>
              <w:t>C</w:t>
            </w:r>
          </w:p>
        </w:tc>
      </w:tr>
      <w:tr>
        <w:tc>
          <w:tcPr>
            <w:tcW w:type="dxa" w:w="2608"/>
          </w:tcPr>
          <w:p>
            <w:pPr>
              <w:spacing w:after="0"/>
            </w:pPr>
            <w:r>
              <w:rPr>
                <w:b w:val="0"/>
                <w:i w:val="0"/>
                <w:sz w:val="12"/>
              </w:rPr>
              <w:t>Anacarde – Rebond 2024</w:t>
            </w:r>
          </w:p>
        </w:tc>
        <w:tc>
          <w:tcPr>
            <w:tcW w:type="dxa" w:w="1077"/>
          </w:tcPr>
          <w:p>
            <w:pPr>
              <w:spacing w:after="0"/>
            </w:pPr>
            <w:r>
              <w:rPr>
                <w:b w:val="0"/>
                <w:i w:val="0"/>
                <w:sz w:val="12"/>
              </w:rPr>
              <w:t>Côte d'Ivoire</w:t>
            </w:r>
          </w:p>
        </w:tc>
        <w:tc>
          <w:tcPr>
            <w:tcW w:type="dxa" w:w="680"/>
          </w:tcPr>
          <w:p>
            <w:pPr>
              <w:spacing w:after="0"/>
            </w:pPr>
            <w:r>
              <w:rPr>
                <w:b w:val="0"/>
                <w:i w:val="0"/>
                <w:sz w:val="12"/>
              </w:rPr>
              <w:t>hausse</w:t>
            </w:r>
          </w:p>
        </w:tc>
        <w:tc>
          <w:tcPr>
            <w:tcW w:type="dxa" w:w="1077"/>
          </w:tcPr>
          <w:p>
            <w:pPr>
              <w:spacing w:after="0"/>
            </w:pPr>
            <w:r>
              <w:rPr>
                <w:b w:val="0"/>
                <w:i w:val="0"/>
                <w:sz w:val="12"/>
              </w:rPr>
              <w:t>57 %</w:t>
            </w:r>
          </w:p>
        </w:tc>
        <w:tc>
          <w:tcPr>
            <w:tcW w:type="dxa" w:w="964"/>
          </w:tcPr>
          <w:p>
            <w:pPr>
              <w:spacing w:after="0"/>
            </w:pPr>
            <w:r>
              <w:rPr>
                <w:b w:val="0"/>
                <w:i w:val="0"/>
                <w:sz w:val="12"/>
              </w:rPr>
              <w:t>100 %</w:t>
            </w:r>
          </w:p>
        </w:tc>
        <w:tc>
          <w:tcPr>
            <w:tcW w:type="dxa" w:w="850"/>
          </w:tcPr>
          <w:p>
            <w:pPr>
              <w:spacing w:after="0"/>
            </w:pPr>
            <w:r>
              <w:rPr>
                <w:b w:val="0"/>
                <w:i w:val="0"/>
                <w:sz w:val="12"/>
              </w:rPr>
              <w:t>1,75</w:t>
            </w:r>
          </w:p>
        </w:tc>
        <w:tc>
          <w:tcPr>
            <w:tcW w:type="dxa" w:w="850"/>
          </w:tcPr>
          <w:p>
            <w:pPr>
              <w:spacing w:after="0"/>
            </w:pPr>
            <w:r>
              <w:rPr>
                <w:b w:val="0"/>
                <w:i w:val="0"/>
                <w:sz w:val="12"/>
              </w:rPr>
              <w:t>100 %</w:t>
            </w:r>
          </w:p>
        </w:tc>
        <w:tc>
          <w:tcPr>
            <w:tcW w:type="dxa" w:w="964"/>
          </w:tcPr>
          <w:p>
            <w:pPr>
              <w:spacing w:after="0"/>
            </w:pPr>
            <w:r>
              <w:rPr>
                <w:b w:val="0"/>
                <w:i w:val="0"/>
                <w:sz w:val="12"/>
              </w:rPr>
              <w:t>1</w:t>
            </w:r>
          </w:p>
        </w:tc>
        <w:tc>
          <w:tcPr>
            <w:tcW w:type="dxa" w:w="1077"/>
          </w:tcPr>
          <w:p>
            <w:pPr>
              <w:spacing w:after="0"/>
            </w:pPr>
            <w:r>
              <w:rPr>
                <w:b w:val="0"/>
                <w:i w:val="0"/>
                <w:sz w:val="12"/>
              </w:rPr>
              <w:t>C</w:t>
            </w:r>
          </w:p>
        </w:tc>
      </w:tr>
      <w:tr>
        <w:tc>
          <w:tcPr>
            <w:tcW w:type="dxa" w:w="2608"/>
            <w:shd w:val="clear" w:color="auto" w:fill="F3F3F1"/>
          </w:tcPr>
          <w:p>
            <w:pPr>
              <w:spacing w:after="0"/>
            </w:pPr>
            <w:r>
              <w:rPr>
                <w:b w:val="0"/>
                <w:i w:val="0"/>
                <w:sz w:val="12"/>
              </w:rPr>
              <w:t>Hévéa – Super-cycle baissier 2011-16</w:t>
            </w:r>
          </w:p>
        </w:tc>
        <w:tc>
          <w:tcPr>
            <w:tcW w:type="dxa" w:w="1077"/>
            <w:shd w:val="clear" w:color="auto" w:fill="F3F3F1"/>
          </w:tcPr>
          <w:p>
            <w:pPr>
              <w:spacing w:after="0"/>
            </w:pPr>
            <w:r>
              <w:rPr>
                <w:b w:val="0"/>
                <w:i w:val="0"/>
                <w:sz w:val="12"/>
              </w:rPr>
              <w:t>Côte d'Ivoire</w:t>
            </w:r>
          </w:p>
        </w:tc>
        <w:tc>
          <w:tcPr>
            <w:tcW w:type="dxa" w:w="680"/>
            <w:shd w:val="clear" w:color="auto" w:fill="F3F3F1"/>
          </w:tcPr>
          <w:p>
            <w:pPr>
              <w:spacing w:after="0"/>
            </w:pPr>
            <w:r>
              <w:rPr>
                <w:b w:val="0"/>
                <w:i w:val="0"/>
                <w:sz w:val="12"/>
              </w:rPr>
              <w:t>baisse</w:t>
            </w:r>
          </w:p>
        </w:tc>
        <w:tc>
          <w:tcPr>
            <w:tcW w:type="dxa" w:w="1077"/>
            <w:shd w:val="clear" w:color="auto" w:fill="F3F3F1"/>
          </w:tcPr>
          <w:p>
            <w:pPr>
              <w:spacing w:after="0"/>
            </w:pPr>
            <w:r>
              <w:rPr>
                <w:b w:val="0"/>
                <w:i w:val="0"/>
                <w:sz w:val="12"/>
              </w:rPr>
              <w:t>−62 %</w:t>
            </w:r>
          </w:p>
        </w:tc>
        <w:tc>
          <w:tcPr>
            <w:tcW w:type="dxa" w:w="964"/>
            <w:shd w:val="clear" w:color="auto" w:fill="F3F3F1"/>
          </w:tcPr>
          <w:p>
            <w:pPr>
              <w:spacing w:after="0"/>
            </w:pPr>
            <w:r>
              <w:rPr>
                <w:b w:val="0"/>
                <w:i w:val="0"/>
                <w:sz w:val="12"/>
              </w:rPr>
              <w:t>−73 %</w:t>
            </w:r>
          </w:p>
        </w:tc>
        <w:tc>
          <w:tcPr>
            <w:tcW w:type="dxa" w:w="850"/>
            <w:shd w:val="clear" w:color="auto" w:fill="F3F3F1"/>
          </w:tcPr>
          <w:p>
            <w:pPr>
              <w:spacing w:after="0"/>
            </w:pPr>
            <w:r>
              <w:rPr>
                <w:b w:val="0"/>
                <w:i w:val="0"/>
                <w:sz w:val="12"/>
              </w:rPr>
              <w:t>1,17</w:t>
            </w:r>
          </w:p>
        </w:tc>
        <w:tc>
          <w:tcPr>
            <w:tcW w:type="dxa" w:w="850"/>
            <w:shd w:val="clear" w:color="auto" w:fill="F3F3F1"/>
          </w:tcPr>
          <w:p>
            <w:pPr>
              <w:spacing w:after="0"/>
            </w:pPr>
            <w:r>
              <w:rPr>
                <w:b w:val="0"/>
                <w:i w:val="0"/>
                <w:sz w:val="12"/>
              </w:rPr>
              <w:t>−47 %</w:t>
            </w:r>
          </w:p>
        </w:tc>
        <w:tc>
          <w:tcPr>
            <w:tcW w:type="dxa" w:w="964"/>
            <w:shd w:val="clear" w:color="auto" w:fill="F3F3F1"/>
          </w:tcPr>
          <w:p>
            <w:pPr>
              <w:spacing w:after="0"/>
            </w:pPr>
            <w:r>
              <w:rPr>
                <w:b w:val="0"/>
                <w:i w:val="0"/>
                <w:sz w:val="12"/>
              </w:rPr>
              <w:t>1</w:t>
            </w:r>
          </w:p>
        </w:tc>
        <w:tc>
          <w:tcPr>
            <w:tcW w:type="dxa" w:w="1077"/>
            <w:shd w:val="clear" w:color="auto" w:fill="F3F3F1"/>
          </w:tcPr>
          <w:p>
            <w:pPr>
              <w:spacing w:after="0"/>
            </w:pPr>
            <w:r>
              <w:rPr>
                <w:b w:val="0"/>
                <w:i w:val="0"/>
                <w:sz w:val="12"/>
              </w:rPr>
              <w:t>C (prix prod.) / B (int.)</w:t>
            </w:r>
          </w:p>
        </w:tc>
      </w:tr>
      <w:tr>
        <w:tc>
          <w:tcPr>
            <w:tcW w:type="dxa" w:w="2608"/>
          </w:tcPr>
          <w:p>
            <w:pPr>
              <w:spacing w:after="0"/>
            </w:pPr>
            <w:r>
              <w:rPr>
                <w:b w:val="0"/>
                <w:i w:val="0"/>
                <w:sz w:val="12"/>
              </w:rPr>
              <w:t>Hévéa – Super-cycle baissier 2011-16</w:t>
            </w:r>
          </w:p>
        </w:tc>
        <w:tc>
          <w:tcPr>
            <w:tcW w:type="dxa" w:w="1077"/>
          </w:tcPr>
          <w:p>
            <w:pPr>
              <w:spacing w:after="0"/>
            </w:pPr>
            <w:r>
              <w:rPr>
                <w:b w:val="0"/>
                <w:i w:val="0"/>
                <w:sz w:val="12"/>
              </w:rPr>
              <w:t>Thaïlande</w:t>
            </w:r>
          </w:p>
        </w:tc>
        <w:tc>
          <w:tcPr>
            <w:tcW w:type="dxa" w:w="680"/>
          </w:tcPr>
          <w:p>
            <w:pPr>
              <w:spacing w:after="0"/>
            </w:pPr>
            <w:r>
              <w:rPr>
                <w:b w:val="0"/>
                <w:i w:val="0"/>
                <w:sz w:val="12"/>
              </w:rPr>
              <w:t>baisse</w:t>
            </w:r>
          </w:p>
        </w:tc>
        <w:tc>
          <w:tcPr>
            <w:tcW w:type="dxa" w:w="1077"/>
          </w:tcPr>
          <w:p>
            <w:pPr>
              <w:spacing w:after="0"/>
            </w:pPr>
            <w:r>
              <w:rPr>
                <w:b w:val="0"/>
                <w:i w:val="0"/>
                <w:sz w:val="12"/>
              </w:rPr>
              <w:t>−65 %</w:t>
            </w:r>
          </w:p>
        </w:tc>
        <w:tc>
          <w:tcPr>
            <w:tcW w:type="dxa" w:w="964"/>
          </w:tcPr>
          <w:p>
            <w:pPr>
              <w:spacing w:after="0"/>
            </w:pPr>
            <w:r>
              <w:rPr>
                <w:b w:val="0"/>
                <w:i w:val="0"/>
                <w:sz w:val="12"/>
              </w:rPr>
              <w:t>−68 %</w:t>
            </w:r>
          </w:p>
        </w:tc>
        <w:tc>
          <w:tcPr>
            <w:tcW w:type="dxa" w:w="850"/>
          </w:tcPr>
          <w:p>
            <w:pPr>
              <w:spacing w:after="0"/>
            </w:pPr>
            <w:r>
              <w:rPr>
                <w:b w:val="0"/>
                <w:i w:val="0"/>
                <w:sz w:val="12"/>
              </w:rPr>
              <w:t>1,05</w:t>
            </w:r>
          </w:p>
        </w:tc>
        <w:tc>
          <w:tcPr>
            <w:tcW w:type="dxa" w:w="850"/>
          </w:tcPr>
          <w:p>
            <w:pPr>
              <w:spacing w:after="0"/>
            </w:pPr>
            <w:r>
              <w:rPr>
                <w:b w:val="0"/>
                <w:i w:val="0"/>
                <w:sz w:val="12"/>
              </w:rPr>
              <w:t>−60 %</w:t>
            </w:r>
          </w:p>
        </w:tc>
        <w:tc>
          <w:tcPr>
            <w:tcW w:type="dxa" w:w="964"/>
          </w:tcPr>
          <w:p>
            <w:pPr>
              <w:spacing w:after="0"/>
            </w:pPr>
            <w:r>
              <w:rPr>
                <w:b w:val="0"/>
                <w:i w:val="0"/>
                <w:sz w:val="12"/>
              </w:rPr>
              <w:t>0</w:t>
            </w:r>
          </w:p>
        </w:tc>
        <w:tc>
          <w:tcPr>
            <w:tcW w:type="dxa" w:w="1077"/>
          </w:tcPr>
          <w:p>
            <w:pPr>
              <w:spacing w:after="0"/>
            </w:pPr>
            <w:r>
              <w:rPr>
                <w:b w:val="0"/>
                <w:i w:val="0"/>
                <w:sz w:val="12"/>
              </w:rPr>
              <w:t>B/C</w:t>
            </w:r>
          </w:p>
        </w:tc>
      </w:tr>
      <w:tr>
        <w:tc>
          <w:tcPr>
            <w:tcW w:type="dxa" w:w="2608"/>
            <w:shd w:val="clear" w:color="auto" w:fill="F3F3F1"/>
          </w:tcPr>
          <w:p>
            <w:pPr>
              <w:spacing w:after="0"/>
            </w:pPr>
            <w:r>
              <w:rPr>
                <w:b w:val="0"/>
                <w:i w:val="0"/>
                <w:sz w:val="12"/>
              </w:rPr>
              <w:t>Hévéa – Remontée 2026</w:t>
            </w:r>
          </w:p>
        </w:tc>
        <w:tc>
          <w:tcPr>
            <w:tcW w:type="dxa" w:w="1077"/>
            <w:shd w:val="clear" w:color="auto" w:fill="F3F3F1"/>
          </w:tcPr>
          <w:p>
            <w:pPr>
              <w:spacing w:after="0"/>
            </w:pPr>
            <w:r>
              <w:rPr>
                <w:b w:val="0"/>
                <w:i w:val="0"/>
                <w:sz w:val="12"/>
              </w:rPr>
              <w:t>Côte d'Ivoire</w:t>
            </w:r>
          </w:p>
        </w:tc>
        <w:tc>
          <w:tcPr>
            <w:tcW w:type="dxa" w:w="680"/>
            <w:shd w:val="clear" w:color="auto" w:fill="F3F3F1"/>
          </w:tcPr>
          <w:p>
            <w:pPr>
              <w:spacing w:after="0"/>
            </w:pPr>
            <w:r>
              <w:rPr>
                <w:b w:val="0"/>
                <w:i w:val="0"/>
                <w:sz w:val="12"/>
              </w:rPr>
              <w:t>hausse</w:t>
            </w:r>
          </w:p>
        </w:tc>
        <w:tc>
          <w:tcPr>
            <w:tcW w:type="dxa" w:w="1077"/>
            <w:shd w:val="clear" w:color="auto" w:fill="F3F3F1"/>
          </w:tcPr>
          <w:p>
            <w:pPr>
              <w:spacing w:after="0"/>
            </w:pPr>
            <w:r>
              <w:rPr>
                <w:b w:val="0"/>
                <w:i w:val="0"/>
                <w:sz w:val="12"/>
              </w:rPr>
              <w:t>12 %</w:t>
            </w:r>
          </w:p>
        </w:tc>
        <w:tc>
          <w:tcPr>
            <w:tcW w:type="dxa" w:w="964"/>
            <w:shd w:val="clear" w:color="auto" w:fill="F3F3F1"/>
          </w:tcPr>
          <w:p>
            <w:pPr>
              <w:spacing w:after="0"/>
            </w:pPr>
            <w:r>
              <w:rPr>
                <w:b w:val="0"/>
                <w:i w:val="0"/>
                <w:sz w:val="12"/>
              </w:rPr>
              <w:t>23 %</w:t>
            </w:r>
          </w:p>
        </w:tc>
        <w:tc>
          <w:tcPr>
            <w:tcW w:type="dxa" w:w="850"/>
            <w:shd w:val="clear" w:color="auto" w:fill="F3F3F1"/>
          </w:tcPr>
          <w:p>
            <w:pPr>
              <w:spacing w:after="0"/>
            </w:pPr>
            <w:r>
              <w:rPr>
                <w:b w:val="0"/>
                <w:i w:val="0"/>
                <w:sz w:val="12"/>
              </w:rPr>
              <w:t>1,89</w:t>
            </w:r>
          </w:p>
        </w:tc>
        <w:tc>
          <w:tcPr>
            <w:tcW w:type="dxa" w:w="850"/>
            <w:shd w:val="clear" w:color="auto" w:fill="F3F3F1"/>
          </w:tcPr>
          <w:p>
            <w:pPr>
              <w:spacing w:after="0"/>
            </w:pPr>
            <w:r>
              <w:rPr>
                <w:b w:val="0"/>
                <w:i w:val="0"/>
                <w:sz w:val="12"/>
              </w:rPr>
              <w:t>23 %</w:t>
            </w:r>
          </w:p>
        </w:tc>
        <w:tc>
          <w:tcPr>
            <w:tcW w:type="dxa" w:w="964"/>
            <w:shd w:val="clear" w:color="auto" w:fill="F3F3F1"/>
          </w:tcPr>
          <w:p>
            <w:pPr>
              <w:spacing w:after="0"/>
            </w:pPr>
            <w:r>
              <w:rPr>
                <w:b w:val="0"/>
                <w:i w:val="0"/>
                <w:sz w:val="12"/>
              </w:rPr>
              <w:t>1</w:t>
            </w:r>
          </w:p>
        </w:tc>
        <w:tc>
          <w:tcPr>
            <w:tcW w:type="dxa" w:w="1077"/>
            <w:shd w:val="clear" w:color="auto" w:fill="F3F3F1"/>
          </w:tcPr>
          <w:p>
            <w:pPr>
              <w:spacing w:after="0"/>
            </w:pPr>
            <w:r>
              <w:rPr>
                <w:b w:val="0"/>
                <w:i w:val="0"/>
                <w:sz w:val="12"/>
              </w:rPr>
              <w:t>A (prix prod.) / C (int.)</w:t>
            </w:r>
          </w:p>
        </w:tc>
      </w:tr>
      <w:tr>
        <w:tc>
          <w:tcPr>
            <w:tcW w:type="dxa" w:w="2608"/>
          </w:tcPr>
          <w:p>
            <w:pPr>
              <w:spacing w:after="0"/>
            </w:pPr>
            <w:r>
              <w:rPr>
                <w:b w:val="0"/>
                <w:i w:val="0"/>
                <w:sz w:val="12"/>
              </w:rPr>
              <w:t>Palmier à huile – Retournement 2022</w:t>
            </w:r>
          </w:p>
        </w:tc>
        <w:tc>
          <w:tcPr>
            <w:tcW w:type="dxa" w:w="1077"/>
          </w:tcPr>
          <w:p>
            <w:pPr>
              <w:spacing w:after="0"/>
            </w:pPr>
            <w:r>
              <w:rPr>
                <w:b w:val="0"/>
                <w:i w:val="0"/>
                <w:sz w:val="12"/>
              </w:rPr>
              <w:t>Côte d'Ivoire</w:t>
            </w:r>
          </w:p>
        </w:tc>
        <w:tc>
          <w:tcPr>
            <w:tcW w:type="dxa" w:w="680"/>
          </w:tcPr>
          <w:p>
            <w:pPr>
              <w:spacing w:after="0"/>
            </w:pPr>
            <w:r>
              <w:rPr>
                <w:b w:val="0"/>
                <w:i w:val="0"/>
                <w:sz w:val="12"/>
              </w:rPr>
              <w:t>baisse</w:t>
            </w:r>
          </w:p>
        </w:tc>
        <w:tc>
          <w:tcPr>
            <w:tcW w:type="dxa" w:w="1077"/>
          </w:tcPr>
          <w:p>
            <w:pPr>
              <w:spacing w:after="0"/>
            </w:pPr>
            <w:r>
              <w:rPr>
                <w:b w:val="0"/>
                <w:i w:val="0"/>
                <w:sz w:val="12"/>
              </w:rPr>
              <w:t>−45 %</w:t>
            </w:r>
          </w:p>
        </w:tc>
        <w:tc>
          <w:tcPr>
            <w:tcW w:type="dxa" w:w="964"/>
          </w:tcPr>
          <w:p>
            <w:pPr>
              <w:spacing w:after="0"/>
            </w:pPr>
            <w:r>
              <w:rPr>
                <w:b w:val="0"/>
                <w:i w:val="0"/>
                <w:sz w:val="12"/>
              </w:rPr>
              <w:t>−33 %</w:t>
            </w:r>
          </w:p>
        </w:tc>
        <w:tc>
          <w:tcPr>
            <w:tcW w:type="dxa" w:w="850"/>
          </w:tcPr>
          <w:p>
            <w:pPr>
              <w:spacing w:after="0"/>
            </w:pPr>
            <w:r>
              <w:rPr>
                <w:b w:val="0"/>
                <w:i w:val="0"/>
                <w:sz w:val="12"/>
              </w:rPr>
              <w:t>0,74</w:t>
            </w:r>
          </w:p>
        </w:tc>
        <w:tc>
          <w:tcPr>
            <w:tcW w:type="dxa" w:w="850"/>
          </w:tcPr>
          <w:p>
            <w:pPr>
              <w:spacing w:after="0"/>
            </w:pPr>
            <w:r>
              <w:rPr>
                <w:b w:val="0"/>
                <w:i w:val="0"/>
                <w:sz w:val="12"/>
              </w:rPr>
              <w:t>−33 %</w:t>
            </w:r>
          </w:p>
        </w:tc>
        <w:tc>
          <w:tcPr>
            <w:tcW w:type="dxa" w:w="964"/>
          </w:tcPr>
          <w:p>
            <w:pPr>
              <w:spacing w:after="0"/>
            </w:pPr>
            <w:r>
              <w:rPr>
                <w:b w:val="0"/>
                <w:i w:val="0"/>
                <w:sz w:val="12"/>
              </w:rPr>
              <w:t>1</w:t>
            </w:r>
          </w:p>
        </w:tc>
        <w:tc>
          <w:tcPr>
            <w:tcW w:type="dxa" w:w="1077"/>
          </w:tcPr>
          <w:p>
            <w:pPr>
              <w:spacing w:after="0"/>
            </w:pPr>
            <w:r>
              <w:rPr>
                <w:b w:val="0"/>
                <w:i w:val="0"/>
                <w:sz w:val="12"/>
              </w:rPr>
              <w:t>C</w:t>
            </w:r>
          </w:p>
        </w:tc>
      </w:tr>
      <w:tr>
        <w:tc>
          <w:tcPr>
            <w:tcW w:type="dxa" w:w="2608"/>
            <w:shd w:val="clear" w:color="auto" w:fill="F3F3F1"/>
          </w:tcPr>
          <w:p>
            <w:pPr>
              <w:spacing w:after="0"/>
            </w:pPr>
            <w:r>
              <w:rPr>
                <w:b w:val="0"/>
                <w:i w:val="0"/>
                <w:sz w:val="12"/>
              </w:rPr>
              <w:t>Palmier à huile – Retournement 2022</w:t>
            </w:r>
          </w:p>
        </w:tc>
        <w:tc>
          <w:tcPr>
            <w:tcW w:type="dxa" w:w="1077"/>
            <w:shd w:val="clear" w:color="auto" w:fill="F3F3F1"/>
          </w:tcPr>
          <w:p>
            <w:pPr>
              <w:spacing w:after="0"/>
            </w:pPr>
            <w:r>
              <w:rPr>
                <w:b w:val="0"/>
                <w:i w:val="0"/>
                <w:sz w:val="12"/>
              </w:rPr>
              <w:t>Indonésie</w:t>
            </w:r>
          </w:p>
        </w:tc>
        <w:tc>
          <w:tcPr>
            <w:tcW w:type="dxa" w:w="680"/>
            <w:shd w:val="clear" w:color="auto" w:fill="F3F3F1"/>
          </w:tcPr>
          <w:p>
            <w:pPr>
              <w:spacing w:after="0"/>
            </w:pPr>
            <w:r>
              <w:rPr>
                <w:b w:val="0"/>
                <w:i w:val="0"/>
                <w:sz w:val="12"/>
              </w:rPr>
              <w:t>baisse</w:t>
            </w:r>
          </w:p>
        </w:tc>
        <w:tc>
          <w:tcPr>
            <w:tcW w:type="dxa" w:w="1077"/>
            <w:shd w:val="clear" w:color="auto" w:fill="F3F3F1"/>
          </w:tcPr>
          <w:p>
            <w:pPr>
              <w:spacing w:after="0"/>
            </w:pPr>
            <w:r>
              <w:rPr>
                <w:b w:val="0"/>
                <w:i w:val="0"/>
                <w:sz w:val="12"/>
              </w:rPr>
              <w:t>−39 %</w:t>
            </w:r>
          </w:p>
        </w:tc>
        <w:tc>
          <w:tcPr>
            <w:tcW w:type="dxa" w:w="964"/>
            <w:shd w:val="clear" w:color="auto" w:fill="F3F3F1"/>
          </w:tcPr>
          <w:p>
            <w:pPr>
              <w:spacing w:after="0"/>
            </w:pPr>
            <w:r>
              <w:rPr>
                <w:b w:val="0"/>
                <w:i w:val="0"/>
                <w:sz w:val="12"/>
              </w:rPr>
              <w:t>−58 %</w:t>
            </w:r>
          </w:p>
        </w:tc>
        <w:tc>
          <w:tcPr>
            <w:tcW w:type="dxa" w:w="850"/>
            <w:shd w:val="clear" w:color="auto" w:fill="F3F3F1"/>
          </w:tcPr>
          <w:p>
            <w:pPr>
              <w:spacing w:after="0"/>
            </w:pPr>
            <w:r>
              <w:rPr>
                <w:b w:val="0"/>
                <w:i w:val="0"/>
                <w:sz w:val="12"/>
              </w:rPr>
              <w:t>1,50</w:t>
            </w:r>
          </w:p>
        </w:tc>
        <w:tc>
          <w:tcPr>
            <w:tcW w:type="dxa" w:w="850"/>
            <w:shd w:val="clear" w:color="auto" w:fill="F3F3F1"/>
          </w:tcPr>
          <w:p>
            <w:pPr>
              <w:spacing w:after="0"/>
            </w:pPr>
            <w:r>
              <w:rPr>
                <w:b w:val="0"/>
                <w:i w:val="0"/>
                <w:sz w:val="12"/>
              </w:rPr>
              <w:t>−58 %</w:t>
            </w:r>
          </w:p>
        </w:tc>
        <w:tc>
          <w:tcPr>
            <w:tcW w:type="dxa" w:w="964"/>
            <w:shd w:val="clear" w:color="auto" w:fill="F3F3F1"/>
          </w:tcPr>
          <w:p>
            <w:pPr>
              <w:spacing w:after="0"/>
            </w:pPr>
            <w:r>
              <w:rPr>
                <w:b w:val="0"/>
                <w:i w:val="0"/>
                <w:sz w:val="12"/>
              </w:rPr>
              <w:t>1</w:t>
            </w:r>
          </w:p>
        </w:tc>
        <w:tc>
          <w:tcPr>
            <w:tcW w:type="dxa" w:w="1077"/>
            <w:shd w:val="clear" w:color="auto" w:fill="F3F3F1"/>
          </w:tcPr>
          <w:p>
            <w:pPr>
              <w:spacing w:after="0"/>
            </w:pPr>
            <w:r>
              <w:rPr>
                <w:b w:val="0"/>
                <w:i w:val="0"/>
                <w:sz w:val="12"/>
              </w:rPr>
              <w:t>C</w:t>
            </w:r>
          </w:p>
        </w:tc>
      </w:tr>
      <w:tr>
        <w:tc>
          <w:tcPr>
            <w:tcW w:type="dxa" w:w="2608"/>
          </w:tcPr>
          <w:p>
            <w:pPr>
              <w:spacing w:after="0"/>
            </w:pPr>
            <w:r>
              <w:rPr>
                <w:b w:val="0"/>
                <w:i w:val="0"/>
                <w:sz w:val="12"/>
              </w:rPr>
              <w:t>Riz (importé) – Restrictions indiennes 2023</w:t>
            </w:r>
          </w:p>
        </w:tc>
        <w:tc>
          <w:tcPr>
            <w:tcW w:type="dxa" w:w="1077"/>
          </w:tcPr>
          <w:p>
            <w:pPr>
              <w:spacing w:after="0"/>
            </w:pPr>
            <w:r>
              <w:rPr>
                <w:b w:val="0"/>
                <w:i w:val="0"/>
                <w:sz w:val="12"/>
              </w:rPr>
              <w:t>Côte d'Ivoire</w:t>
            </w:r>
          </w:p>
        </w:tc>
        <w:tc>
          <w:tcPr>
            <w:tcW w:type="dxa" w:w="680"/>
          </w:tcPr>
          <w:p>
            <w:pPr>
              <w:spacing w:after="0"/>
            </w:pPr>
            <w:r>
              <w:rPr>
                <w:b w:val="0"/>
                <w:i w:val="0"/>
                <w:sz w:val="12"/>
              </w:rPr>
              <w:t>hausse</w:t>
            </w:r>
          </w:p>
        </w:tc>
        <w:tc>
          <w:tcPr>
            <w:tcW w:type="dxa" w:w="1077"/>
          </w:tcPr>
          <w:p>
            <w:pPr>
              <w:spacing w:after="0"/>
            </w:pPr>
            <w:r>
              <w:rPr>
                <w:b w:val="0"/>
                <w:i w:val="0"/>
                <w:sz w:val="12"/>
              </w:rPr>
              <w:t>28 %</w:t>
            </w:r>
          </w:p>
        </w:tc>
        <w:tc>
          <w:tcPr>
            <w:tcW w:type="dxa" w:w="964"/>
          </w:tcPr>
          <w:p>
            <w:pPr>
              <w:spacing w:after="0"/>
            </w:pPr>
            <w:r>
              <w:rPr>
                <w:b w:val="0"/>
                <w:i w:val="0"/>
                <w:sz w:val="12"/>
              </w:rPr>
              <w:t>12 %</w:t>
            </w:r>
          </w:p>
        </w:tc>
        <w:tc>
          <w:tcPr>
            <w:tcW w:type="dxa" w:w="850"/>
          </w:tcPr>
          <w:p>
            <w:pPr>
              <w:spacing w:after="0"/>
            </w:pPr>
            <w:r>
              <w:rPr>
                <w:b w:val="0"/>
                <w:i w:val="0"/>
                <w:sz w:val="12"/>
              </w:rPr>
              <w:t>0,42</w:t>
            </w:r>
          </w:p>
        </w:tc>
        <w:tc>
          <w:tcPr>
            <w:tcW w:type="dxa" w:w="850"/>
          </w:tcPr>
          <w:p>
            <w:pPr>
              <w:spacing w:after="0"/>
            </w:pPr>
            <w:r>
              <w:rPr>
                <w:b w:val="0"/>
                <w:i w:val="0"/>
                <w:sz w:val="12"/>
              </w:rPr>
              <w:t>12 %</w:t>
            </w:r>
          </w:p>
        </w:tc>
        <w:tc>
          <w:tcPr>
            <w:tcW w:type="dxa" w:w="964"/>
          </w:tcPr>
          <w:p>
            <w:pPr>
              <w:spacing w:after="0"/>
            </w:pPr>
            <w:r>
              <w:rPr>
                <w:b w:val="0"/>
                <w:i w:val="0"/>
                <w:sz w:val="12"/>
              </w:rPr>
              <w:t>2</w:t>
            </w:r>
          </w:p>
        </w:tc>
        <w:tc>
          <w:tcPr>
            <w:tcW w:type="dxa" w:w="1077"/>
          </w:tcPr>
          <w:p>
            <w:pPr>
              <w:spacing w:after="0"/>
            </w:pPr>
            <w:r>
              <w:rPr>
                <w:b w:val="0"/>
                <w:i w:val="0"/>
                <w:sz w:val="12"/>
              </w:rPr>
              <w:t>C</w:t>
            </w:r>
          </w:p>
        </w:tc>
      </w:tr>
    </w:tbl>
    <w:p>
      <w:pPr>
        <w:spacing w:after="20"/>
      </w:pPr>
    </w:p>
    <w:p>
      <w:pPr>
        <w:spacing w:after="40"/>
      </w:pPr>
      <w:r>
        <w:rPr>
          <w:b w:val="0"/>
          <w:i w:val="0"/>
          <w:sz w:val="13"/>
        </w:rPr>
        <w:t>Lecture : β &gt; 1 = le prix producteur baisse plus que le prix mondial (marges fixes, défaut du plancher, mesures commerciales). β = 0 = prix gelé, la charge est portée par une autre partie. Les β calculés sur les moyennes annuelles (onglet INDICATEURS) sont plus faibles, car ils mesurent la transmission de la même campagne, avant l'ajustement retardé.</w:t>
      </w:r>
    </w:p>
    <w:p>
      <w:pPr>
        <w:pStyle w:val="Heading1"/>
      </w:pPr>
      <w:r>
        <w:t>Annexe C – Revue de littérature (synthèse)</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3061"/>
        <w:gridCol w:w="1474"/>
        <w:gridCol w:w="2948"/>
        <w:gridCol w:w="2721"/>
      </w:tblGrid>
      <w:tr>
        <w:tc>
          <w:tcPr>
            <w:tcW w:type="dxa" w:w="3061"/>
            <w:shd w:val="clear" w:color="auto" w:fill="1F4E3D"/>
          </w:tcPr>
          <w:p>
            <w:pPr>
              <w:spacing w:after="0"/>
            </w:pPr>
            <w:r>
              <w:rPr>
                <w:b/>
                <w:i w:val="0"/>
                <w:color w:val="FFFFFF"/>
                <w:sz w:val="12"/>
              </w:rPr>
              <w:t>Référence</w:t>
            </w:r>
          </w:p>
        </w:tc>
        <w:tc>
          <w:tcPr>
            <w:tcW w:type="dxa" w:w="1474"/>
            <w:shd w:val="clear" w:color="auto" w:fill="1F4E3D"/>
          </w:tcPr>
          <w:p>
            <w:pPr>
              <w:spacing w:after="0"/>
            </w:pPr>
            <w:r>
              <w:rPr>
                <w:b/>
                <w:i w:val="0"/>
                <w:color w:val="FFFFFF"/>
                <w:sz w:val="12"/>
              </w:rPr>
              <w:t>Instrument</w:t>
            </w:r>
          </w:p>
        </w:tc>
        <w:tc>
          <w:tcPr>
            <w:tcW w:type="dxa" w:w="2948"/>
            <w:shd w:val="clear" w:color="auto" w:fill="1F4E3D"/>
          </w:tcPr>
          <w:p>
            <w:pPr>
              <w:spacing w:after="0"/>
            </w:pPr>
            <w:r>
              <w:rPr>
                <w:b/>
                <w:i w:val="0"/>
                <w:color w:val="FFFFFF"/>
                <w:sz w:val="12"/>
              </w:rPr>
              <w:t>Résultat</w:t>
            </w:r>
          </w:p>
        </w:tc>
        <w:tc>
          <w:tcPr>
            <w:tcW w:type="dxa" w:w="2721"/>
            <w:shd w:val="clear" w:color="auto" w:fill="1F4E3D"/>
          </w:tcPr>
          <w:p>
            <w:pPr>
              <w:spacing w:after="0"/>
            </w:pPr>
            <w:r>
              <w:rPr>
                <w:b/>
                <w:i w:val="0"/>
                <w:color w:val="FFFFFF"/>
                <w:sz w:val="12"/>
              </w:rPr>
              <w:t>Enseignement pour la CI</w:t>
            </w:r>
          </w:p>
        </w:tc>
      </w:tr>
      <w:tr>
        <w:tc>
          <w:tcPr>
            <w:tcW w:type="dxa" w:w="3061"/>
          </w:tcPr>
          <w:p>
            <w:pPr>
              <w:spacing w:after="0"/>
            </w:pPr>
            <w:r>
              <w:rPr>
                <w:b w:val="0"/>
                <w:i w:val="0"/>
                <w:sz w:val="12"/>
              </w:rPr>
              <w:t>Newbery &amp; Stiglitz (1981), The Theory of Commodity Price Stabilization, Oxford UP</w:t>
            </w:r>
          </w:p>
        </w:tc>
        <w:tc>
          <w:tcPr>
            <w:tcW w:type="dxa" w:w="1474"/>
          </w:tcPr>
          <w:p>
            <w:pPr>
              <w:spacing w:after="0"/>
            </w:pPr>
            <w:r>
              <w:rPr>
                <w:b w:val="0"/>
                <w:i w:val="0"/>
                <w:sz w:val="12"/>
              </w:rPr>
              <w:t>Stabilisation des prix</w:t>
            </w:r>
          </w:p>
        </w:tc>
        <w:tc>
          <w:tcPr>
            <w:tcW w:type="dxa" w:w="2948"/>
          </w:tcPr>
          <w:p>
            <w:pPr>
              <w:spacing w:after="0"/>
            </w:pPr>
            <w:r>
              <w:rPr>
                <w:b w:val="0"/>
                <w:i w:val="0"/>
                <w:sz w:val="12"/>
              </w:rPr>
              <w:t>Gains de bien-être de la stabilisation des prix faibles ; c'est l'instabilité du revenu qui compte</w:t>
            </w:r>
          </w:p>
        </w:tc>
        <w:tc>
          <w:tcPr>
            <w:tcW w:type="dxa" w:w="2721"/>
          </w:tcPr>
          <w:p>
            <w:pPr>
              <w:spacing w:after="0"/>
            </w:pPr>
            <w:r>
              <w:rPr>
                <w:b w:val="0"/>
                <w:i w:val="0"/>
                <w:sz w:val="12"/>
              </w:rPr>
              <w:t>Cibler la recette/le revenu plutôt que le prix</w:t>
            </w:r>
          </w:p>
        </w:tc>
      </w:tr>
      <w:tr>
        <w:tc>
          <w:tcPr>
            <w:tcW w:type="dxa" w:w="3061"/>
            <w:shd w:val="clear" w:color="auto" w:fill="F3F3F1"/>
          </w:tcPr>
          <w:p>
            <w:pPr>
              <w:spacing w:after="0"/>
            </w:pPr>
            <w:r>
              <w:rPr>
                <w:b w:val="0"/>
                <w:i w:val="0"/>
                <w:sz w:val="12"/>
              </w:rPr>
              <w:t>Deaton &amp; Laroque (1992), Review of Economic Studies 59(1)</w:t>
            </w:r>
          </w:p>
        </w:tc>
        <w:tc>
          <w:tcPr>
            <w:tcW w:type="dxa" w:w="1474"/>
            <w:shd w:val="clear" w:color="auto" w:fill="F3F3F1"/>
          </w:tcPr>
          <w:p>
            <w:pPr>
              <w:spacing w:after="0"/>
            </w:pPr>
            <w:r>
              <w:rPr>
                <w:b w:val="0"/>
                <w:i w:val="0"/>
                <w:sz w:val="12"/>
              </w:rPr>
              <w:t>Stocks régulateurs</w:t>
            </w:r>
          </w:p>
        </w:tc>
        <w:tc>
          <w:tcPr>
            <w:tcW w:type="dxa" w:w="2948"/>
            <w:shd w:val="clear" w:color="auto" w:fill="F3F3F1"/>
          </w:tcPr>
          <w:p>
            <w:pPr>
              <w:spacing w:after="0"/>
            </w:pPr>
            <w:r>
              <w:rPr>
                <w:b w:val="0"/>
                <w:i w:val="0"/>
                <w:sz w:val="12"/>
              </w:rPr>
              <w:t>Les prix des matières premières ont de longues périodes de calme et des pics : les stocks s'épuisent</w:t>
            </w:r>
          </w:p>
        </w:tc>
        <w:tc>
          <w:tcPr>
            <w:tcW w:type="dxa" w:w="2721"/>
            <w:shd w:val="clear" w:color="auto" w:fill="F3F3F1"/>
          </w:tcPr>
          <w:p>
            <w:pPr>
              <w:spacing w:after="0"/>
            </w:pPr>
            <w:r>
              <w:rPr>
                <w:b w:val="0"/>
                <w:i w:val="0"/>
                <w:sz w:val="12"/>
              </w:rPr>
              <w:t>Un fonds doit être dimensionné pour des chocs longs</w:t>
            </w:r>
          </w:p>
        </w:tc>
      </w:tr>
      <w:tr>
        <w:tc>
          <w:tcPr>
            <w:tcW w:type="dxa" w:w="3061"/>
          </w:tcPr>
          <w:p>
            <w:pPr>
              <w:spacing w:after="0"/>
            </w:pPr>
            <w:r>
              <w:rPr>
                <w:b w:val="0"/>
                <w:i w:val="0"/>
                <w:sz w:val="12"/>
              </w:rPr>
              <w:t>Cashin, Liang &amp; McDermott (2000), IMF Staff Papers 47(2)</w:t>
            </w:r>
          </w:p>
        </w:tc>
        <w:tc>
          <w:tcPr>
            <w:tcW w:type="dxa" w:w="1474"/>
          </w:tcPr>
          <w:p>
            <w:pPr>
              <w:spacing w:after="0"/>
            </w:pPr>
            <w:r>
              <w:rPr>
                <w:b w:val="0"/>
                <w:i w:val="0"/>
                <w:sz w:val="12"/>
              </w:rPr>
              <w:t>Fonds de stabilisation</w:t>
            </w:r>
          </w:p>
        </w:tc>
        <w:tc>
          <w:tcPr>
            <w:tcW w:type="dxa" w:w="2948"/>
          </w:tcPr>
          <w:p>
            <w:pPr>
              <w:spacing w:after="0"/>
            </w:pPr>
            <w:r>
              <w:rPr>
                <w:b w:val="0"/>
                <w:i w:val="0"/>
                <w:sz w:val="12"/>
              </w:rPr>
              <w:t>Les chocs de prix sont très persistants (plusieurs années) pour de nombreuses matières premières</w:t>
            </w:r>
          </w:p>
        </w:tc>
        <w:tc>
          <w:tcPr>
            <w:tcW w:type="dxa" w:w="2721"/>
          </w:tcPr>
          <w:p>
            <w:pPr>
              <w:spacing w:after="0"/>
            </w:pPr>
            <w:r>
              <w:rPr>
                <w:b w:val="0"/>
                <w:i w:val="0"/>
                <w:sz w:val="12"/>
              </w:rPr>
              <w:t>Une règle de décaissement doit supposer que le choc peut durer &gt;= 2 campagnes</w:t>
            </w:r>
          </w:p>
        </w:tc>
      </w:tr>
      <w:tr>
        <w:tc>
          <w:tcPr>
            <w:tcW w:type="dxa" w:w="3061"/>
            <w:shd w:val="clear" w:color="auto" w:fill="F3F3F1"/>
          </w:tcPr>
          <w:p>
            <w:pPr>
              <w:spacing w:after="0"/>
            </w:pPr>
            <w:r>
              <w:rPr>
                <w:b w:val="0"/>
                <w:i w:val="0"/>
                <w:sz w:val="12"/>
              </w:rPr>
              <w:t>Deaton (1999), Journal of Economic Perspectives 13(3)</w:t>
            </w:r>
          </w:p>
        </w:tc>
        <w:tc>
          <w:tcPr>
            <w:tcW w:type="dxa" w:w="1474"/>
            <w:shd w:val="clear" w:color="auto" w:fill="F3F3F1"/>
          </w:tcPr>
          <w:p>
            <w:pPr>
              <w:spacing w:after="0"/>
            </w:pPr>
            <w:r>
              <w:rPr>
                <w:b w:val="0"/>
                <w:i w:val="0"/>
                <w:sz w:val="12"/>
              </w:rPr>
              <w:t>Offices de commercialisation</w:t>
            </w:r>
          </w:p>
        </w:tc>
        <w:tc>
          <w:tcPr>
            <w:tcW w:type="dxa" w:w="2948"/>
            <w:shd w:val="clear" w:color="auto" w:fill="F3F3F1"/>
          </w:tcPr>
          <w:p>
            <w:pPr>
              <w:spacing w:after="0"/>
            </w:pPr>
            <w:r>
              <w:rPr>
                <w:b w:val="0"/>
                <w:i w:val="0"/>
                <w:sz w:val="12"/>
              </w:rPr>
              <w:t>Les offices ont souvent capté les hausses et transmis les baisses</w:t>
            </w:r>
          </w:p>
        </w:tc>
        <w:tc>
          <w:tcPr>
            <w:tcW w:type="dxa" w:w="2721"/>
            <w:shd w:val="clear" w:color="auto" w:fill="F3F3F1"/>
          </w:tcPr>
          <w:p>
            <w:pPr>
              <w:spacing w:after="0"/>
            </w:pPr>
            <w:r>
              <w:rPr>
                <w:b w:val="0"/>
                <w:i w:val="0"/>
                <w:sz w:val="12"/>
              </w:rPr>
              <w:t>Règle de partage transparente des hausses</w:t>
            </w:r>
          </w:p>
        </w:tc>
      </w:tr>
      <w:tr>
        <w:tc>
          <w:tcPr>
            <w:tcW w:type="dxa" w:w="3061"/>
          </w:tcPr>
          <w:p>
            <w:pPr>
              <w:spacing w:after="0"/>
            </w:pPr>
            <w:r>
              <w:rPr>
                <w:b w:val="0"/>
                <w:i w:val="0"/>
                <w:sz w:val="12"/>
              </w:rPr>
              <w:t>Varangis &amp; Larson (1996), WB Policy Research WP 1667</w:t>
            </w:r>
          </w:p>
        </w:tc>
        <w:tc>
          <w:tcPr>
            <w:tcW w:type="dxa" w:w="1474"/>
          </w:tcPr>
          <w:p>
            <w:pPr>
              <w:spacing w:after="0"/>
            </w:pPr>
            <w:r>
              <w:rPr>
                <w:b w:val="0"/>
                <w:i w:val="0"/>
                <w:sz w:val="12"/>
              </w:rPr>
              <w:t>Couverture (futures/options)</w:t>
            </w:r>
          </w:p>
        </w:tc>
        <w:tc>
          <w:tcPr>
            <w:tcW w:type="dxa" w:w="2948"/>
          </w:tcPr>
          <w:p>
            <w:pPr>
              <w:spacing w:after="0"/>
            </w:pPr>
            <w:r>
              <w:rPr>
                <w:b w:val="0"/>
                <w:i w:val="0"/>
                <w:sz w:val="12"/>
              </w:rPr>
              <w:t>Les instruments de marché sont moins coûteux que les fonds pour les risques de court terme</w:t>
            </w:r>
          </w:p>
        </w:tc>
        <w:tc>
          <w:tcPr>
            <w:tcW w:type="dxa" w:w="2721"/>
          </w:tcPr>
          <w:p>
            <w:pPr>
              <w:spacing w:after="0"/>
            </w:pPr>
            <w:r>
              <w:rPr>
                <w:b w:val="0"/>
                <w:i w:val="0"/>
                <w:sz w:val="12"/>
              </w:rPr>
              <w:t>Options put sur une partie des ventes anticipées</w:t>
            </w:r>
          </w:p>
        </w:tc>
      </w:tr>
      <w:tr>
        <w:tc>
          <w:tcPr>
            <w:tcW w:type="dxa" w:w="3061"/>
            <w:shd w:val="clear" w:color="auto" w:fill="F3F3F1"/>
          </w:tcPr>
          <w:p>
            <w:pPr>
              <w:spacing w:after="0"/>
            </w:pPr>
            <w:r>
              <w:rPr>
                <w:b w:val="0"/>
                <w:i w:val="0"/>
                <w:sz w:val="12"/>
              </w:rPr>
              <w:t>Borensztein, Jeanne &amp; Sandri (2013), Journal of Development Economics 101</w:t>
            </w:r>
          </w:p>
        </w:tc>
        <w:tc>
          <w:tcPr>
            <w:tcW w:type="dxa" w:w="1474"/>
            <w:shd w:val="clear" w:color="auto" w:fill="F3F3F1"/>
          </w:tcPr>
          <w:p>
            <w:pPr>
              <w:spacing w:after="0"/>
            </w:pPr>
            <w:r>
              <w:rPr>
                <w:b w:val="0"/>
                <w:i w:val="0"/>
                <w:sz w:val="12"/>
              </w:rPr>
              <w:t>Couverture macro</w:t>
            </w:r>
          </w:p>
        </w:tc>
        <w:tc>
          <w:tcPr>
            <w:tcW w:type="dxa" w:w="2948"/>
            <w:shd w:val="clear" w:color="auto" w:fill="F3F3F1"/>
          </w:tcPr>
          <w:p>
            <w:pPr>
              <w:spacing w:after="0"/>
            </w:pPr>
            <w:r>
              <w:rPr>
                <w:b w:val="0"/>
                <w:i w:val="0"/>
                <w:sz w:val="12"/>
              </w:rPr>
              <w:t>La couverture réduit fortement le besoin de réserves de précaution</w:t>
            </w:r>
          </w:p>
        </w:tc>
        <w:tc>
          <w:tcPr>
            <w:tcW w:type="dxa" w:w="2721"/>
            <w:shd w:val="clear" w:color="auto" w:fill="F3F3F1"/>
          </w:tcPr>
          <w:p>
            <w:pPr>
              <w:spacing w:after="0"/>
            </w:pPr>
            <w:r>
              <w:rPr>
                <w:b w:val="0"/>
                <w:i w:val="0"/>
                <w:sz w:val="12"/>
              </w:rPr>
              <w:t>Complément aux ventes anticipées</w:t>
            </w:r>
          </w:p>
        </w:tc>
      </w:tr>
      <w:tr>
        <w:tc>
          <w:tcPr>
            <w:tcW w:type="dxa" w:w="3061"/>
          </w:tcPr>
          <w:p>
            <w:pPr>
              <w:spacing w:after="0"/>
            </w:pPr>
            <w:r>
              <w:rPr>
                <w:b w:val="0"/>
                <w:i w:val="0"/>
                <w:sz w:val="12"/>
              </w:rPr>
              <w:t>Gilbert (1996), World Development 24(1)</w:t>
            </w:r>
          </w:p>
        </w:tc>
        <w:tc>
          <w:tcPr>
            <w:tcW w:type="dxa" w:w="1474"/>
          </w:tcPr>
          <w:p>
            <w:pPr>
              <w:spacing w:after="0"/>
            </w:pPr>
            <w:r>
              <w:rPr>
                <w:b w:val="0"/>
                <w:i w:val="0"/>
                <w:sz w:val="12"/>
              </w:rPr>
              <w:t>Accords internationaux de produits</w:t>
            </w:r>
          </w:p>
        </w:tc>
        <w:tc>
          <w:tcPr>
            <w:tcW w:type="dxa" w:w="2948"/>
          </w:tcPr>
          <w:p>
            <w:pPr>
              <w:spacing w:after="0"/>
            </w:pPr>
            <w:r>
              <w:rPr>
                <w:b w:val="0"/>
                <w:i w:val="0"/>
                <w:sz w:val="12"/>
              </w:rPr>
              <w:t>Échec des accords de stabilisation (stocks, quotas)</w:t>
            </w:r>
          </w:p>
        </w:tc>
        <w:tc>
          <w:tcPr>
            <w:tcW w:type="dxa" w:w="2721"/>
          </w:tcPr>
          <w:p>
            <w:pPr>
              <w:spacing w:after="0"/>
            </w:pPr>
            <w:r>
              <w:rPr>
                <w:b w:val="0"/>
                <w:i w:val="0"/>
                <w:sz w:val="12"/>
              </w:rPr>
              <w:t>Éviter les mécanismes de soutien des cours mondiaux (ex. ITRC hévéa)</w:t>
            </w:r>
          </w:p>
        </w:tc>
      </w:tr>
      <w:tr>
        <w:tc>
          <w:tcPr>
            <w:tcW w:type="dxa" w:w="3061"/>
            <w:shd w:val="clear" w:color="auto" w:fill="F3F3F1"/>
          </w:tcPr>
          <w:p>
            <w:pPr>
              <w:spacing w:after="0"/>
            </w:pPr>
            <w:r>
              <w:rPr>
                <w:b w:val="0"/>
                <w:i w:val="0"/>
                <w:sz w:val="12"/>
              </w:rPr>
              <w:t>Baffes &amp; Gardner (2003), Policy Reform 6(3)</w:t>
            </w:r>
          </w:p>
        </w:tc>
        <w:tc>
          <w:tcPr>
            <w:tcW w:type="dxa" w:w="1474"/>
            <w:shd w:val="clear" w:color="auto" w:fill="F3F3F1"/>
          </w:tcPr>
          <w:p>
            <w:pPr>
              <w:spacing w:after="0"/>
            </w:pPr>
            <w:r>
              <w:rPr>
                <w:b w:val="0"/>
                <w:i w:val="0"/>
                <w:sz w:val="12"/>
              </w:rPr>
              <w:t>Transmission des prix</w:t>
            </w:r>
          </w:p>
        </w:tc>
        <w:tc>
          <w:tcPr>
            <w:tcW w:type="dxa" w:w="2948"/>
            <w:shd w:val="clear" w:color="auto" w:fill="F3F3F1"/>
          </w:tcPr>
          <w:p>
            <w:pPr>
              <w:spacing w:after="0"/>
            </w:pPr>
            <w:r>
              <w:rPr>
                <w:b w:val="0"/>
                <w:i w:val="0"/>
                <w:sz w:val="12"/>
              </w:rPr>
              <w:t>Transmission faible et lente sous régimes administrés</w:t>
            </w:r>
          </w:p>
        </w:tc>
        <w:tc>
          <w:tcPr>
            <w:tcW w:type="dxa" w:w="2721"/>
            <w:shd w:val="clear" w:color="auto" w:fill="F3F3F1"/>
          </w:tcPr>
          <w:p>
            <w:pPr>
              <w:spacing w:after="0"/>
            </w:pPr>
            <w:r>
              <w:rPr>
                <w:b w:val="0"/>
                <w:i w:val="0"/>
                <w:sz w:val="12"/>
              </w:rPr>
              <w:t>Mesurer la transmission séparément par régime</w:t>
            </w:r>
          </w:p>
        </w:tc>
      </w:tr>
      <w:tr>
        <w:tc>
          <w:tcPr>
            <w:tcW w:type="dxa" w:w="3061"/>
          </w:tcPr>
          <w:p>
            <w:pPr>
              <w:spacing w:after="0"/>
            </w:pPr>
            <w:r>
              <w:rPr>
                <w:b w:val="0"/>
                <w:i w:val="0"/>
                <w:sz w:val="12"/>
              </w:rPr>
              <w:t>Meyer &amp; von Cramon-Taubadel (2004), Journal of Agricultural Economics 55(3)</w:t>
            </w:r>
          </w:p>
        </w:tc>
        <w:tc>
          <w:tcPr>
            <w:tcW w:type="dxa" w:w="1474"/>
          </w:tcPr>
          <w:p>
            <w:pPr>
              <w:spacing w:after="0"/>
            </w:pPr>
            <w:r>
              <w:rPr>
                <w:b w:val="0"/>
                <w:i w:val="0"/>
                <w:sz w:val="12"/>
              </w:rPr>
              <w:t>Transmission asymétrique</w:t>
            </w:r>
          </w:p>
        </w:tc>
        <w:tc>
          <w:tcPr>
            <w:tcW w:type="dxa" w:w="2948"/>
          </w:tcPr>
          <w:p>
            <w:pPr>
              <w:spacing w:after="0"/>
            </w:pPr>
            <w:r>
              <w:rPr>
                <w:b w:val="0"/>
                <w:i w:val="0"/>
                <w:sz w:val="12"/>
              </w:rPr>
              <w:t>L'asymétrie est fréquente ; méthodes ECM/seuils</w:t>
            </w:r>
          </w:p>
        </w:tc>
        <w:tc>
          <w:tcPr>
            <w:tcW w:type="dxa" w:w="2721"/>
          </w:tcPr>
          <w:p>
            <w:pPr>
              <w:spacing w:after="0"/>
            </w:pPr>
            <w:r>
              <w:rPr>
                <w:b w:val="0"/>
                <w:i w:val="0"/>
                <w:sz w:val="12"/>
              </w:rPr>
              <w:t>Tester beta hausse vs beta baisse</w:t>
            </w:r>
          </w:p>
        </w:tc>
      </w:tr>
      <w:tr>
        <w:tc>
          <w:tcPr>
            <w:tcW w:type="dxa" w:w="3061"/>
            <w:shd w:val="clear" w:color="auto" w:fill="F3F3F1"/>
          </w:tcPr>
          <w:p>
            <w:pPr>
              <w:spacing w:after="0"/>
            </w:pPr>
            <w:r>
              <w:rPr>
                <w:b w:val="0"/>
                <w:i w:val="0"/>
                <w:sz w:val="12"/>
              </w:rPr>
              <w:t>Shin, Yu &amp; Greenwood-Nimmo (2014), in Festschrift P. Schmidt, Springer</w:t>
            </w:r>
          </w:p>
        </w:tc>
        <w:tc>
          <w:tcPr>
            <w:tcW w:type="dxa" w:w="1474"/>
            <w:shd w:val="clear" w:color="auto" w:fill="F3F3F1"/>
          </w:tcPr>
          <w:p>
            <w:pPr>
              <w:spacing w:after="0"/>
            </w:pPr>
            <w:r>
              <w:rPr>
                <w:b w:val="0"/>
                <w:i w:val="0"/>
                <w:sz w:val="12"/>
              </w:rPr>
              <w:t>NARDL</w:t>
            </w:r>
          </w:p>
        </w:tc>
        <w:tc>
          <w:tcPr>
            <w:tcW w:type="dxa" w:w="2948"/>
            <w:shd w:val="clear" w:color="auto" w:fill="F3F3F1"/>
          </w:tcPr>
          <w:p>
            <w:pPr>
              <w:spacing w:after="0"/>
            </w:pPr>
            <w:r>
              <w:rPr>
                <w:b w:val="0"/>
                <w:i w:val="0"/>
                <w:sz w:val="12"/>
              </w:rPr>
              <w:t>Cadre pour estimer des effets de long terme asymétriques</w:t>
            </w:r>
          </w:p>
        </w:tc>
        <w:tc>
          <w:tcPr>
            <w:tcW w:type="dxa" w:w="2721"/>
            <w:shd w:val="clear" w:color="auto" w:fill="F3F3F1"/>
          </w:tcPr>
          <w:p>
            <w:pPr>
              <w:spacing w:after="0"/>
            </w:pPr>
            <w:r>
              <w:rPr>
                <w:b w:val="0"/>
                <w:i w:val="0"/>
                <w:sz w:val="12"/>
              </w:rPr>
              <w:t>Méthode recommandée pour l'annexe économétrique</w:t>
            </w:r>
          </w:p>
        </w:tc>
      </w:tr>
      <w:tr>
        <w:tc>
          <w:tcPr>
            <w:tcW w:type="dxa" w:w="3061"/>
          </w:tcPr>
          <w:p>
            <w:pPr>
              <w:spacing w:after="0"/>
            </w:pPr>
            <w:r>
              <w:rPr>
                <w:b w:val="0"/>
                <w:i w:val="0"/>
                <w:sz w:val="12"/>
              </w:rPr>
              <w:t>Minot (2011), IFPRI Discussion Paper 1059</w:t>
            </w:r>
          </w:p>
        </w:tc>
        <w:tc>
          <w:tcPr>
            <w:tcW w:type="dxa" w:w="1474"/>
          </w:tcPr>
          <w:p>
            <w:pPr>
              <w:spacing w:after="0"/>
            </w:pPr>
            <w:r>
              <w:rPr>
                <w:b w:val="0"/>
                <w:i w:val="0"/>
                <w:sz w:val="12"/>
              </w:rPr>
              <w:t>Transmission prix vivriers</w:t>
            </w:r>
          </w:p>
        </w:tc>
        <w:tc>
          <w:tcPr>
            <w:tcW w:type="dxa" w:w="2948"/>
          </w:tcPr>
          <w:p>
            <w:pPr>
              <w:spacing w:after="0"/>
            </w:pPr>
            <w:r>
              <w:rPr>
                <w:b w:val="0"/>
                <w:i w:val="0"/>
                <w:sz w:val="12"/>
              </w:rPr>
              <w:t>Transmission forte pour le riz importé, faible pour le maïs</w:t>
            </w:r>
          </w:p>
        </w:tc>
        <w:tc>
          <w:tcPr>
            <w:tcW w:type="dxa" w:w="2721"/>
          </w:tcPr>
          <w:p>
            <w:pPr>
              <w:spacing w:after="0"/>
            </w:pPr>
            <w:r>
              <w:rPr>
                <w:b w:val="0"/>
                <w:i w:val="0"/>
                <w:sz w:val="12"/>
              </w:rPr>
              <w:t>Riz : surveiller ; maïs : ne pas forcer l'analyse internationale</w:t>
            </w:r>
          </w:p>
        </w:tc>
      </w:tr>
      <w:tr>
        <w:tc>
          <w:tcPr>
            <w:tcW w:type="dxa" w:w="3061"/>
            <w:shd w:val="clear" w:color="auto" w:fill="F3F3F1"/>
          </w:tcPr>
          <w:p>
            <w:pPr>
              <w:spacing w:after="0"/>
            </w:pPr>
            <w:r>
              <w:rPr>
                <w:b w:val="0"/>
                <w:i w:val="0"/>
                <w:sz w:val="12"/>
              </w:rPr>
              <w:t>Kaminski, Headey &amp; Bernard (2011), IFPRI DP 1074</w:t>
            </w:r>
          </w:p>
        </w:tc>
        <w:tc>
          <w:tcPr>
            <w:tcW w:type="dxa" w:w="1474"/>
            <w:shd w:val="clear" w:color="auto" w:fill="F3F3F1"/>
          </w:tcPr>
          <w:p>
            <w:pPr>
              <w:spacing w:after="0"/>
            </w:pPr>
            <w:r>
              <w:rPr>
                <w:b w:val="0"/>
                <w:i w:val="0"/>
                <w:sz w:val="12"/>
              </w:rPr>
              <w:t>Fonds de lissage coton</w:t>
            </w:r>
          </w:p>
        </w:tc>
        <w:tc>
          <w:tcPr>
            <w:tcW w:type="dxa" w:w="2948"/>
            <w:shd w:val="clear" w:color="auto" w:fill="F3F3F1"/>
          </w:tcPr>
          <w:p>
            <w:pPr>
              <w:spacing w:after="0"/>
            </w:pPr>
            <w:r>
              <w:rPr>
                <w:b w:val="0"/>
                <w:i w:val="0"/>
                <w:sz w:val="12"/>
              </w:rPr>
              <w:t>Le mécanisme de lissage a amorti les chocs mais s'est épuisé</w:t>
            </w:r>
          </w:p>
        </w:tc>
        <w:tc>
          <w:tcPr>
            <w:tcW w:type="dxa" w:w="2721"/>
            <w:shd w:val="clear" w:color="auto" w:fill="F3F3F1"/>
          </w:tcPr>
          <w:p>
            <w:pPr>
              <w:spacing w:after="0"/>
            </w:pPr>
            <w:r>
              <w:rPr>
                <w:b w:val="0"/>
                <w:i w:val="0"/>
                <w:sz w:val="12"/>
              </w:rPr>
              <w:t>Fonds de lissage coton pour la CI</w:t>
            </w:r>
          </w:p>
        </w:tc>
      </w:tr>
      <w:tr>
        <w:tc>
          <w:tcPr>
            <w:tcW w:type="dxa" w:w="3061"/>
          </w:tcPr>
          <w:p>
            <w:pPr>
              <w:spacing w:after="0"/>
            </w:pPr>
            <w:r>
              <w:rPr>
                <w:b w:val="0"/>
                <w:i w:val="0"/>
                <w:sz w:val="12"/>
              </w:rPr>
              <w:t>Delpeuch &amp; Leblois (2013), World Development 51</w:t>
            </w:r>
          </w:p>
        </w:tc>
        <w:tc>
          <w:tcPr>
            <w:tcW w:type="dxa" w:w="1474"/>
          </w:tcPr>
          <w:p>
            <w:pPr>
              <w:spacing w:after="0"/>
            </w:pPr>
            <w:r>
              <w:rPr>
                <w:b w:val="0"/>
                <w:i w:val="0"/>
                <w:sz w:val="12"/>
              </w:rPr>
              <w:t>Réformes coton</w:t>
            </w:r>
          </w:p>
        </w:tc>
        <w:tc>
          <w:tcPr>
            <w:tcW w:type="dxa" w:w="2948"/>
          </w:tcPr>
          <w:p>
            <w:pPr>
              <w:spacing w:after="0"/>
            </w:pPr>
            <w:r>
              <w:rPr>
                <w:b w:val="0"/>
                <w:i w:val="0"/>
                <w:sz w:val="12"/>
              </w:rPr>
              <w:t>La réponse de l'offre aux réformes de prix est faible et hétérogène</w:t>
            </w:r>
          </w:p>
        </w:tc>
        <w:tc>
          <w:tcPr>
            <w:tcW w:type="dxa" w:w="2721"/>
          </w:tcPr>
          <w:p>
            <w:pPr>
              <w:spacing w:after="0"/>
            </w:pPr>
            <w:r>
              <w:rPr>
                <w:b w:val="0"/>
                <w:i w:val="0"/>
                <w:sz w:val="12"/>
              </w:rPr>
              <w:t>Le prix seul n'explique pas la production</w:t>
            </w:r>
          </w:p>
        </w:tc>
      </w:tr>
      <w:tr>
        <w:tc>
          <w:tcPr>
            <w:tcW w:type="dxa" w:w="3061"/>
            <w:shd w:val="clear" w:color="auto" w:fill="F3F3F1"/>
          </w:tcPr>
          <w:p>
            <w:pPr>
              <w:spacing w:after="0"/>
            </w:pPr>
            <w:r>
              <w:rPr>
                <w:b w:val="0"/>
                <w:i w:val="0"/>
                <w:sz w:val="12"/>
              </w:rPr>
              <w:t>Coulter &amp; Onumah (2002), Food Policy 27(4)</w:t>
            </w:r>
          </w:p>
        </w:tc>
        <w:tc>
          <w:tcPr>
            <w:tcW w:type="dxa" w:w="1474"/>
            <w:shd w:val="clear" w:color="auto" w:fill="F3F3F1"/>
          </w:tcPr>
          <w:p>
            <w:pPr>
              <w:spacing w:after="0"/>
            </w:pPr>
            <w:r>
              <w:rPr>
                <w:b w:val="0"/>
                <w:i w:val="0"/>
                <w:sz w:val="12"/>
              </w:rPr>
              <w:t>Récépissés d'entrepôt</w:t>
            </w:r>
          </w:p>
        </w:tc>
        <w:tc>
          <w:tcPr>
            <w:tcW w:type="dxa" w:w="2948"/>
            <w:shd w:val="clear" w:color="auto" w:fill="F3F3F1"/>
          </w:tcPr>
          <w:p>
            <w:pPr>
              <w:spacing w:after="0"/>
            </w:pPr>
            <w:r>
              <w:rPr>
                <w:b w:val="0"/>
                <w:i w:val="0"/>
                <w:sz w:val="12"/>
              </w:rPr>
              <w:t>Les récépissés facilitent le crédit et le report des ventes</w:t>
            </w:r>
          </w:p>
        </w:tc>
        <w:tc>
          <w:tcPr>
            <w:tcW w:type="dxa" w:w="2721"/>
            <w:shd w:val="clear" w:color="auto" w:fill="F3F3F1"/>
          </w:tcPr>
          <w:p>
            <w:pPr>
              <w:spacing w:after="0"/>
            </w:pPr>
            <w:r>
              <w:rPr>
                <w:b w:val="0"/>
                <w:i w:val="0"/>
                <w:sz w:val="12"/>
              </w:rPr>
              <w:t>Pertinent pour l'anacarde</w:t>
            </w:r>
          </w:p>
        </w:tc>
      </w:tr>
      <w:tr>
        <w:tc>
          <w:tcPr>
            <w:tcW w:type="dxa" w:w="3061"/>
          </w:tcPr>
          <w:p>
            <w:pPr>
              <w:spacing w:after="0"/>
            </w:pPr>
            <w:r>
              <w:rPr>
                <w:b w:val="0"/>
                <w:i w:val="0"/>
                <w:sz w:val="12"/>
              </w:rPr>
              <w:t>Karlan, Osei, Osei-Akoto &amp; Udry (2014), Quarterly Journal of Economics 129(2)</w:t>
            </w:r>
          </w:p>
        </w:tc>
        <w:tc>
          <w:tcPr>
            <w:tcW w:type="dxa" w:w="1474"/>
          </w:tcPr>
          <w:p>
            <w:pPr>
              <w:spacing w:after="0"/>
            </w:pPr>
            <w:r>
              <w:rPr>
                <w:b w:val="0"/>
                <w:i w:val="0"/>
                <w:sz w:val="12"/>
              </w:rPr>
              <w:t>Assurance indicielle</w:t>
            </w:r>
          </w:p>
        </w:tc>
        <w:tc>
          <w:tcPr>
            <w:tcW w:type="dxa" w:w="2948"/>
          </w:tcPr>
          <w:p>
            <w:pPr>
              <w:spacing w:after="0"/>
            </w:pPr>
            <w:r>
              <w:rPr>
                <w:b w:val="0"/>
                <w:i w:val="0"/>
                <w:sz w:val="12"/>
              </w:rPr>
              <w:t>L'assurance augmente l'investissement agricole ; la contrainte de risque est déterminante</w:t>
            </w:r>
          </w:p>
        </w:tc>
        <w:tc>
          <w:tcPr>
            <w:tcW w:type="dxa" w:w="2721"/>
          </w:tcPr>
          <w:p>
            <w:pPr>
              <w:spacing w:after="0"/>
            </w:pPr>
            <w:r>
              <w:rPr>
                <w:b w:val="0"/>
                <w:i w:val="0"/>
                <w:sz w:val="12"/>
              </w:rPr>
              <w:t>Assurance rendement subventionnée pour le coton</w:t>
            </w:r>
          </w:p>
        </w:tc>
      </w:tr>
      <w:tr>
        <w:tc>
          <w:tcPr>
            <w:tcW w:type="dxa" w:w="3061"/>
            <w:shd w:val="clear" w:color="auto" w:fill="F3F3F1"/>
          </w:tcPr>
          <w:p>
            <w:pPr>
              <w:spacing w:after="0"/>
            </w:pPr>
            <w:r>
              <w:rPr>
                <w:b w:val="0"/>
                <w:i w:val="0"/>
                <w:sz w:val="12"/>
              </w:rPr>
              <w:t>Kireyev (2010), IMF WP 10/269</w:t>
            </w:r>
          </w:p>
        </w:tc>
        <w:tc>
          <w:tcPr>
            <w:tcW w:type="dxa" w:w="1474"/>
            <w:shd w:val="clear" w:color="auto" w:fill="F3F3F1"/>
          </w:tcPr>
          <w:p>
            <w:pPr>
              <w:spacing w:after="0"/>
            </w:pPr>
            <w:r>
              <w:rPr>
                <w:b w:val="0"/>
                <w:i w:val="0"/>
                <w:sz w:val="12"/>
              </w:rPr>
              <w:t>Taxe à l'exportation cacao</w:t>
            </w:r>
          </w:p>
        </w:tc>
        <w:tc>
          <w:tcPr>
            <w:tcW w:type="dxa" w:w="2948"/>
            <w:shd w:val="clear" w:color="auto" w:fill="F3F3F1"/>
          </w:tcPr>
          <w:p>
            <w:pPr>
              <w:spacing w:after="0"/>
            </w:pPr>
            <w:r>
              <w:rPr>
                <w:b w:val="0"/>
                <w:i w:val="0"/>
                <w:sz w:val="12"/>
              </w:rPr>
              <w:t>Pouvoir de marché limité ; la taxe pèse en partie sur les producteurs</w:t>
            </w:r>
          </w:p>
        </w:tc>
        <w:tc>
          <w:tcPr>
            <w:tcW w:type="dxa" w:w="2721"/>
            <w:shd w:val="clear" w:color="auto" w:fill="F3F3F1"/>
          </w:tcPr>
          <w:p>
            <w:pPr>
              <w:spacing w:after="0"/>
            </w:pPr>
            <w:r>
              <w:rPr>
                <w:b w:val="0"/>
                <w:i w:val="0"/>
                <w:sz w:val="12"/>
              </w:rPr>
              <w:t>Le DUS fait partie de l'absorbeur (recettes publiques)</w:t>
            </w:r>
          </w:p>
        </w:tc>
      </w:tr>
      <w:tr>
        <w:tc>
          <w:tcPr>
            <w:tcW w:type="dxa" w:w="3061"/>
          </w:tcPr>
          <w:p>
            <w:pPr>
              <w:spacing w:after="0"/>
            </w:pPr>
            <w:r>
              <w:rPr>
                <w:b w:val="0"/>
                <w:i w:val="0"/>
                <w:sz w:val="12"/>
              </w:rPr>
              <w:t>Frankel (2011), NBER WP 16945</w:t>
            </w:r>
          </w:p>
        </w:tc>
        <w:tc>
          <w:tcPr>
            <w:tcW w:type="dxa" w:w="1474"/>
          </w:tcPr>
          <w:p>
            <w:pPr>
              <w:spacing w:after="0"/>
            </w:pPr>
            <w:r>
              <w:rPr>
                <w:b w:val="0"/>
                <w:i w:val="0"/>
                <w:sz w:val="12"/>
              </w:rPr>
              <w:t>Règles budgétaires contracycliques</w:t>
            </w:r>
          </w:p>
        </w:tc>
        <w:tc>
          <w:tcPr>
            <w:tcW w:type="dxa" w:w="2948"/>
          </w:tcPr>
          <w:p>
            <w:pPr>
              <w:spacing w:after="0"/>
            </w:pPr>
            <w:r>
              <w:rPr>
                <w:b w:val="0"/>
                <w:i w:val="0"/>
                <w:sz w:val="12"/>
              </w:rPr>
              <w:t>Règles fondées sur un prix de référence de long terme fixé par un comité indépendant</w:t>
            </w:r>
          </w:p>
        </w:tc>
        <w:tc>
          <w:tcPr>
            <w:tcW w:type="dxa" w:w="2721"/>
          </w:tcPr>
          <w:p>
            <w:pPr>
              <w:spacing w:after="0"/>
            </w:pPr>
            <w:r>
              <w:rPr>
                <w:b w:val="0"/>
                <w:i w:val="0"/>
                <w:sz w:val="12"/>
              </w:rPr>
              <w:t>Prix de référence indépendant pour le FRP</w:t>
            </w:r>
          </w:p>
        </w:tc>
      </w:tr>
      <w:tr>
        <w:tc>
          <w:tcPr>
            <w:tcW w:type="dxa" w:w="3061"/>
            <w:shd w:val="clear" w:color="auto" w:fill="F3F3F1"/>
          </w:tcPr>
          <w:p>
            <w:pPr>
              <w:spacing w:after="0"/>
            </w:pPr>
            <w:r>
              <w:rPr>
                <w:b w:val="0"/>
                <w:i w:val="0"/>
                <w:sz w:val="12"/>
              </w:rPr>
              <w:t>OCDE (2011), Managing Risk in Agriculture: Policy Assessment and Design</w:t>
            </w:r>
          </w:p>
        </w:tc>
        <w:tc>
          <w:tcPr>
            <w:tcW w:type="dxa" w:w="1474"/>
            <w:shd w:val="clear" w:color="auto" w:fill="F3F3F1"/>
          </w:tcPr>
          <w:p>
            <w:pPr>
              <w:spacing w:after="0"/>
            </w:pPr>
            <w:r>
              <w:rPr>
                <w:b w:val="0"/>
                <w:i w:val="0"/>
                <w:sz w:val="12"/>
              </w:rPr>
              <w:t>Gestion des risques</w:t>
            </w:r>
          </w:p>
        </w:tc>
        <w:tc>
          <w:tcPr>
            <w:tcW w:type="dxa" w:w="2948"/>
            <w:shd w:val="clear" w:color="auto" w:fill="F3F3F1"/>
          </w:tcPr>
          <w:p>
            <w:pPr>
              <w:spacing w:after="0"/>
            </w:pPr>
            <w:r>
              <w:rPr>
                <w:b w:val="0"/>
                <w:i w:val="0"/>
                <w:sz w:val="12"/>
              </w:rPr>
              <w:t>Distinguer risques normaux (exploitant), marchands (marché) et catastrophiques (État)</w:t>
            </w:r>
          </w:p>
        </w:tc>
        <w:tc>
          <w:tcPr>
            <w:tcW w:type="dxa" w:w="2721"/>
            <w:shd w:val="clear" w:color="auto" w:fill="F3F3F1"/>
          </w:tcPr>
          <w:p>
            <w:pPr>
              <w:spacing w:after="0"/>
            </w:pPr>
            <w:r>
              <w:rPr>
                <w:b w:val="0"/>
                <w:i w:val="0"/>
                <w:sz w:val="12"/>
              </w:rPr>
              <w:t>Répartir les couches de risque entre acteurs</w:t>
            </w:r>
          </w:p>
        </w:tc>
      </w:tr>
    </w:tbl>
    <w:p>
      <w:pPr>
        <w:spacing w:after="20"/>
      </w:pPr>
    </w:p>
    <w:p>
      <w:pPr>
        <w:pStyle w:val="Heading1"/>
      </w:pPr>
      <w:r>
        <w:t>Annexe D – Indicateurs harmonisés (séries annuelles)</w:t>
      </w:r>
    </w:p>
    <w:tbl>
      <w:tblPr>
        <w:tblStyle w:val="TableGrid"/>
        <w:tblW w:type="auto" w:w="0"/>
        <w:jc w:val="center"/>
        <w:tblLayout w:type="fixed"/>
        <w:tblLook w:firstColumn="1" w:firstRow="1" w:lastColumn="0" w:lastRow="0" w:noHBand="0" w:noVBand="1" w:val="04A0"/>
        <w:tblCellMar>
          <w:top w:w="39" w:type="dxa"/>
          <w:left w:w="39" w:type="dxa"/>
          <w:bottom w:w="39" w:type="dxa"/>
          <w:right w:w="39" w:type="dxa"/>
        </w:tblCellMar>
        <w:tblBorders>
          <w:top w:val="single" w:sz="2" w:color="BFBFBF"/>
          <w:left w:val="single" w:sz="2" w:color="BFBFBF"/>
          <w:bottom w:val="single" w:sz="2" w:color="BFBFBF"/>
          <w:right w:val="single" w:sz="2" w:color="BFBFBF"/>
          <w:insideH w:val="single" w:sz="2" w:color="BFBFBF"/>
          <w:insideV w:val="single" w:sz="2" w:color="BFBFBF"/>
        </w:tblBorders>
      </w:tblPr>
      <w:tblGrid>
        <w:gridCol w:w="1474"/>
        <w:gridCol w:w="1134"/>
        <w:gridCol w:w="737"/>
        <w:gridCol w:w="737"/>
        <w:gridCol w:w="737"/>
        <w:gridCol w:w="850"/>
        <w:gridCol w:w="850"/>
        <w:gridCol w:w="907"/>
        <w:gridCol w:w="907"/>
        <w:gridCol w:w="1020"/>
        <w:gridCol w:w="850"/>
      </w:tblGrid>
      <w:tr>
        <w:tc>
          <w:tcPr>
            <w:tcW w:type="dxa" w:w="1474"/>
            <w:shd w:val="clear" w:color="auto" w:fill="1F4E3D"/>
          </w:tcPr>
          <w:p>
            <w:pPr>
              <w:spacing w:after="0"/>
            </w:pPr>
            <w:r>
              <w:rPr>
                <w:b/>
                <w:i w:val="0"/>
                <w:color w:val="FFFFFF"/>
                <w:sz w:val="12"/>
              </w:rPr>
              <w:t>Filière – pays</w:t>
            </w:r>
          </w:p>
        </w:tc>
        <w:tc>
          <w:tcPr>
            <w:tcW w:type="dxa" w:w="1134"/>
            <w:shd w:val="clear" w:color="auto" w:fill="1F4E3D"/>
          </w:tcPr>
          <w:p>
            <w:pPr>
              <w:spacing w:after="0"/>
            </w:pPr>
            <w:r>
              <w:rPr>
                <w:b/>
                <w:i w:val="0"/>
                <w:color w:val="FFFFFF"/>
                <w:sz w:val="12"/>
              </w:rPr>
              <w:t>Période</w:t>
            </w:r>
          </w:p>
        </w:tc>
        <w:tc>
          <w:tcPr>
            <w:tcW w:type="dxa" w:w="737"/>
            <w:shd w:val="clear" w:color="auto" w:fill="1F4E3D"/>
          </w:tcPr>
          <w:p>
            <w:pPr>
              <w:spacing w:after="0"/>
            </w:pPr>
            <w:r>
              <w:rPr>
                <w:b/>
                <w:i w:val="0"/>
                <w:color w:val="FFFFFF"/>
                <w:sz w:val="12"/>
              </w:rPr>
              <w:t>CV prix int.</w:t>
            </w:r>
          </w:p>
        </w:tc>
        <w:tc>
          <w:tcPr>
            <w:tcW w:type="dxa" w:w="737"/>
            <w:shd w:val="clear" w:color="auto" w:fill="1F4E3D"/>
          </w:tcPr>
          <w:p>
            <w:pPr>
              <w:spacing w:after="0"/>
            </w:pPr>
            <w:r>
              <w:rPr>
                <w:b/>
                <w:i w:val="0"/>
                <w:color w:val="FFFFFF"/>
                <w:sz w:val="12"/>
              </w:rPr>
              <w:t>CV prix prod.</w:t>
            </w:r>
          </w:p>
        </w:tc>
        <w:tc>
          <w:tcPr>
            <w:tcW w:type="dxa" w:w="737"/>
            <w:shd w:val="clear" w:color="auto" w:fill="1F4E3D"/>
          </w:tcPr>
          <w:p>
            <w:pPr>
              <w:spacing w:after="0"/>
            </w:pPr>
            <w:r>
              <w:rPr>
                <w:b/>
                <w:i w:val="0"/>
                <w:color w:val="FFFFFF"/>
                <w:sz w:val="12"/>
              </w:rPr>
              <w:t>CV recette</w:t>
            </w:r>
          </w:p>
        </w:tc>
        <w:tc>
          <w:tcPr>
            <w:tcW w:type="dxa" w:w="850"/>
            <w:shd w:val="clear" w:color="auto" w:fill="1F4E3D"/>
          </w:tcPr>
          <w:p>
            <w:pPr>
              <w:spacing w:after="0"/>
            </w:pPr>
            <w:r>
              <w:rPr>
                <w:b/>
                <w:i w:val="0"/>
                <w:color w:val="FFFFFF"/>
                <w:sz w:val="12"/>
              </w:rPr>
              <w:t>β baisses (annuel)</w:t>
            </w:r>
          </w:p>
        </w:tc>
        <w:tc>
          <w:tcPr>
            <w:tcW w:type="dxa" w:w="850"/>
            <w:shd w:val="clear" w:color="auto" w:fill="1F4E3D"/>
          </w:tcPr>
          <w:p>
            <w:pPr>
              <w:spacing w:after="0"/>
            </w:pPr>
            <w:r>
              <w:rPr>
                <w:b/>
                <w:i w:val="0"/>
                <w:color w:val="FFFFFF"/>
                <w:sz w:val="12"/>
              </w:rPr>
              <w:t>β hausses (annuel)</w:t>
            </w:r>
          </w:p>
        </w:tc>
        <w:tc>
          <w:tcPr>
            <w:tcW w:type="dxa" w:w="907"/>
            <w:shd w:val="clear" w:color="auto" w:fill="1F4E3D"/>
          </w:tcPr>
          <w:p>
            <w:pPr>
              <w:spacing w:after="0"/>
            </w:pPr>
            <w:r>
              <w:rPr>
                <w:b/>
                <w:i w:val="0"/>
                <w:color w:val="FFFFFF"/>
                <w:sz w:val="12"/>
              </w:rPr>
              <w:t>Drawdown max prix prod.</w:t>
            </w:r>
          </w:p>
        </w:tc>
        <w:tc>
          <w:tcPr>
            <w:tcW w:type="dxa" w:w="907"/>
            <w:shd w:val="clear" w:color="auto" w:fill="1F4E3D"/>
          </w:tcPr>
          <w:p>
            <w:pPr>
              <w:spacing w:after="0"/>
            </w:pPr>
            <w:r>
              <w:rPr>
                <w:b/>
                <w:i w:val="0"/>
                <w:color w:val="FFFFFF"/>
                <w:sz w:val="12"/>
              </w:rPr>
              <w:t>Baisse max recette</w:t>
            </w:r>
          </w:p>
        </w:tc>
        <w:tc>
          <w:tcPr>
            <w:tcW w:type="dxa" w:w="1020"/>
            <w:shd w:val="clear" w:color="auto" w:fill="1F4E3D"/>
          </w:tcPr>
          <w:p>
            <w:pPr>
              <w:spacing w:after="0"/>
            </w:pPr>
            <w:r>
              <w:rPr>
                <w:b/>
                <w:i w:val="0"/>
                <w:color w:val="FFFFFF"/>
                <w:sz w:val="12"/>
              </w:rPr>
              <w:t>Part variance recette due à Q</w:t>
            </w:r>
          </w:p>
        </w:tc>
        <w:tc>
          <w:tcPr>
            <w:tcW w:type="dxa" w:w="850"/>
            <w:shd w:val="clear" w:color="auto" w:fill="1F4E3D"/>
          </w:tcPr>
          <w:p>
            <w:pPr>
              <w:spacing w:after="0"/>
            </w:pPr>
            <w:r>
              <w:rPr>
                <w:b/>
                <w:i w:val="0"/>
                <w:color w:val="FFFFFF"/>
                <w:sz w:val="12"/>
              </w:rPr>
              <w:t>Chocs ≥ 15 % / ≥ 20 %</w:t>
            </w:r>
          </w:p>
        </w:tc>
      </w:tr>
      <w:tr>
        <w:tc>
          <w:tcPr>
            <w:tcW w:type="dxa" w:w="1474"/>
          </w:tcPr>
          <w:p>
            <w:pPr>
              <w:spacing w:after="0"/>
            </w:pPr>
            <w:r>
              <w:rPr>
                <w:b w:val="0"/>
                <w:i w:val="0"/>
                <w:sz w:val="12"/>
              </w:rPr>
              <w:t>Cacao – Côte d'Ivoire</w:t>
            </w:r>
          </w:p>
        </w:tc>
        <w:tc>
          <w:tcPr>
            <w:tcW w:type="dxa" w:w="1134"/>
          </w:tcPr>
          <w:p>
            <w:pPr>
              <w:spacing w:after="0"/>
            </w:pPr>
            <w:r>
              <w:rPr>
                <w:b w:val="0"/>
                <w:i w:val="0"/>
                <w:sz w:val="12"/>
              </w:rPr>
              <w:t>2012/13 – 2025/26</w:t>
            </w:r>
          </w:p>
        </w:tc>
        <w:tc>
          <w:tcPr>
            <w:tcW w:type="dxa" w:w="737"/>
          </w:tcPr>
          <w:p>
            <w:pPr>
              <w:spacing w:after="0"/>
            </w:pPr>
            <w:r>
              <w:rPr>
                <w:b w:val="0"/>
                <w:i w:val="0"/>
                <w:sz w:val="12"/>
              </w:rPr>
              <w:t>56 %</w:t>
            </w:r>
          </w:p>
        </w:tc>
        <w:tc>
          <w:tcPr>
            <w:tcW w:type="dxa" w:w="737"/>
          </w:tcPr>
          <w:p>
            <w:pPr>
              <w:spacing w:after="0"/>
            </w:pPr>
            <w:r>
              <w:rPr>
                <w:b w:val="0"/>
                <w:i w:val="0"/>
                <w:sz w:val="12"/>
              </w:rPr>
              <w:t>48 %</w:t>
            </w:r>
          </w:p>
        </w:tc>
        <w:tc>
          <w:tcPr>
            <w:tcW w:type="dxa" w:w="737"/>
          </w:tcPr>
          <w:p>
            <w:pPr>
              <w:spacing w:after="0"/>
            </w:pPr>
            <w:r>
              <w:rPr>
                <w:b w:val="0"/>
                <w:i w:val="0"/>
                <w:sz w:val="12"/>
              </w:rPr>
              <w:t>46 %</w:t>
            </w:r>
          </w:p>
        </w:tc>
        <w:tc>
          <w:tcPr>
            <w:tcW w:type="dxa" w:w="850"/>
          </w:tcPr>
          <w:p>
            <w:pPr>
              <w:spacing w:after="0"/>
            </w:pPr>
            <w:r>
              <w:rPr>
                <w:b w:val="0"/>
                <w:i w:val="0"/>
                <w:sz w:val="12"/>
              </w:rPr>
              <w:t>0,46</w:t>
            </w:r>
          </w:p>
        </w:tc>
        <w:tc>
          <w:tcPr>
            <w:tcW w:type="dxa" w:w="850"/>
          </w:tcPr>
          <w:p>
            <w:pPr>
              <w:spacing w:after="0"/>
            </w:pPr>
            <w:r>
              <w:rPr>
                <w:b w:val="0"/>
                <w:i w:val="0"/>
                <w:sz w:val="12"/>
              </w:rPr>
              <w:t>0,74</w:t>
            </w:r>
          </w:p>
        </w:tc>
        <w:tc>
          <w:tcPr>
            <w:tcW w:type="dxa" w:w="907"/>
          </w:tcPr>
          <w:p>
            <w:pPr>
              <w:spacing w:after="0"/>
            </w:pPr>
            <w:r>
              <w:rPr>
                <w:b w:val="0"/>
                <w:i w:val="0"/>
                <w:sz w:val="12"/>
              </w:rPr>
              <w:t>−30 %</w:t>
            </w:r>
          </w:p>
        </w:tc>
        <w:tc>
          <w:tcPr>
            <w:tcW w:type="dxa" w:w="907"/>
          </w:tcPr>
          <w:p>
            <w:pPr>
              <w:spacing w:after="0"/>
            </w:pPr>
            <w:r>
              <w:rPr>
                <w:b w:val="0"/>
                <w:i w:val="0"/>
                <w:sz w:val="12"/>
              </w:rPr>
              <w:t>−32 %</w:t>
            </w:r>
          </w:p>
        </w:tc>
        <w:tc>
          <w:tcPr>
            <w:tcW w:type="dxa" w:w="1020"/>
          </w:tcPr>
          <w:p>
            <w:pPr>
              <w:spacing w:after="0"/>
            </w:pPr>
            <w:r>
              <w:rPr>
                <w:b w:val="0"/>
                <w:i w:val="0"/>
                <w:sz w:val="12"/>
              </w:rPr>
              <w:t>27 %</w:t>
            </w:r>
          </w:p>
        </w:tc>
        <w:tc>
          <w:tcPr>
            <w:tcW w:type="dxa" w:w="850"/>
          </w:tcPr>
          <w:p>
            <w:pPr>
              <w:spacing w:after="0"/>
            </w:pPr>
            <w:r>
              <w:rPr>
                <w:b w:val="0"/>
                <w:i w:val="0"/>
                <w:sz w:val="12"/>
              </w:rPr>
              <w:t>2 / 2</w:t>
            </w:r>
          </w:p>
        </w:tc>
      </w:tr>
      <w:tr>
        <w:tc>
          <w:tcPr>
            <w:tcW w:type="dxa" w:w="1474"/>
            <w:shd w:val="clear" w:color="auto" w:fill="F3F3F1"/>
          </w:tcPr>
          <w:p>
            <w:pPr>
              <w:spacing w:after="0"/>
            </w:pPr>
            <w:r>
              <w:rPr>
                <w:b w:val="0"/>
                <w:i w:val="0"/>
                <w:sz w:val="12"/>
              </w:rPr>
              <w:t>Cacao – Ghana</w:t>
            </w:r>
          </w:p>
        </w:tc>
        <w:tc>
          <w:tcPr>
            <w:tcW w:type="dxa" w:w="1134"/>
            <w:shd w:val="clear" w:color="auto" w:fill="F3F3F1"/>
          </w:tcPr>
          <w:p>
            <w:pPr>
              <w:spacing w:after="0"/>
            </w:pPr>
            <w:r>
              <w:rPr>
                <w:b w:val="0"/>
                <w:i w:val="0"/>
                <w:sz w:val="12"/>
              </w:rPr>
              <w:t>2012/13 – 2025/26</w:t>
            </w:r>
          </w:p>
        </w:tc>
        <w:tc>
          <w:tcPr>
            <w:tcW w:type="dxa" w:w="737"/>
            <w:shd w:val="clear" w:color="auto" w:fill="F3F3F1"/>
          </w:tcPr>
          <w:p>
            <w:pPr>
              <w:spacing w:after="0"/>
            </w:pPr>
            <w:r>
              <w:rPr>
                <w:b w:val="0"/>
                <w:i w:val="0"/>
                <w:sz w:val="12"/>
              </w:rPr>
              <w:t>121 %</w:t>
            </w:r>
          </w:p>
        </w:tc>
        <w:tc>
          <w:tcPr>
            <w:tcW w:type="dxa" w:w="737"/>
            <w:shd w:val="clear" w:color="auto" w:fill="F3F3F1"/>
          </w:tcPr>
          <w:p>
            <w:pPr>
              <w:spacing w:after="0"/>
            </w:pPr>
            <w:r>
              <w:rPr>
                <w:b w:val="0"/>
                <w:i w:val="0"/>
                <w:sz w:val="12"/>
              </w:rPr>
              <w:t>106 %</w:t>
            </w:r>
          </w:p>
        </w:tc>
        <w:tc>
          <w:tcPr>
            <w:tcW w:type="dxa" w:w="737"/>
            <w:shd w:val="clear" w:color="auto" w:fill="F3F3F1"/>
          </w:tcPr>
          <w:p>
            <w:pPr>
              <w:spacing w:after="0"/>
            </w:pPr>
            <w:r>
              <w:rPr>
                <w:b w:val="0"/>
                <w:i w:val="0"/>
                <w:sz w:val="12"/>
              </w:rPr>
              <w:t>92 %</w:t>
            </w:r>
          </w:p>
        </w:tc>
        <w:tc>
          <w:tcPr>
            <w:tcW w:type="dxa" w:w="850"/>
            <w:shd w:val="clear" w:color="auto" w:fill="F3F3F1"/>
          </w:tcPr>
          <w:p>
            <w:pPr>
              <w:spacing w:after="0"/>
            </w:pPr>
            <w:r>
              <w:rPr>
                <w:b w:val="0"/>
                <w:i w:val="0"/>
                <w:sz w:val="12"/>
              </w:rPr>
              <w:t>−0,33</w:t>
            </w:r>
          </w:p>
        </w:tc>
        <w:tc>
          <w:tcPr>
            <w:tcW w:type="dxa" w:w="850"/>
            <w:shd w:val="clear" w:color="auto" w:fill="F3F3F1"/>
          </w:tcPr>
          <w:p>
            <w:pPr>
              <w:spacing w:after="0"/>
            </w:pPr>
            <w:r>
              <w:rPr>
                <w:b w:val="0"/>
                <w:i w:val="0"/>
                <w:sz w:val="12"/>
              </w:rPr>
              <w:t>0,70</w:t>
            </w:r>
          </w:p>
        </w:tc>
        <w:tc>
          <w:tcPr>
            <w:tcW w:type="dxa" w:w="907"/>
            <w:shd w:val="clear" w:color="auto" w:fill="F3F3F1"/>
          </w:tcPr>
          <w:p>
            <w:pPr>
              <w:spacing w:after="0"/>
            </w:pPr>
            <w:r>
              <w:rPr>
                <w:b w:val="0"/>
                <w:i w:val="0"/>
                <w:sz w:val="12"/>
              </w:rPr>
              <w:t>−0 %</w:t>
            </w:r>
          </w:p>
        </w:tc>
        <w:tc>
          <w:tcPr>
            <w:tcW w:type="dxa" w:w="907"/>
            <w:shd w:val="clear" w:color="auto" w:fill="F3F3F1"/>
          </w:tcPr>
          <w:p>
            <w:pPr>
              <w:spacing w:after="0"/>
            </w:pPr>
            <w:r>
              <w:rPr>
                <w:b w:val="0"/>
                <w:i w:val="0"/>
                <w:sz w:val="12"/>
              </w:rPr>
              <w:t>−35 %</w:t>
            </w:r>
          </w:p>
        </w:tc>
        <w:tc>
          <w:tcPr>
            <w:tcW w:type="dxa" w:w="1020"/>
            <w:shd w:val="clear" w:color="auto" w:fill="F3F3F1"/>
          </w:tcPr>
          <w:p>
            <w:pPr>
              <w:spacing w:after="0"/>
            </w:pPr>
            <w:r>
              <w:rPr>
                <w:b w:val="0"/>
                <w:i w:val="0"/>
                <w:sz w:val="12"/>
              </w:rPr>
              <w:t>47 %</w:t>
            </w:r>
          </w:p>
        </w:tc>
        <w:tc>
          <w:tcPr>
            <w:tcW w:type="dxa" w:w="850"/>
            <w:shd w:val="clear" w:color="auto" w:fill="F3F3F1"/>
          </w:tcPr>
          <w:p>
            <w:pPr>
              <w:spacing w:after="0"/>
            </w:pPr>
            <w:r>
              <w:rPr>
                <w:b w:val="0"/>
                <w:i w:val="0"/>
                <w:sz w:val="12"/>
              </w:rPr>
              <w:t>2 / 1</w:t>
            </w:r>
          </w:p>
        </w:tc>
      </w:tr>
      <w:tr>
        <w:tc>
          <w:tcPr>
            <w:tcW w:type="dxa" w:w="1474"/>
          </w:tcPr>
          <w:p>
            <w:pPr>
              <w:spacing w:after="0"/>
            </w:pPr>
            <w:r>
              <w:rPr>
                <w:b w:val="0"/>
                <w:i w:val="0"/>
                <w:sz w:val="12"/>
              </w:rPr>
              <w:t>Coton – Côte d'Ivoire</w:t>
            </w:r>
          </w:p>
        </w:tc>
        <w:tc>
          <w:tcPr>
            <w:tcW w:type="dxa" w:w="1134"/>
          </w:tcPr>
          <w:p>
            <w:pPr>
              <w:spacing w:after="0"/>
            </w:pPr>
            <w:r>
              <w:rPr>
                <w:b w:val="0"/>
                <w:i w:val="0"/>
                <w:sz w:val="12"/>
              </w:rPr>
              <w:t>2014/15 – 2025/26</w:t>
            </w:r>
          </w:p>
        </w:tc>
        <w:tc>
          <w:tcPr>
            <w:tcW w:type="dxa" w:w="737"/>
          </w:tcPr>
          <w:p>
            <w:pPr>
              <w:spacing w:after="0"/>
            </w:pPr>
            <w:r>
              <w:rPr>
                <w:b w:val="0"/>
                <w:i w:val="0"/>
                <w:sz w:val="12"/>
              </w:rPr>
              <w:t>21 %</w:t>
            </w:r>
          </w:p>
        </w:tc>
        <w:tc>
          <w:tcPr>
            <w:tcW w:type="dxa" w:w="737"/>
          </w:tcPr>
          <w:p>
            <w:pPr>
              <w:spacing w:after="0"/>
            </w:pPr>
            <w:r>
              <w:rPr>
                <w:b w:val="0"/>
                <w:i w:val="0"/>
                <w:sz w:val="12"/>
              </w:rPr>
              <w:t>9 %</w:t>
            </w:r>
          </w:p>
        </w:tc>
        <w:tc>
          <w:tcPr>
            <w:tcW w:type="dxa" w:w="737"/>
          </w:tcPr>
          <w:p>
            <w:pPr>
              <w:spacing w:after="0"/>
            </w:pPr>
            <w:r>
              <w:rPr>
                <w:b w:val="0"/>
                <w:i w:val="0"/>
                <w:sz w:val="12"/>
              </w:rPr>
              <w:t>27 %</w:t>
            </w:r>
          </w:p>
        </w:tc>
        <w:tc>
          <w:tcPr>
            <w:tcW w:type="dxa" w:w="850"/>
          </w:tcPr>
          <w:p>
            <w:pPr>
              <w:spacing w:after="0"/>
            </w:pPr>
            <w:r>
              <w:rPr>
                <w:b w:val="0"/>
                <w:i w:val="0"/>
                <w:sz w:val="12"/>
              </w:rPr>
              <w:t>−0,25</w:t>
            </w:r>
          </w:p>
        </w:tc>
        <w:tc>
          <w:tcPr>
            <w:tcW w:type="dxa" w:w="850"/>
          </w:tcPr>
          <w:p>
            <w:pPr>
              <w:spacing w:after="0"/>
            </w:pPr>
            <w:r>
              <w:rPr>
                <w:b w:val="0"/>
                <w:i w:val="0"/>
                <w:sz w:val="12"/>
              </w:rPr>
              <w:t>0,10</w:t>
            </w:r>
          </w:p>
        </w:tc>
        <w:tc>
          <w:tcPr>
            <w:tcW w:type="dxa" w:w="907"/>
          </w:tcPr>
          <w:p>
            <w:pPr>
              <w:spacing w:after="0"/>
            </w:pPr>
            <w:r>
              <w:rPr>
                <w:b w:val="0"/>
                <w:i w:val="0"/>
                <w:sz w:val="12"/>
              </w:rPr>
              <w:t>0 %</w:t>
            </w:r>
          </w:p>
        </w:tc>
        <w:tc>
          <w:tcPr>
            <w:tcW w:type="dxa" w:w="907"/>
          </w:tcPr>
          <w:p>
            <w:pPr>
              <w:spacing w:after="0"/>
            </w:pPr>
            <w:r>
              <w:rPr>
                <w:b w:val="0"/>
                <w:i w:val="0"/>
                <w:sz w:val="12"/>
              </w:rPr>
              <w:t>−56 %</w:t>
            </w:r>
          </w:p>
        </w:tc>
        <w:tc>
          <w:tcPr>
            <w:tcW w:type="dxa" w:w="1020"/>
          </w:tcPr>
          <w:p>
            <w:pPr>
              <w:spacing w:after="0"/>
            </w:pPr>
            <w:r>
              <w:rPr>
                <w:b w:val="0"/>
                <w:i w:val="0"/>
                <w:sz w:val="12"/>
              </w:rPr>
              <w:t>99 %</w:t>
            </w:r>
          </w:p>
        </w:tc>
        <w:tc>
          <w:tcPr>
            <w:tcW w:type="dxa" w:w="850"/>
          </w:tcPr>
          <w:p>
            <w:pPr>
              <w:spacing w:after="0"/>
            </w:pPr>
            <w:r>
              <w:rPr>
                <w:b w:val="0"/>
                <w:i w:val="0"/>
                <w:sz w:val="12"/>
              </w:rPr>
              <w:t>2 / 0</w:t>
            </w:r>
          </w:p>
        </w:tc>
      </w:tr>
      <w:tr>
        <w:tc>
          <w:tcPr>
            <w:tcW w:type="dxa" w:w="1474"/>
            <w:shd w:val="clear" w:color="auto" w:fill="F3F3F1"/>
          </w:tcPr>
          <w:p>
            <w:pPr>
              <w:spacing w:after="0"/>
            </w:pPr>
            <w:r>
              <w:rPr>
                <w:b w:val="0"/>
                <w:i w:val="0"/>
                <w:sz w:val="12"/>
              </w:rPr>
              <w:t>Anacarde – Côte d'Ivoire</w:t>
            </w:r>
          </w:p>
        </w:tc>
        <w:tc>
          <w:tcPr>
            <w:tcW w:type="dxa" w:w="1134"/>
            <w:shd w:val="clear" w:color="auto" w:fill="F3F3F1"/>
          </w:tcPr>
          <w:p>
            <w:pPr>
              <w:spacing w:after="0"/>
            </w:pPr>
            <w:r>
              <w:rPr>
                <w:b w:val="0"/>
                <w:i w:val="0"/>
                <w:sz w:val="12"/>
              </w:rPr>
              <w:t>2016 – 2026</w:t>
            </w:r>
          </w:p>
        </w:tc>
        <w:tc>
          <w:tcPr>
            <w:tcW w:type="dxa" w:w="737"/>
            <w:shd w:val="clear" w:color="auto" w:fill="F3F3F1"/>
          </w:tcPr>
          <w:p>
            <w:pPr>
              <w:spacing w:after="0"/>
            </w:pPr>
            <w:r>
              <w:rPr>
                <w:b w:val="0"/>
                <w:i w:val="0"/>
                <w:sz w:val="12"/>
              </w:rPr>
              <w:t>19 %</w:t>
            </w:r>
          </w:p>
        </w:tc>
        <w:tc>
          <w:tcPr>
            <w:tcW w:type="dxa" w:w="737"/>
            <w:shd w:val="clear" w:color="auto" w:fill="F3F3F1"/>
          </w:tcPr>
          <w:p>
            <w:pPr>
              <w:spacing w:after="0"/>
            </w:pPr>
            <w:r>
              <w:rPr>
                <w:b w:val="0"/>
                <w:i w:val="0"/>
                <w:sz w:val="12"/>
              </w:rPr>
              <w:t>19 %</w:t>
            </w:r>
          </w:p>
        </w:tc>
        <w:tc>
          <w:tcPr>
            <w:tcW w:type="dxa" w:w="737"/>
            <w:shd w:val="clear" w:color="auto" w:fill="F3F3F1"/>
          </w:tcPr>
          <w:p>
            <w:pPr>
              <w:spacing w:after="0"/>
            </w:pPr>
            <w:r>
              <w:rPr>
                <w:b w:val="0"/>
                <w:i w:val="0"/>
                <w:sz w:val="12"/>
              </w:rPr>
              <w:t>26 %</w:t>
            </w:r>
          </w:p>
        </w:tc>
        <w:tc>
          <w:tcPr>
            <w:tcW w:type="dxa" w:w="850"/>
            <w:shd w:val="clear" w:color="auto" w:fill="F3F3F1"/>
          </w:tcPr>
          <w:p>
            <w:pPr>
              <w:spacing w:after="0"/>
            </w:pPr>
            <w:r>
              <w:rPr>
                <w:b w:val="0"/>
                <w:i w:val="0"/>
                <w:sz w:val="12"/>
              </w:rPr>
              <w:t>−0,07</w:t>
            </w:r>
          </w:p>
        </w:tc>
        <w:tc>
          <w:tcPr>
            <w:tcW w:type="dxa" w:w="850"/>
            <w:shd w:val="clear" w:color="auto" w:fill="F3F3F1"/>
          </w:tcPr>
          <w:p>
            <w:pPr>
              <w:spacing w:after="0"/>
            </w:pPr>
            <w:r>
              <w:rPr>
                <w:b w:val="0"/>
                <w:i w:val="0"/>
                <w:sz w:val="12"/>
              </w:rPr>
              <w:t>−0,87</w:t>
            </w:r>
          </w:p>
        </w:tc>
        <w:tc>
          <w:tcPr>
            <w:tcW w:type="dxa" w:w="907"/>
            <w:shd w:val="clear" w:color="auto" w:fill="F3F3F1"/>
          </w:tcPr>
          <w:p>
            <w:pPr>
              <w:spacing w:after="0"/>
            </w:pPr>
            <w:r>
              <w:rPr>
                <w:b w:val="0"/>
                <w:i w:val="0"/>
                <w:sz w:val="12"/>
              </w:rPr>
              <w:t>−45 %</w:t>
            </w:r>
          </w:p>
        </w:tc>
        <w:tc>
          <w:tcPr>
            <w:tcW w:type="dxa" w:w="907"/>
            <w:shd w:val="clear" w:color="auto" w:fill="F3F3F1"/>
          </w:tcPr>
          <w:p>
            <w:pPr>
              <w:spacing w:after="0"/>
            </w:pPr>
            <w:r>
              <w:rPr>
                <w:b w:val="0"/>
                <w:i w:val="0"/>
                <w:sz w:val="12"/>
              </w:rPr>
              <w:t>−38 %</w:t>
            </w:r>
          </w:p>
        </w:tc>
        <w:tc>
          <w:tcPr>
            <w:tcW w:type="dxa" w:w="1020"/>
            <w:shd w:val="clear" w:color="auto" w:fill="F3F3F1"/>
          </w:tcPr>
          <w:p>
            <w:pPr>
              <w:spacing w:after="0"/>
            </w:pPr>
            <w:r>
              <w:rPr>
                <w:b w:val="0"/>
                <w:i w:val="0"/>
                <w:sz w:val="12"/>
              </w:rPr>
              <w:t>26 %</w:t>
            </w:r>
          </w:p>
        </w:tc>
        <w:tc>
          <w:tcPr>
            <w:tcW w:type="dxa" w:w="850"/>
            <w:shd w:val="clear" w:color="auto" w:fill="F3F3F1"/>
          </w:tcPr>
          <w:p>
            <w:pPr>
              <w:spacing w:after="0"/>
            </w:pPr>
            <w:r>
              <w:rPr>
                <w:b w:val="0"/>
                <w:i w:val="0"/>
                <w:sz w:val="12"/>
              </w:rPr>
              <w:t>2 / 1</w:t>
            </w:r>
          </w:p>
        </w:tc>
      </w:tr>
      <w:tr>
        <w:tc>
          <w:tcPr>
            <w:tcW w:type="dxa" w:w="1474"/>
          </w:tcPr>
          <w:p>
            <w:pPr>
              <w:spacing w:after="0"/>
            </w:pPr>
            <w:r>
              <w:rPr>
                <w:b w:val="0"/>
                <w:i w:val="0"/>
                <w:sz w:val="12"/>
              </w:rPr>
              <w:t>Hévéa – Côte d'Ivoire</w:t>
            </w:r>
          </w:p>
        </w:tc>
        <w:tc>
          <w:tcPr>
            <w:tcW w:type="dxa" w:w="1134"/>
          </w:tcPr>
          <w:p>
            <w:pPr>
              <w:spacing w:after="0"/>
            </w:pPr>
            <w:r>
              <w:rPr>
                <w:b w:val="0"/>
                <w:i w:val="0"/>
                <w:sz w:val="12"/>
              </w:rPr>
              <w:t>2011 – 2026</w:t>
            </w:r>
          </w:p>
        </w:tc>
        <w:tc>
          <w:tcPr>
            <w:tcW w:type="dxa" w:w="737"/>
          </w:tcPr>
          <w:p>
            <w:pPr>
              <w:spacing w:after="0"/>
            </w:pPr>
            <w:r>
              <w:rPr>
                <w:b w:val="0"/>
                <w:i w:val="0"/>
                <w:sz w:val="12"/>
              </w:rPr>
              <w:t>35 %</w:t>
            </w:r>
          </w:p>
        </w:tc>
        <w:tc>
          <w:tcPr>
            <w:tcW w:type="dxa" w:w="737"/>
          </w:tcPr>
          <w:p>
            <w:pPr>
              <w:spacing w:after="0"/>
            </w:pPr>
            <w:r>
              <w:rPr>
                <w:b w:val="0"/>
                <w:i w:val="0"/>
                <w:sz w:val="12"/>
              </w:rPr>
              <w:t>42 %</w:t>
            </w:r>
          </w:p>
        </w:tc>
        <w:tc>
          <w:tcPr>
            <w:tcW w:type="dxa" w:w="737"/>
          </w:tcPr>
          <w:p>
            <w:pPr>
              <w:spacing w:after="0"/>
            </w:pPr>
            <w:r>
              <w:rPr>
                <w:b w:val="0"/>
                <w:i w:val="0"/>
                <w:sz w:val="12"/>
              </w:rPr>
              <w:t>65 %</w:t>
            </w:r>
          </w:p>
        </w:tc>
        <w:tc>
          <w:tcPr>
            <w:tcW w:type="dxa" w:w="850"/>
          </w:tcPr>
          <w:p>
            <w:pPr>
              <w:spacing w:after="0"/>
            </w:pPr>
            <w:r>
              <w:rPr>
                <w:b w:val="0"/>
                <w:i w:val="0"/>
                <w:sz w:val="12"/>
              </w:rPr>
              <w:t>0,94</w:t>
            </w:r>
          </w:p>
        </w:tc>
        <w:tc>
          <w:tcPr>
            <w:tcW w:type="dxa" w:w="850"/>
          </w:tcPr>
          <w:p>
            <w:pPr>
              <w:spacing w:after="0"/>
            </w:pPr>
            <w:r>
              <w:rPr>
                <w:b w:val="0"/>
                <w:i w:val="0"/>
                <w:sz w:val="12"/>
              </w:rPr>
              <w:t>1,16</w:t>
            </w:r>
          </w:p>
        </w:tc>
        <w:tc>
          <w:tcPr>
            <w:tcW w:type="dxa" w:w="907"/>
          </w:tcPr>
          <w:p>
            <w:pPr>
              <w:spacing w:after="0"/>
            </w:pPr>
            <w:r>
              <w:rPr>
                <w:b w:val="0"/>
                <w:i w:val="0"/>
                <w:sz w:val="12"/>
              </w:rPr>
              <w:t>−73 %</w:t>
            </w:r>
          </w:p>
        </w:tc>
        <w:tc>
          <w:tcPr>
            <w:tcW w:type="dxa" w:w="907"/>
          </w:tcPr>
          <w:p>
            <w:pPr>
              <w:spacing w:after="0"/>
            </w:pPr>
            <w:r>
              <w:rPr>
                <w:b w:val="0"/>
                <w:i w:val="0"/>
                <w:sz w:val="12"/>
              </w:rPr>
              <w:t>−29 %</w:t>
            </w:r>
          </w:p>
        </w:tc>
        <w:tc>
          <w:tcPr>
            <w:tcW w:type="dxa" w:w="1020"/>
          </w:tcPr>
          <w:p>
            <w:pPr>
              <w:spacing w:after="0"/>
            </w:pPr>
            <w:r>
              <w:rPr>
                <w:b w:val="0"/>
                <w:i w:val="0"/>
                <w:sz w:val="12"/>
              </w:rPr>
              <w:t>10 %</w:t>
            </w:r>
          </w:p>
        </w:tc>
        <w:tc>
          <w:tcPr>
            <w:tcW w:type="dxa" w:w="850"/>
          </w:tcPr>
          <w:p>
            <w:pPr>
              <w:spacing w:after="0"/>
            </w:pPr>
            <w:r>
              <w:rPr>
                <w:b w:val="0"/>
                <w:i w:val="0"/>
                <w:sz w:val="12"/>
              </w:rPr>
              <w:t>4 / 4</w:t>
            </w:r>
          </w:p>
        </w:tc>
      </w:tr>
    </w:tbl>
    <w:p>
      <w:pPr>
        <w:spacing w:after="20"/>
      </w:pPr>
    </w:p>
    <w:p>
      <w:pPr>
        <w:spacing w:after="40"/>
      </w:pPr>
      <w:r>
        <w:rPr>
          <w:b w:val="0"/>
          <w:i w:val="0"/>
          <w:sz w:val="13"/>
        </w:rPr>
        <w:t>Chocs comptés sur les variations annuelles du prix international en monnaie locale (seuils de 15 % et 20 %) ; les épisodes infra-annuels (cacao 2016-17, coton 2020) n'apparaissent qu'avec le seuil mensuel de l'onglet EPISODES. Note : au Ghana, la volatilité est mesurée en cedis et intègre donc la dépréciation et l'inflation. Un CV du prix producteur faible ne signifie pas une résilience élevée (voir la section 1). Méthodologie complète : METHODOLOGIE_RESILIENCE.md ; limites : AUDIT_DONNEES.md.</w:t>
      </w:r>
    </w:p>
    <w:sectPr w:rsidR="00FC693F" w:rsidRPr="0006063C" w:rsidSect="00034616">
      <w:pgSz w:w="11906" w:h="16838"/>
      <w:pgMar w:top="680" w:right="850" w:bottom="624" w:left="850" w:header="72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514E"/>
        <w:sz w:val="13"/>
      </w:rPr>
      <w:t>MINADERPV – Note au Ministre – Résilience des filières aux chocs de prix internationaux – 1er octobre 2026 – Chiffres de qualité B/C à valider (voir AUDIT_DONNEES.md)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eastAsiaTheme="majorEastAsia" w:cstheme="majorBidi" w:ascii="Arial" w:hAnsi="Arial" w:cs="Arial"/>
      <w:b/>
      <w:bCs/>
      <w:color w:val="1F4E3D"/>
      <w:sz w:val="22"/>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eastAsiaTheme="majorEastAsia" w:cstheme="majorBidi" w:ascii="Arial" w:hAnsi="Arial" w:cs="Arial"/>
      <w:b/>
      <w:bCs/>
      <w:color w:val="1F4E3D"/>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