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325C" w:sz="12" w:space="4"/>
        </w:pBdr>
        <w:spacing w:after="100"/>
      </w:pPr>
      <w:r>
        <w:rPr>
          <w:rFonts w:ascii="Arial" w:cs="Arial" w:eastAsia="Arial" w:hAnsi="Arial"/>
          <w:b/>
          <w:bCs/>
          <w:color w:val="14325C"/>
          <w:sz w:val="14"/>
          <w:szCs w:val="14"/>
        </w:rPr>
        <w:t xml:space="preserve">NOTE À L'ATTENTION DE MONSIEUR LE MINISTRE</w:t>
      </w:r>
      <w:r>
        <w:rPr>
          <w:rFonts w:ascii="Arial" w:cs="Arial" w:eastAsia="Arial" w:hAnsi="Arial"/>
          <w:color w:val="52514E"/>
          <w:sz w:val="14"/>
          <w:szCs w:val="14"/>
        </w:rPr>
        <w:t xml:space="preserve">    ·    Benchmark international des prix agricoles · Octobre 2026</w:t>
      </w:r>
    </w:p>
    <w:p>
      <w:pPr>
        <w:spacing w:after="40" w:before="0" w:line="240" w:lineRule="auto"/>
      </w:pPr>
      <w:r>
        <w:rPr>
          <w:rFonts w:ascii="Arial" w:cs="Arial" w:eastAsia="Arial" w:hAnsi="Arial"/>
          <w:b/>
          <w:bCs/>
          <w:color w:val="14325C"/>
          <w:sz w:val="40"/>
          <w:szCs w:val="40"/>
        </w:rPr>
        <w:t xml:space="preserve">LES PRIX AGRICOLES IVOIRIENS SONT-ILS COMPÉTITIFS ?</w:t>
      </w:r>
    </w:p>
    <w:p>
      <w:pPr>
        <w:spacing w:after="120" w:before="0" w:line="252" w:lineRule="auto"/>
      </w:pPr>
      <w:r>
        <w:rPr>
          <w:rFonts w:ascii="Arial" w:cs="Arial" w:eastAsia="Arial" w:hAnsi="Arial"/>
          <w:color w:val="52514E"/>
          <w:sz w:val="19"/>
          <w:szCs w:val="19"/>
        </w:rPr>
        <w:t xml:space="preserve">Benchmark international des principales filières végétales – données arrêtées au 1er octobre 2026</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c>
          <w:tcPr>
            <w:tcW w:type="dxa" w:w="10318"/>
            <w:tcBorders>
              <w:top w:val="none" w:color="FFFFFF" w:sz="0"/>
              <w:left w:val="none" w:color="FFFFFF" w:sz="0"/>
              <w:bottom w:val="none" w:color="FFFFFF" w:sz="0"/>
              <w:right w:val="none" w:color="FFFFFF" w:sz="0"/>
            </w:tcBorders>
            <w:shd w:fill="14325C" w:color="auto" w:val="clear"/>
            <w:tcMar>
              <w:top w:type="dxa" w:w="100"/>
              <w:left w:type="dxa" w:w="80"/>
              <w:bottom w:type="dxa" w:w="100"/>
              <w:right w:type="dxa" w:w="80"/>
            </w:tcMar>
            <w:vAlign w:val="top"/>
          </w:tcPr>
          <w:p>
            <w:pPr>
              <w:spacing w:after="30" w:before="0" w:line="252" w:lineRule="auto"/>
            </w:pPr>
            <w:r>
              <w:rPr>
                <w:rFonts w:ascii="Arial" w:cs="Arial" w:eastAsia="Arial" w:hAnsi="Arial"/>
                <w:b/>
                <w:bCs/>
                <w:color w:val="9EC5F4"/>
                <w:sz w:val="13"/>
                <w:szCs w:val="13"/>
              </w:rPr>
              <w:t xml:space="preserve">RÉPONSE COURTE</w:t>
            </w:r>
          </w:p>
          <w:p>
            <w:pPr>
              <w:spacing w:after="0" w:before="0" w:line="252" w:lineRule="auto"/>
            </w:pPr>
            <w:r>
              <w:rPr>
                <w:rFonts w:ascii="Arial" w:cs="Arial" w:eastAsia="Arial" w:hAnsi="Arial"/>
                <w:b/>
                <w:bCs/>
                <w:color w:val="FFFFFF"/>
                <w:sz w:val="18"/>
                <w:szCs w:val="18"/>
              </w:rPr>
              <w:t xml:space="preserve">Pas dans la plupart des filières.</w:t>
            </w:r>
            <w:r>
              <w:rPr>
                <w:rFonts w:ascii="Arial" w:cs="Arial" w:eastAsia="Arial" w:hAnsi="Arial"/>
                <w:color w:val="FFFFFF"/>
                <w:sz w:val="18"/>
                <w:szCs w:val="18"/>
              </w:rPr>
              <w:t xml:space="preserve"> Pour le cacao, le café, le caoutchouc et le palmier, le producteur ivoirien perçoit 29 à 42 % de moins que ses concurrents et une part plus faible du prix international. L'anacarde est au niveau de l'UEMOA mais 34 % sous le Ghana ; le coton n'est à parité que grâce au budget ; le riz est payé au-dessus de la parité FOB, au détriment de sa compétitivité.</w:t>
            </w:r>
          </w:p>
        </w:tc>
      </w:tr>
    </w:tbl>
    <w:p>
      <w:pPr>
        <w:spacing w:after="8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4046"/>
        <w:gridCol w:w="6272"/>
      </w:tblGrid>
      <w:tr>
        <w:tc>
          <w:tcPr>
            <w:tcW w:type="dxa" w:w="404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20" w:before="0" w:line="252" w:lineRule="auto"/>
            </w:pPr>
            <w:r>
              <w:rPr>
                <w:rFonts w:ascii="Arial" w:cs="Arial" w:eastAsia="Arial" w:hAnsi="Arial"/>
                <w:b/>
                <w:bCs/>
                <w:color w:val="2A78D6"/>
                <w:sz w:val="12"/>
                <w:szCs w:val="12"/>
              </w:rPr>
              <w:t xml:space="preserve">OBJECTIF</w:t>
            </w:r>
          </w:p>
          <w:p>
            <w:pPr>
              <w:spacing w:after="0" w:before="0" w:line="252" w:lineRule="auto"/>
            </w:pPr>
            <w:r>
              <w:rPr>
                <w:rFonts w:ascii="Arial" w:cs="Arial" w:eastAsia="Arial" w:hAnsi="Arial"/>
                <w:sz w:val="15"/>
                <w:szCs w:val="15"/>
              </w:rPr>
              <w:t xml:space="preserve">Vérifier, filière par filière, si le prix payé au producteur ivoirien est compétitif face aux producteurs concurrents, cohérent avec la valeur internationale du produit et soutenable pour la filière, puis identifier les leviers d'action.</w:t>
            </w:r>
          </w:p>
        </w:tc>
        <w:tc>
          <w:tcPr>
            <w:tcW w:type="dxa" w:w="6272"/>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spacing w:after="20" w:before="0" w:line="252" w:lineRule="auto"/>
            </w:pPr>
            <w:r>
              <w:rPr>
                <w:rFonts w:ascii="Arial" w:cs="Arial" w:eastAsia="Arial" w:hAnsi="Arial"/>
                <w:b/>
                <w:bCs/>
                <w:color w:val="2A78D6"/>
                <w:sz w:val="12"/>
                <w:szCs w:val="12"/>
              </w:rPr>
              <w:t xml:space="preserve">MÉTHODE</w:t>
            </w:r>
          </w:p>
          <w:p>
            <w:pPr>
              <w:spacing w:after="0" w:before="0" w:line="252" w:lineRule="auto"/>
            </w:pPr>
            <w:r>
              <w:rPr>
                <w:rFonts w:ascii="Arial" w:cs="Arial" w:eastAsia="Arial" w:hAnsi="Arial"/>
                <w:sz w:val="15"/>
                <w:szCs w:val="15"/>
              </w:rPr>
              <w:t xml:space="preserve">177 observations de prix (127 sources) appariées par produit, qualité, stade (bord champ) et période ; conversion en FCFA/kg au taux de change moyen de la période exacte (BCE, BRI, banques centrales). Trois indicateurs : </w:t>
            </w:r>
            <w:r>
              <w:rPr>
                <w:rFonts w:ascii="Arial" w:cs="Arial" w:eastAsia="Arial" w:hAnsi="Arial"/>
                <w:b/>
                <w:bCs/>
                <w:sz w:val="15"/>
                <w:szCs w:val="15"/>
              </w:rPr>
              <w:t xml:space="preserve">indice de rémunération</w:t>
            </w:r>
            <w:r>
              <w:rPr>
                <w:rFonts w:ascii="Arial" w:cs="Arial" w:eastAsia="Arial" w:hAnsi="Arial"/>
                <w:sz w:val="15"/>
                <w:szCs w:val="15"/>
              </w:rPr>
              <w:t xml:space="preserve"> (prix CI ÷ médiane des pays comparables), </w:t>
            </w:r>
            <w:r>
              <w:rPr>
                <w:rFonts w:ascii="Arial" w:cs="Arial" w:eastAsia="Arial" w:hAnsi="Arial"/>
                <w:b/>
                <w:bCs/>
                <w:sz w:val="15"/>
                <w:szCs w:val="15"/>
              </w:rPr>
              <w:t xml:space="preserve">taux de transmission</w:t>
            </w:r>
            <w:r>
              <w:rPr>
                <w:rFonts w:ascii="Arial" w:cs="Arial" w:eastAsia="Arial" w:hAnsi="Arial"/>
                <w:sz w:val="15"/>
                <w:szCs w:val="15"/>
              </w:rPr>
              <w:t xml:space="preserve"> (prix bord champ ÷ cours international de la même période, méthode identique pour tous) et </w:t>
            </w:r>
            <w:r>
              <w:rPr>
                <w:rFonts w:ascii="Arial" w:cs="Arial" w:eastAsia="Arial" w:hAnsi="Arial"/>
                <w:b/>
                <w:bCs/>
                <w:sz w:val="15"/>
                <w:szCs w:val="15"/>
              </w:rPr>
              <w:t xml:space="preserve">décomposition de la valeur</w:t>
            </w:r>
            <w:r>
              <w:rPr>
                <w:rFonts w:ascii="Arial" w:cs="Arial" w:eastAsia="Arial" w:hAnsi="Arial"/>
                <w:sz w:val="15"/>
                <w:szCs w:val="15"/>
              </w:rPr>
              <w:t xml:space="preserve">. Les comparaisons imparfaites sont signalées « indicatives ».</w:t>
            </w:r>
          </w:p>
        </w:tc>
      </w:tr>
    </w:tbl>
    <w:p>
      <w:pPr>
        <w:spacing w:after="6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2579"/>
        <w:gridCol w:w="2579"/>
        <w:gridCol w:w="2579"/>
        <w:gridCol w:w="2581"/>
      </w:tblGrid>
      <w:tr>
        <w:tc>
          <w:tcPr>
            <w:tcW w:type="dxa" w:w="2579"/>
            <w:tcBorders>
              <w:top w:val="single" w:color="2A78D6" w:sz="18"/>
              <w:left w:val="single" w:color="E1E0D9" w:sz="4"/>
              <w:bottom w:val="single" w:color="E1E0D9" w:sz="4"/>
              <w:right w:val="single" w:color="E1E0D9" w:sz="4"/>
            </w:tcBorders>
            <w:shd w:fill="FBFBFA" w:color="auto" w:val="clear"/>
            <w:tcMar>
              <w:top w:type="dxa" w:w="80"/>
              <w:left w:type="dxa" w:w="80"/>
              <w:bottom w:type="dxa" w:w="80"/>
              <w:right w:type="dxa" w:w="80"/>
            </w:tcMar>
            <w:vAlign w:val="top"/>
          </w:tcPr>
          <w:p>
            <w:pPr>
              <w:spacing w:after="30"/>
            </w:pPr>
            <w:r>
              <w:rPr>
                <w:rFonts w:ascii="Arial" w:cs="Arial" w:eastAsia="Arial" w:hAnsi="Arial"/>
                <w:b/>
                <w:bCs/>
                <w:color w:val="14325C"/>
                <w:sz w:val="32"/>
                <w:szCs w:val="32"/>
              </w:rPr>
              <w:t xml:space="preserve">1 200</w:t>
            </w:r>
            <w:r>
              <w:rPr>
                <w:rFonts w:ascii="Arial" w:cs="Arial" w:eastAsia="Arial" w:hAnsi="Arial"/>
                <w:b/>
                <w:bCs/>
                <w:color w:val="52514E"/>
                <w:sz w:val="15"/>
                <w:szCs w:val="15"/>
              </w:rPr>
              <w:t xml:space="preserve"> FCFA/kg</w:t>
            </w:r>
          </w:p>
          <w:p>
            <w:pPr>
              <w:spacing w:after="0" w:before="0" w:line="220" w:lineRule="auto"/>
            </w:pPr>
            <w:r>
              <w:rPr>
                <w:rFonts w:ascii="Arial" w:cs="Arial" w:eastAsia="Arial" w:hAnsi="Arial"/>
                <w:sz w:val="13"/>
                <w:szCs w:val="13"/>
              </w:rPr>
              <w:t xml:space="preserve">prix du cacao 2026/27, soit −42 % par rapport au Ghana (2 086 FCFA/kg)</w:t>
            </w:r>
          </w:p>
        </w:tc>
        <w:tc>
          <w:tcPr>
            <w:tcW w:type="dxa" w:w="2579"/>
            <w:tcBorders>
              <w:top w:val="single" w:color="2A78D6" w:sz="18"/>
              <w:left w:val="single" w:color="E1E0D9" w:sz="4"/>
              <w:bottom w:val="single" w:color="E1E0D9" w:sz="4"/>
              <w:right w:val="single" w:color="E1E0D9" w:sz="4"/>
            </w:tcBorders>
            <w:shd w:fill="FBFBFA" w:color="auto" w:val="clear"/>
            <w:tcMar>
              <w:top w:type="dxa" w:w="80"/>
              <w:left w:type="dxa" w:w="80"/>
              <w:bottom w:type="dxa" w:w="80"/>
              <w:right w:type="dxa" w:w="80"/>
            </w:tcMar>
            <w:vAlign w:val="top"/>
          </w:tcPr>
          <w:p>
            <w:pPr>
              <w:spacing w:after="30"/>
            </w:pPr>
            <w:r>
              <w:rPr>
                <w:rFonts w:ascii="Arial" w:cs="Arial" w:eastAsia="Arial" w:hAnsi="Arial"/>
                <w:b/>
                <w:bCs/>
                <w:color w:val="14325C"/>
                <w:sz w:val="32"/>
                <w:szCs w:val="32"/>
              </w:rPr>
              <w:t xml:space="preserve">35 %</w:t>
            </w:r>
            <w:r>
              <w:rPr>
                <w:rFonts w:ascii="Arial" w:cs="Arial" w:eastAsia="Arial" w:hAnsi="Arial"/>
                <w:b/>
                <w:bCs/>
                <w:color w:val="52514E"/>
                <w:sz w:val="15"/>
                <w:szCs w:val="15"/>
              </w:rPr>
              <w:t xml:space="preserve"/>
            </w:r>
          </w:p>
          <w:p>
            <w:pPr>
              <w:spacing w:after="0" w:before="0" w:line="220" w:lineRule="auto"/>
            </w:pPr>
            <w:r>
              <w:rPr>
                <w:rFonts w:ascii="Arial" w:cs="Arial" w:eastAsia="Arial" w:hAnsi="Arial"/>
                <w:sz w:val="13"/>
                <w:szCs w:val="13"/>
              </w:rPr>
              <w:t xml:space="preserve">du cours mondial du cacao (août 2026) reçus par le planteur ivoirien, contre 62 % au Ghana</w:t>
            </w:r>
          </w:p>
        </w:tc>
        <w:tc>
          <w:tcPr>
            <w:tcW w:type="dxa" w:w="2579"/>
            <w:tcBorders>
              <w:top w:val="single" w:color="2A78D6" w:sz="18"/>
              <w:left w:val="single" w:color="E1E0D9" w:sz="4"/>
              <w:bottom w:val="single" w:color="E1E0D9" w:sz="4"/>
              <w:right w:val="single" w:color="E1E0D9" w:sz="4"/>
            </w:tcBorders>
            <w:shd w:fill="FBFBFA" w:color="auto" w:val="clear"/>
            <w:tcMar>
              <w:top w:type="dxa" w:w="80"/>
              <w:left w:type="dxa" w:w="80"/>
              <w:bottom w:type="dxa" w:w="80"/>
              <w:right w:type="dxa" w:w="80"/>
            </w:tcMar>
            <w:vAlign w:val="top"/>
          </w:tcPr>
          <w:p>
            <w:pPr>
              <w:spacing w:after="30"/>
            </w:pPr>
            <w:r>
              <w:rPr>
                <w:rFonts w:ascii="Arial" w:cs="Arial" w:eastAsia="Arial" w:hAnsi="Arial"/>
                <w:b/>
                <w:bCs/>
                <w:color w:val="14325C"/>
                <w:sz w:val="32"/>
                <w:szCs w:val="32"/>
              </w:rPr>
              <w:t xml:space="preserve">46 %</w:t>
            </w:r>
            <w:r>
              <w:rPr>
                <w:rFonts w:ascii="Arial" w:cs="Arial" w:eastAsia="Arial" w:hAnsi="Arial"/>
                <w:b/>
                <w:bCs/>
                <w:color w:val="52514E"/>
                <w:sz w:val="15"/>
                <w:szCs w:val="15"/>
              </w:rPr>
              <w:t xml:space="preserve"/>
            </w:r>
          </w:p>
          <w:p>
            <w:pPr>
              <w:spacing w:after="0" w:before="0" w:line="220" w:lineRule="auto"/>
            </w:pPr>
            <w:r>
              <w:rPr>
                <w:rFonts w:ascii="Arial" w:cs="Arial" w:eastAsia="Arial" w:hAnsi="Arial"/>
                <w:sz w:val="13"/>
                <w:szCs w:val="13"/>
              </w:rPr>
              <w:t xml:space="preserve">de la valeur CFR Asie de la noix de cajou reçus bord champ (Burkina 44 %, G.-Bissau 47 %, Ghana 69 %)</w:t>
            </w:r>
          </w:p>
        </w:tc>
        <w:tc>
          <w:tcPr>
            <w:tcW w:type="dxa" w:w="2581"/>
            <w:tcBorders>
              <w:top w:val="single" w:color="2A78D6" w:sz="18"/>
              <w:left w:val="single" w:color="E1E0D9" w:sz="4"/>
              <w:bottom w:val="single" w:color="E1E0D9" w:sz="4"/>
              <w:right w:val="single" w:color="E1E0D9" w:sz="4"/>
            </w:tcBorders>
            <w:shd w:fill="FBFBFA" w:color="auto" w:val="clear"/>
            <w:tcMar>
              <w:top w:type="dxa" w:w="80"/>
              <w:left w:type="dxa" w:w="80"/>
              <w:bottom w:type="dxa" w:w="80"/>
              <w:right w:type="dxa" w:w="80"/>
            </w:tcMar>
            <w:vAlign w:val="top"/>
          </w:tcPr>
          <w:p>
            <w:pPr>
              <w:spacing w:after="30"/>
            </w:pPr>
            <w:r>
              <w:rPr>
                <w:rFonts w:ascii="Arial" w:cs="Arial" w:eastAsia="Arial" w:hAnsi="Arial"/>
                <w:b/>
                <w:bCs/>
                <w:color w:val="14325C"/>
                <w:sz w:val="32"/>
                <w:szCs w:val="32"/>
              </w:rPr>
              <w:t xml:space="preserve">60 %</w:t>
            </w:r>
            <w:r>
              <w:rPr>
                <w:rFonts w:ascii="Arial" w:cs="Arial" w:eastAsia="Arial" w:hAnsi="Arial"/>
                <w:b/>
                <w:bCs/>
                <w:color w:val="52514E"/>
                <w:sz w:val="15"/>
                <w:szCs w:val="15"/>
              </w:rPr>
              <w:t xml:space="preserve"/>
            </w:r>
          </w:p>
          <w:p>
            <w:pPr>
              <w:spacing w:after="0" w:before="0" w:line="220" w:lineRule="auto"/>
            </w:pPr>
            <w:r>
              <w:rPr>
                <w:rFonts w:ascii="Arial" w:cs="Arial" w:eastAsia="Arial" w:hAnsi="Arial"/>
                <w:sz w:val="13"/>
                <w:szCs w:val="13"/>
              </w:rPr>
              <w:t xml:space="preserve">du cours SICOM (kg sec) reçus par l'hévéaculteur, contre ≈100 % en Thaïlande</w:t>
            </w:r>
          </w:p>
        </w:tc>
      </w:tr>
    </w:tbl>
    <w:p>
      <w:pPr>
        <w:spacing w:after="60"/>
      </w:pPr>
    </w:p>
    <w:p>
      <w:pPr>
        <w:keepNext/>
        <w:pBdr>
          <w:left w:val="single" w:color="2A78D6" w:sz="18" w:space="6"/>
        </w:pBdr>
        <w:spacing w:after="60" w:before="80" w:line="252" w:lineRule="auto"/>
      </w:pPr>
      <w:r>
        <w:rPr>
          <w:rFonts w:ascii="Arial" w:cs="Arial" w:eastAsia="Arial" w:hAnsi="Arial"/>
          <w:b/>
          <w:bCs/>
          <w:color w:val="14325C"/>
          <w:sz w:val="19"/>
          <w:szCs w:val="19"/>
        </w:rPr>
        <w:t xml:space="preserve">Six constats majeurs</w:t>
      </w:r>
    </w:p>
    <w:p>
      <w:pPr>
        <w:pStyle w:val="ListParagraph"/>
        <w:numPr>
          <w:ilvl w:val="0"/>
          <w:numId w:val="2"/>
        </w:numPr>
        <w:spacing w:after="40" w:line="240" w:lineRule="auto"/>
      </w:pPr>
      <w:r>
        <w:rPr>
          <w:rFonts w:ascii="Arial" w:cs="Arial" w:eastAsia="Arial" w:hAnsi="Arial"/>
          <w:b/>
          <w:bCs/>
          <w:sz w:val="16"/>
          <w:szCs w:val="16"/>
        </w:rPr>
        <w:t xml:space="preserve">Cacao : les ventes anticipées pèsent désormais sur le planteur.</w:t>
      </w:r>
      <w:r>
        <w:rPr>
          <w:rFonts w:ascii="Arial" w:cs="Arial" w:eastAsia="Arial" w:hAnsi="Arial"/>
          <w:sz w:val="16"/>
          <w:szCs w:val="16"/>
        </w:rPr>
        <w:t xml:space="preserve"> 1 200 FCFA/kg en 2026/27 contre 2 086 au Ghana (−42 %) ; 35 % du cours mondial contre 62 %. Sur dix campagnes : 56 % en moyenne (Ghana 64 %). Le système a protégé les planteurs pendant la chute (103 % du cours en principale 2025/26) mais les prive de la remontée.</w:t>
      </w:r>
    </w:p>
    <w:p>
      <w:pPr>
        <w:pStyle w:val="ListParagraph"/>
        <w:numPr>
          <w:ilvl w:val="0"/>
          <w:numId w:val="2"/>
        </w:numPr>
        <w:spacing w:after="40" w:line="240" w:lineRule="auto"/>
      </w:pPr>
      <w:r>
        <w:rPr>
          <w:rFonts w:ascii="Arial" w:cs="Arial" w:eastAsia="Arial" w:hAnsi="Arial"/>
          <w:b/>
          <w:bCs/>
          <w:sz w:val="16"/>
          <w:szCs w:val="16"/>
        </w:rPr>
        <w:t xml:space="preserve">Café, caoutchouc, palmier : une rémunération inférieure de 29 à 34 % à celle des concurrents</w:t>
      </w:r>
      <w:r>
        <w:rPr>
          <w:rFonts w:ascii="Arial" w:cs="Arial" w:eastAsia="Arial" w:hAnsi="Arial"/>
          <w:sz w:val="16"/>
          <w:szCs w:val="16"/>
        </w:rPr>
        <w:t xml:space="preserve"> (indices 68, 71 et 66). Le régime de palme vaut 14 % du prix mondial de l'huile brute, contre 21 % à 22 % en Asie.</w:t>
      </w:r>
    </w:p>
    <w:p>
      <w:pPr>
        <w:pStyle w:val="ListParagraph"/>
        <w:numPr>
          <w:ilvl w:val="0"/>
          <w:numId w:val="2"/>
        </w:numPr>
        <w:spacing w:after="40" w:line="240" w:lineRule="auto"/>
      </w:pPr>
      <w:r>
        <w:rPr>
          <w:rFonts w:ascii="Arial" w:cs="Arial" w:eastAsia="Arial" w:hAnsi="Arial"/>
          <w:b/>
          <w:bCs/>
          <w:sz w:val="16"/>
          <w:szCs w:val="16"/>
        </w:rPr>
        <w:t xml:space="preserve">Anacarde : un prix plancher au niveau des voisins de l'UEMOA</w:t>
      </w:r>
      <w:r>
        <w:rPr>
          <w:rFonts w:ascii="Arial" w:cs="Arial" w:eastAsia="Arial" w:hAnsi="Arial"/>
          <w:sz w:val="16"/>
          <w:szCs w:val="16"/>
        </w:rPr>
        <w:t xml:space="preserve"> (400 FCFA/kg contre 385 à 410), mais 34 % sous le Ghana ; 40 % de la valeur se forme entre le port et l'acheteur asiatique.</w:t>
      </w:r>
    </w:p>
    <w:p>
      <w:pPr>
        <w:pStyle w:val="ListParagraph"/>
        <w:numPr>
          <w:ilvl w:val="0"/>
          <w:numId w:val="2"/>
        </w:numPr>
        <w:spacing w:after="40" w:line="240" w:lineRule="auto"/>
      </w:pPr>
      <w:r>
        <w:rPr>
          <w:rFonts w:ascii="Arial" w:cs="Arial" w:eastAsia="Arial" w:hAnsi="Arial"/>
          <w:b/>
          <w:bCs/>
          <w:sz w:val="16"/>
          <w:szCs w:val="16"/>
        </w:rPr>
        <w:t xml:space="preserve">Coton : la parité régionale</w:t>
      </w:r>
      <w:r>
        <w:rPr>
          <w:rFonts w:ascii="Arial" w:cs="Arial" w:eastAsia="Arial" w:hAnsi="Arial"/>
          <w:sz w:val="16"/>
          <w:szCs w:val="16"/>
        </w:rPr>
        <w:t xml:space="preserve"> (310 contre une médiane de 300 FCFA/kg) </w:t>
      </w:r>
      <w:r>
        <w:rPr>
          <w:rFonts w:ascii="Arial" w:cs="Arial" w:eastAsia="Arial" w:hAnsi="Arial"/>
          <w:b/>
          <w:bCs/>
          <w:sz w:val="16"/>
          <w:szCs w:val="16"/>
        </w:rPr>
        <w:t xml:space="preserve">repose sur une subvention de 25,3 Mds FCFA</w:t>
      </w:r>
      <w:r>
        <w:rPr>
          <w:rFonts w:ascii="Arial" w:cs="Arial" w:eastAsia="Arial" w:hAnsi="Arial"/>
          <w:sz w:val="16"/>
          <w:szCs w:val="16"/>
        </w:rPr>
        <w:t xml:space="preserve">, soit ≈72 FCFA/kg (23 % du prix).</w:t>
      </w:r>
    </w:p>
    <w:p>
      <w:pPr>
        <w:pStyle w:val="ListParagraph"/>
        <w:numPr>
          <w:ilvl w:val="0"/>
          <w:numId w:val="2"/>
        </w:numPr>
        <w:spacing w:after="40" w:line="240" w:lineRule="auto"/>
      </w:pPr>
      <w:r>
        <w:rPr>
          <w:rFonts w:ascii="Arial" w:cs="Arial" w:eastAsia="Arial" w:hAnsi="Arial"/>
          <w:b/>
          <w:bCs/>
          <w:sz w:val="16"/>
          <w:szCs w:val="16"/>
        </w:rPr>
        <w:t xml:space="preserve">Riz : un paddy bien payé mais peu compétitif.</w:t>
      </w:r>
      <w:r>
        <w:rPr>
          <w:rFonts w:ascii="Arial" w:cs="Arial" w:eastAsia="Arial" w:hAnsi="Arial"/>
          <w:sz w:val="16"/>
          <w:szCs w:val="16"/>
        </w:rPr>
        <w:t xml:space="preserve"> 233 FCFA/kg, +79 % par rapport au Sénégal et +51 % au-dessus de l'équivalent paddy du riz thaï FOB : l'enjeu est le coût de revient, pas le prix.</w:t>
      </w:r>
    </w:p>
    <w:p>
      <w:pPr>
        <w:pStyle w:val="ListParagraph"/>
        <w:numPr>
          <w:ilvl w:val="0"/>
          <w:numId w:val="2"/>
        </w:numPr>
        <w:spacing w:after="40" w:line="240" w:lineRule="auto"/>
      </w:pPr>
      <w:r>
        <w:rPr>
          <w:rFonts w:ascii="Arial" w:cs="Arial" w:eastAsia="Arial" w:hAnsi="Arial"/>
          <w:b/>
          <w:bCs/>
          <w:sz w:val="16"/>
          <w:szCs w:val="16"/>
        </w:rPr>
        <w:t xml:space="preserve">Fruits et vivriers : aucun prix bord champ public comparable.</w:t>
      </w:r>
      <w:r>
        <w:rPr>
          <w:rFonts w:ascii="Arial" w:cs="Arial" w:eastAsia="Arial" w:hAnsi="Arial"/>
          <w:sz w:val="16"/>
          <w:szCs w:val="16"/>
        </w:rPr>
        <w:t xml:space="preserve"> Aucune conclusion robuste n'est possible ; un dispositif d'information sur les prix au producteur est un préalable.</w:t>
      </w:r>
    </w:p>
    <w:p>
      <w:pPr>
        <w:keepNext/>
        <w:spacing w:after="40" w:before="0" w:line="252" w:lineRule="auto"/>
      </w:pPr>
      <w:r>
        <w:rPr>
          <w:rFonts w:ascii="Arial" w:cs="Arial" w:eastAsia="Arial" w:hAnsi="Arial"/>
          <w:b/>
          <w:bCs/>
          <w:color w:val="14325C"/>
          <w:sz w:val="16"/>
          <w:szCs w:val="16"/>
        </w:rPr>
        <w:t xml:space="preserve">Graphique 1 – Positionnement des filières : rémunération relative et part du prix international reçue par le producteur ivoirien</w:t>
      </w:r>
    </w:p>
    <w:p>
      <w:pPr>
        <w:spacing w:after="40"/>
      </w:pPr>
      <w:r>
        <w:drawing>
          <wp:inline distT="0" distB="0" distL="0" distR="0">
            <wp:extent cx="6553200" cy="2486025"/>
            <wp:effectExtent t="0" r="0" b="0" l="0"/>
            <wp:docPr id="1" name="fig1_positionnement" descr="fig1_positionnement" title="fig1_positionn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53200" cy="2486025"/>
                    </a:xfrm>
                    <a:prstGeom prst="rect">
                      <a:avLst/>
                    </a:prstGeom>
                  </pic:spPr>
                </pic:pic>
              </a:graphicData>
            </a:graphic>
          </wp:inline>
        </w:drawing>
      </w:r>
    </w:p>
    <w:p>
      <w:pPr>
        <w:spacing w:after="100" w:before="0" w:line="230" w:lineRule="auto"/>
      </w:pPr>
      <w:r>
        <w:rPr>
          <w:rFonts w:ascii="Arial" w:cs="Arial" w:eastAsia="Arial" w:hAnsi="Arial"/>
          <w:color w:val="6E6D68"/>
          <w:sz w:val="12"/>
          <w:szCs w:val="12"/>
        </w:rPr>
        <w:t xml:space="preserve">Source : base Excel jointe (onglets Positionnement, Indicateurs, Decomposition). Cacao et café : ouverture 2026/27 ; anacarde : 2026 ; coton : 2025/26 ; caoutchouc : 2025-2026, base kg sec (DRC 60 %).</w:t>
      </w:r>
    </w:p>
    <w:p>
      <w:pPr>
        <w:pageBreakBefore/>
        <w:pBdr>
          <w:bottom w:val="single" w:color="14325C" w:sz="12" w:space="4"/>
        </w:pBdr>
        <w:spacing w:after="100"/>
      </w:pPr>
      <w:r>
        <w:rPr>
          <w:rFonts w:ascii="Arial" w:cs="Arial" w:eastAsia="Arial" w:hAnsi="Arial"/>
          <w:b/>
          <w:bCs/>
          <w:color w:val="14325C"/>
          <w:sz w:val="14"/>
          <w:szCs w:val="14"/>
        </w:rPr>
        <w:t xml:space="preserve">CARTE GÉNÉRALE DE COMPÉTITIVITÉ</w:t>
      </w:r>
      <w:r>
        <w:rPr>
          <w:rFonts w:ascii="Arial" w:cs="Arial" w:eastAsia="Arial" w:hAnsi="Arial"/>
          <w:color w:val="52514E"/>
          <w:sz w:val="14"/>
          <w:szCs w:val="14"/>
        </w:rPr>
        <w:t xml:space="preserve">    ·    Page 2</w:t>
      </w:r>
    </w:p>
    <w:p>
      <w:pPr>
        <w:spacing w:after="80" w:before="0" w:line="240" w:lineRule="auto"/>
      </w:pPr>
      <w:r>
        <w:rPr>
          <w:rFonts w:ascii="Arial" w:cs="Arial" w:eastAsia="Arial" w:hAnsi="Arial"/>
          <w:b/>
          <w:bCs/>
          <w:color w:val="14325C"/>
          <w:sz w:val="24"/>
          <w:szCs w:val="24"/>
        </w:rPr>
        <w:t xml:space="preserve">Quatre filières sous les concurrents, l'anacarde au niveau régional, le coton à parité grâce au budget, le riz au-dessus mais coûteux</w:t>
      </w:r>
    </w:p>
    <w:p>
      <w:pPr>
        <w:spacing w:after="80" w:before="0" w:line="252" w:lineRule="auto"/>
      </w:pPr>
      <w:r>
        <w:rPr>
          <w:rFonts w:ascii="Arial" w:cs="Arial" w:eastAsia="Arial" w:hAnsi="Arial"/>
          <w:color w:val="3A3A38"/>
          <w:sz w:val="16"/>
          <w:szCs w:val="16"/>
        </w:rPr>
        <w:t xml:space="preserve">Un indice inférieur à 100 signifie que le producteur ivoirien reçoit moins que son homologue, pour un même produit, au même stade et à la même période. La « part du prix international » rapporte le prix bord champ au cours mondial de la même période, avec une méthode identique pour tous les pays.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9"/>
        <w:gridCol w:w="722"/>
        <w:gridCol w:w="1238"/>
        <w:gridCol w:w="825"/>
        <w:gridCol w:w="670"/>
        <w:gridCol w:w="1134"/>
        <w:gridCol w:w="928"/>
        <w:gridCol w:w="2012"/>
        <w:gridCol w:w="1500"/>
      </w:tblGrid>
      <w:tr>
        <w:trPr>
          <w:tblHeader/>
        </w:trPr>
        <w:tc>
          <w:tcPr>
            <w:tcW w:type="dxa" w:w="1289"/>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Filière</w:t>
            </w:r>
          </w:p>
        </w:tc>
        <w:tc>
          <w:tcPr>
            <w:tcW w:type="dxa" w:w="722"/>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Prix CI (FCFA/kg)</w:t>
            </w:r>
          </w:p>
        </w:tc>
        <w:tc>
          <w:tcPr>
            <w:tcW w:type="dxa" w:w="1238"/>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Pays de référence</w:t>
            </w:r>
          </w:p>
        </w:tc>
        <w:tc>
          <w:tcPr>
            <w:tcW w:type="dxa" w:w="825"/>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Prix de référence (FCFA/kg)</w:t>
            </w:r>
          </w:p>
        </w:tc>
        <w:tc>
          <w:tcPr>
            <w:tcW w:type="dxa" w:w="670"/>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Écart CI</w:t>
            </w:r>
          </w:p>
        </w:tc>
        <w:tc>
          <w:tcPr>
            <w:tcW w:type="dxa" w:w="1134"/>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Part du prix international (CI / comparateurs)</w:t>
            </w:r>
          </w:p>
        </w:tc>
        <w:tc>
          <w:tcPr>
            <w:tcW w:type="dxa" w:w="928"/>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Évolution réelle du prix CI (2016→2026)</w:t>
            </w:r>
          </w:p>
        </w:tc>
        <w:tc>
          <w:tcPr>
            <w:tcW w:type="dxa" w:w="2012"/>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Explication principale</w:t>
            </w:r>
          </w:p>
        </w:tc>
        <w:tc>
          <w:tcPr>
            <w:tcW w:type="dxa" w:w="1500"/>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Diagnostic</w:t>
            </w:r>
          </w:p>
        </w:tc>
      </w:tr>
      <w:tr>
        <w:tc>
          <w:tcPr>
            <w:tcW w:type="dxa" w:w="1289"/>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 Cacao</w:t>
            </w:r>
          </w:p>
        </w:tc>
        <w:tc>
          <w:tcPr>
            <w:tcW w:type="dxa" w:w="722"/>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1 200</w:t>
            </w:r>
          </w:p>
        </w:tc>
        <w:tc>
          <w:tcPr>
            <w:tcW w:type="dxa" w:w="1238"/>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Ghana</w:t>
            </w:r>
          </w:p>
        </w:tc>
        <w:tc>
          <w:tcPr>
            <w:tcW w:type="dxa" w:w="825"/>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2 086</w:t>
            </w:r>
          </w:p>
        </w:tc>
        <w:tc>
          <w:tcPr>
            <w:tcW w:type="dxa" w:w="670"/>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−42 %</w:t>
            </w:r>
          </w:p>
        </w:tc>
        <w:tc>
          <w:tcPr>
            <w:tcW w:type="dxa" w:w="1134"/>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35 % / 62 %</w:t>
            </w:r>
          </w:p>
        </w:tc>
        <w:tc>
          <w:tcPr>
            <w:tcW w:type="dxa" w:w="928"/>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−12 %</w:t>
            </w:r>
          </w:p>
        </w:tc>
        <w:tc>
          <w:tcPr>
            <w:tcW w:type="dxa" w:w="2012"/>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Ventes anticipées conclues au creux du marché ; prélèvements ≈22 % du CAF</w:t>
            </w:r>
          </w:p>
        </w:tc>
        <w:tc>
          <w:tcPr>
            <w:tcW w:type="dxa" w:w="1500"/>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Rémunération et transmission faibles</w:t>
            </w:r>
          </w:p>
        </w:tc>
      </w:tr>
      <w:tr>
        <w:tc>
          <w:tcPr>
            <w:tcW w:type="dxa" w:w="1289"/>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 Café</w:t>
            </w:r>
          </w:p>
        </w:tc>
        <w:tc>
          <w:tcPr>
            <w:tcW w:type="dxa" w:w="722"/>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1 300</w:t>
            </w:r>
          </w:p>
        </w:tc>
        <w:tc>
          <w:tcPr>
            <w:tcW w:type="dxa" w:w="1238"/>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Vietnam, Ouganda</w:t>
            </w:r>
          </w:p>
        </w:tc>
        <w:tc>
          <w:tcPr>
            <w:tcW w:type="dxa" w:w="825"/>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1 917</w:t>
            </w:r>
          </w:p>
        </w:tc>
        <w:tc>
          <w:tcPr>
            <w:tcW w:type="dxa" w:w="670"/>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−32 %</w:t>
            </w:r>
          </w:p>
        </w:tc>
        <w:tc>
          <w:tcPr>
            <w:tcW w:type="dxa" w:w="1134"/>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58 % / 83 %</w:t>
            </w:r>
          </w:p>
        </w:tc>
        <w:tc>
          <w:tcPr>
            <w:tcW w:type="dxa" w:w="928"/>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+40 %</w:t>
            </w:r>
          </w:p>
        </w:tc>
        <w:tc>
          <w:tcPr>
            <w:tcW w:type="dxa" w:w="2012"/>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Prix administré ; production effondrée (−70 % en 2024/25)</w:t>
            </w:r>
          </w:p>
        </w:tc>
        <w:tc>
          <w:tcPr>
            <w:tcW w:type="dxa" w:w="1500"/>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Rémunération faible ; productivité en cause</w:t>
            </w:r>
          </w:p>
        </w:tc>
      </w:tr>
      <w:tr>
        <w:tc>
          <w:tcPr>
            <w:tcW w:type="dxa" w:w="1289"/>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 Anacarde</w:t>
            </w:r>
          </w:p>
        </w:tc>
        <w:tc>
          <w:tcPr>
            <w:tcW w:type="dxa" w:w="722"/>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400</w:t>
            </w:r>
          </w:p>
        </w:tc>
        <w:tc>
          <w:tcPr>
            <w:tcW w:type="dxa" w:w="1238"/>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Burkina, G.-Bissau, Ghana</w:t>
            </w:r>
          </w:p>
        </w:tc>
        <w:tc>
          <w:tcPr>
            <w:tcW w:type="dxa" w:w="825"/>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410</w:t>
            </w:r>
          </w:p>
        </w:tc>
        <w:tc>
          <w:tcPr>
            <w:tcW w:type="dxa" w:w="670"/>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−2 %</w:t>
            </w:r>
          </w:p>
        </w:tc>
        <w:tc>
          <w:tcPr>
            <w:tcW w:type="dxa" w:w="1134"/>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46 % / 47 %</w:t>
            </w:r>
          </w:p>
        </w:tc>
        <w:tc>
          <w:tcPr>
            <w:tcW w:type="dxa" w:w="928"/>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−8 %</w:t>
            </w:r>
          </w:p>
        </w:tc>
        <w:tc>
          <w:tcPr>
            <w:tcW w:type="dxa" w:w="2012"/>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Valeur captée en aval (40 % du CFR après le port)</w:t>
            </w:r>
          </w:p>
        </w:tc>
        <w:tc>
          <w:tcPr>
            <w:tcW w:type="dxa" w:w="1500"/>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Au niveau UEMOA ; −34 % face au Ghana</w:t>
            </w:r>
          </w:p>
        </w:tc>
      </w:tr>
      <w:tr>
        <w:tc>
          <w:tcPr>
            <w:tcW w:type="dxa" w:w="1289"/>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 Coton</w:t>
            </w:r>
          </w:p>
        </w:tc>
        <w:tc>
          <w:tcPr>
            <w:tcW w:type="dxa" w:w="722"/>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310</w:t>
            </w:r>
          </w:p>
        </w:tc>
        <w:tc>
          <w:tcPr>
            <w:tcW w:type="dxa" w:w="1238"/>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Burkina, Mali, Bénin, Togo</w:t>
            </w:r>
          </w:p>
        </w:tc>
        <w:tc>
          <w:tcPr>
            <w:tcW w:type="dxa" w:w="825"/>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300</w:t>
            </w:r>
          </w:p>
        </w:tc>
        <w:tc>
          <w:tcPr>
            <w:tcW w:type="dxa" w:w="670"/>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+3 %</w:t>
            </w:r>
          </w:p>
        </w:tc>
        <w:tc>
          <w:tcPr>
            <w:tcW w:type="dxa" w:w="1134"/>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73 % / n.d.</w:t>
            </w:r>
          </w:p>
        </w:tc>
        <w:tc>
          <w:tcPr>
            <w:tcW w:type="dxa" w:w="928"/>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−5 %</w:t>
            </w:r>
          </w:p>
        </w:tc>
        <w:tc>
          <w:tcPr>
            <w:tcW w:type="dxa" w:w="2012"/>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Subvention 25,3 Mds FCFA (≈72 FCFA/kg)</w:t>
            </w:r>
          </w:p>
        </w:tc>
        <w:tc>
          <w:tcPr>
            <w:tcW w:type="dxa" w:w="1500"/>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Parité soutenue par le budget</w:t>
            </w:r>
          </w:p>
        </w:tc>
      </w:tr>
      <w:tr>
        <w:tc>
          <w:tcPr>
            <w:tcW w:type="dxa" w:w="1289"/>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 Caoutchouc</w:t>
            </w:r>
          </w:p>
        </w:tc>
        <w:tc>
          <w:tcPr>
            <w:tcW w:type="dxa" w:w="722"/>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807*</w:t>
            </w:r>
          </w:p>
        </w:tc>
        <w:tc>
          <w:tcPr>
            <w:tcW w:type="dxa" w:w="1238"/>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Thaïlande, Indonésie</w:t>
            </w:r>
          </w:p>
        </w:tc>
        <w:tc>
          <w:tcPr>
            <w:tcW w:type="dxa" w:w="825"/>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1 144*</w:t>
            </w:r>
          </w:p>
        </w:tc>
        <w:tc>
          <w:tcPr>
            <w:tcW w:type="dxa" w:w="670"/>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−29 %</w:t>
            </w:r>
          </w:p>
        </w:tc>
        <w:tc>
          <w:tcPr>
            <w:tcW w:type="dxa" w:w="1134"/>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60 % / 101 %</w:t>
            </w:r>
          </w:p>
        </w:tc>
        <w:tc>
          <w:tcPr>
            <w:tcW w:type="dxa" w:w="928"/>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n.d.</w:t>
            </w:r>
          </w:p>
        </w:tc>
        <w:tc>
          <w:tcPr>
            <w:tcW w:type="dxa" w:w="2012"/>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Formule 63-66 % d'un prix net de coûts ; DRC conventionnel 60 %</w:t>
            </w:r>
          </w:p>
        </w:tc>
        <w:tc>
          <w:tcPr>
            <w:tcW w:type="dxa" w:w="1500"/>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Rémunération et transmission faibles</w:t>
            </w:r>
          </w:p>
        </w:tc>
      </w:tr>
      <w:tr>
        <w:tc>
          <w:tcPr>
            <w:tcW w:type="dxa" w:w="1289"/>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 Palmier à huile</w:t>
            </w:r>
          </w:p>
        </w:tc>
        <w:tc>
          <w:tcPr>
            <w:tcW w:type="dxa" w:w="722"/>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80</w:t>
            </w:r>
          </w:p>
        </w:tc>
        <w:tc>
          <w:tcPr>
            <w:tcW w:type="dxa" w:w="1238"/>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Indonésie, Malaisie</w:t>
            </w:r>
          </w:p>
        </w:tc>
        <w:tc>
          <w:tcPr>
            <w:tcW w:type="dxa" w:w="825"/>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121</w:t>
            </w:r>
          </w:p>
        </w:tc>
        <w:tc>
          <w:tcPr>
            <w:tcW w:type="dxa" w:w="670"/>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−34 %</w:t>
            </w:r>
          </w:p>
        </w:tc>
        <w:tc>
          <w:tcPr>
            <w:tcW w:type="dxa" w:w="1134"/>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14 % / 21 %**</w:t>
            </w:r>
          </w:p>
        </w:tc>
        <w:tc>
          <w:tcPr>
            <w:tcW w:type="dxa" w:w="928"/>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n.d.</w:t>
            </w:r>
          </w:p>
        </w:tc>
        <w:tc>
          <w:tcPr>
            <w:tcW w:type="dxa" w:w="2012"/>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Partage huile/régime défavorable au planteur</w:t>
            </w:r>
          </w:p>
        </w:tc>
        <w:tc>
          <w:tcPr>
            <w:tcW w:type="dxa" w:w="1500"/>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Rémunération faible</w:t>
            </w:r>
          </w:p>
        </w:tc>
      </w:tr>
      <w:tr>
        <w:tc>
          <w:tcPr>
            <w:tcW w:type="dxa" w:w="1289"/>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 Riz</w:t>
            </w:r>
          </w:p>
        </w:tc>
        <w:tc>
          <w:tcPr>
            <w:tcW w:type="dxa" w:w="722"/>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233</w:t>
            </w:r>
          </w:p>
        </w:tc>
        <w:tc>
          <w:tcPr>
            <w:tcW w:type="dxa" w:w="1238"/>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Sénégal</w:t>
            </w:r>
          </w:p>
        </w:tc>
        <w:tc>
          <w:tcPr>
            <w:tcW w:type="dxa" w:w="825"/>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130</w:t>
            </w:r>
          </w:p>
        </w:tc>
        <w:tc>
          <w:tcPr>
            <w:tcW w:type="dxa" w:w="670"/>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+79 %</w:t>
            </w:r>
          </w:p>
        </w:tc>
        <w:tc>
          <w:tcPr>
            <w:tcW w:type="dxa" w:w="1134"/>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151 % de la parité FOB</w:t>
            </w:r>
          </w:p>
        </w:tc>
        <w:tc>
          <w:tcPr>
            <w:tcW w:type="dxa" w:w="928"/>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n.d.</w:t>
            </w:r>
          </w:p>
        </w:tc>
        <w:tc>
          <w:tcPr>
            <w:tcW w:type="dxa" w:w="2012"/>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Coût de production et d'usinage élevé</w:t>
            </w:r>
          </w:p>
        </w:tc>
        <w:tc>
          <w:tcPr>
            <w:tcW w:type="dxa" w:w="1500"/>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Rémunération élevée, compétitivité faible</w:t>
            </w:r>
          </w:p>
        </w:tc>
      </w:tr>
      <w:tr>
        <w:tc>
          <w:tcPr>
            <w:tcW w:type="dxa" w:w="1289"/>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 Banane, mangue, ananas, vivriers</w:t>
            </w:r>
          </w:p>
        </w:tc>
        <w:tc>
          <w:tcPr>
            <w:tcW w:type="dxa" w:w="722"/>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w:t>
            </w:r>
          </w:p>
        </w:tc>
        <w:tc>
          <w:tcPr>
            <w:tcW w:type="dxa" w:w="1238"/>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w:t>
            </w:r>
          </w:p>
        </w:tc>
        <w:tc>
          <w:tcPr>
            <w:tcW w:type="dxa" w:w="825"/>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w:t>
            </w:r>
          </w:p>
        </w:tc>
        <w:tc>
          <w:tcPr>
            <w:tcW w:type="dxa" w:w="670"/>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w:t>
            </w:r>
          </w:p>
        </w:tc>
        <w:tc>
          <w:tcPr>
            <w:tcW w:type="dxa" w:w="1134"/>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w:t>
            </w:r>
          </w:p>
        </w:tc>
        <w:tc>
          <w:tcPr>
            <w:tcW w:type="dxa" w:w="928"/>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w:t>
            </w:r>
          </w:p>
        </w:tc>
        <w:tc>
          <w:tcPr>
            <w:tcW w:type="dxa" w:w="2012"/>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Pas de prix bord champ public comparable</w:t>
            </w:r>
          </w:p>
        </w:tc>
        <w:tc>
          <w:tcPr>
            <w:tcW w:type="dxa" w:w="1500"/>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Données insuffisantes</w:t>
            </w:r>
          </w:p>
        </w:tc>
      </w:tr>
    </w:tbl>
    <w:p>
      <w:pPr>
        <w:spacing w:after="100" w:before="0" w:line="230" w:lineRule="auto"/>
      </w:pPr>
      <w:r>
        <w:rPr>
          <w:rFonts w:ascii="Arial" w:cs="Arial" w:eastAsia="Arial" w:hAnsi="Arial"/>
          <w:color w:val="6E6D68"/>
          <w:sz w:val="12"/>
          <w:szCs w:val="12"/>
        </w:rPr>
        <w:t xml:space="preserve">Périodes : cacao et café 2026/27 (ouverture) ; anacarde 2026 ; coton 2025/26 (évolution réelle depuis 2017/18) ; caoutchouc sept. 2026 (</w:t>
      </w:r>
      <w:r>
        <w:rPr>
          <w:rFonts w:ascii="Arial" w:cs="Arial" w:eastAsia="Arial" w:hAnsi="Arial"/>
          <w:i/>
          <w:iCs/>
          <w:color w:val="6E6D68"/>
          <w:sz w:val="12"/>
          <w:szCs w:val="12"/>
        </w:rPr>
        <w:t xml:space="preserve"> base kg sec, DRC 60 %) ; palmier janv. 2026 (</w:t>
      </w:r>
      <w:r>
        <w:rPr>
          <w:rFonts w:ascii="Arial" w:cs="Arial" w:eastAsia="Arial" w:hAnsi="Arial"/>
          <w:color w:val="6E6D68"/>
          <w:sz w:val="12"/>
          <w:szCs w:val="12"/>
        </w:rPr>
        <w:t xml:space="preserve">* prix du régime ÷ prix mondial de l'huile brute) ; riz 2025 (part = prix du paddy ÷ équivalent paddy du riz thaï 5 % FOB). ▼ sous les comparateurs · ● à parité · ▲ au-dessus · ◆ mitigé · ○ données insuffisantes. Source : base Excel, onglets Matrice et Indicateurs.</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6603"/>
        <w:gridCol w:w="3715"/>
      </w:tblGrid>
      <w:tr>
        <w:tc>
          <w:tcPr>
            <w:tcW w:type="dxa" w:w="6603"/>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spacing w:after="40" w:before="0" w:line="252" w:lineRule="auto"/>
            </w:pPr>
            <w:r>
              <w:rPr>
                <w:rFonts w:ascii="Arial" w:cs="Arial" w:eastAsia="Arial" w:hAnsi="Arial"/>
                <w:b/>
                <w:bCs/>
                <w:color w:val="14325C"/>
                <w:sz w:val="16"/>
                <w:szCs w:val="16"/>
              </w:rPr>
              <w:t xml:space="preserve">Graphique 2 – Prix bord champ ivoirien en % du prix de chaque pays comparable</w:t>
            </w:r>
          </w:p>
          <w:p>
            <w:pPr>
              <w:spacing w:after="40"/>
            </w:pPr>
            <w:r>
              <w:drawing>
                <wp:inline distT="0" distB="0" distL="0" distR="0">
                  <wp:extent cx="4095750" cy="2486025"/>
                  <wp:effectExtent t="0" r="0" b="0" l="0"/>
                  <wp:docPr id="1" name="fig2_indices_prix" descr="fig2_indices_prix" title="fig2_indices_p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486025"/>
                          </a:xfrm>
                          <a:prstGeom prst="rect">
                            <a:avLst/>
                          </a:prstGeom>
                        </pic:spPr>
                      </pic:pic>
                    </a:graphicData>
                  </a:graphic>
                </wp:inline>
              </w:drawing>
            </w:r>
          </w:p>
          <w:p>
            <w:pPr>
              <w:spacing w:after="100" w:before="0" w:line="230" w:lineRule="auto"/>
            </w:pPr>
            <w:r>
              <w:rPr>
                <w:rFonts w:ascii="Arial" w:cs="Arial" w:eastAsia="Arial" w:hAnsi="Arial"/>
                <w:color w:val="6E6D68"/>
                <w:sz w:val="12"/>
                <w:szCs w:val="12"/>
              </w:rPr>
              <w:t xml:space="preserve">Pays : BF Burkina, BJ Bénin, GH Ghana, GW Guinée-Bissau, ID Indonésie, ML Mali, MY Malaisie, NG Nigeria, SN Sénégal, TG Togo, TH Thaïlande, TZ Tanzanie, UG Ouganda, VN Vietnam. Points vides : comparaison indicative (stade, période ou qualité imparfaitement appariés). * Caoutchouc et palmier : aucun comparateur direct, médiane des comparateurs indicatifs.</w:t>
            </w:r>
          </w:p>
        </w:tc>
        <w:tc>
          <w:tcPr>
            <w:tcW w:type="dxa" w:w="3715"/>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spacing w:after="40" w:before="0" w:line="252" w:lineRule="auto"/>
            </w:pPr>
            <w:r>
              <w:rPr>
                <w:rFonts w:ascii="Arial" w:cs="Arial" w:eastAsia="Arial" w:hAnsi="Arial"/>
                <w:b/>
                <w:bCs/>
                <w:color w:val="14325C"/>
                <w:sz w:val="16"/>
                <w:szCs w:val="16"/>
              </w:rPr>
              <w:t xml:space="preserve">Graphique 3 – Part du prix international reçue par le producteur</w:t>
            </w:r>
          </w:p>
          <w:p>
            <w:pPr>
              <w:spacing w:after="40"/>
            </w:pPr>
            <w:r>
              <w:drawing>
                <wp:inline distT="0" distB="0" distL="0" distR="0">
                  <wp:extent cx="2257425" cy="2076450"/>
                  <wp:effectExtent t="0" r="0" b="0" l="0"/>
                  <wp:docPr id="1" name="fig3_transmission" descr="fig3_transmission" title="fig3_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7425" cy="2076450"/>
                          </a:xfrm>
                          <a:prstGeom prst="rect">
                            <a:avLst/>
                          </a:prstGeom>
                        </pic:spPr>
                      </pic:pic>
                    </a:graphicData>
                  </a:graphic>
                </wp:inline>
              </w:drawing>
            </w:r>
          </w:p>
          <w:p>
            <w:pPr>
              <w:spacing w:after="100" w:before="0" w:line="230" w:lineRule="auto"/>
            </w:pPr>
            <w:r>
              <w:rPr>
                <w:rFonts w:ascii="Arial" w:cs="Arial" w:eastAsia="Arial" w:hAnsi="Arial"/>
                <w:color w:val="6E6D68"/>
                <w:sz w:val="12"/>
                <w:szCs w:val="12"/>
              </w:rPr>
              <w:t xml:space="preserve">Cacao : cours ICCO août 2026 ; café : robusta août 2026 (Ouganda : juil.) ; anacarde : CFR Asie avr.-mai 2026 ; coton : indice A, équivalent fibre ; caoutchouc : TSR20 du mois précédent, base sèche.</w:t>
            </w:r>
          </w:p>
        </w:tc>
      </w:tr>
    </w:tbl>
    <w:p>
      <w:pPr>
        <w:pBdr>
          <w:left w:val="single" w:color="EB6834" w:sz="24" w:space="8"/>
        </w:pBdr>
        <w:shd w:fill="FDF3EE" w:color="auto" w:val="clear"/>
        <w:spacing w:after="100" w:before="40" w:line="252" w:lineRule="auto"/>
      </w:pPr>
      <w:r>
        <w:rPr>
          <w:rFonts w:ascii="Arial" w:cs="Arial" w:eastAsia="Arial" w:hAnsi="Arial"/>
          <w:b/>
          <w:bCs/>
          <w:sz w:val="15"/>
          <w:szCs w:val="15"/>
        </w:rPr>
        <w:t xml:space="preserve">À retenir.</w:t>
      </w:r>
      <w:r>
        <w:rPr>
          <w:rFonts w:ascii="Arial" w:cs="Arial" w:eastAsia="Arial" w:hAnsi="Arial"/>
          <w:sz w:val="15"/>
          <w:szCs w:val="15"/>
        </w:rPr>
        <w:t xml:space="preserve"> L'écart de prix avec les concurrents n'est pas d'abord un problème de change ou de qualité : c'est un problème de </w:t>
      </w:r>
      <w:r>
        <w:rPr>
          <w:rFonts w:ascii="Arial" w:cs="Arial" w:eastAsia="Arial" w:hAnsi="Arial"/>
          <w:b/>
          <w:bCs/>
          <w:sz w:val="15"/>
          <w:szCs w:val="15"/>
        </w:rPr>
        <w:t xml:space="preserve">transmission</w:t>
      </w:r>
      <w:r>
        <w:rPr>
          <w:rFonts w:ascii="Arial" w:cs="Arial" w:eastAsia="Arial" w:hAnsi="Arial"/>
          <w:sz w:val="15"/>
          <w:szCs w:val="15"/>
        </w:rPr>
        <w:t xml:space="preserve">. La part du prix international qui atteint le planteur ivoirien est inférieure à celle des concurrents de 41 points pour le caoutchouc, 26 pour le cacao, 26 pour le café et 7 pour le palmier (−32 % en relatif). Pour l'anacarde, elle égale celle des voisins de l'UEMOA mais reste inférieure de 24 points à celle du Ghana.</w:t>
      </w:r>
    </w:p>
    <w:p>
      <w:pPr>
        <w:pageBreakBefore/>
        <w:pBdr>
          <w:bottom w:val="single" w:color="14325C" w:sz="12" w:space="4"/>
        </w:pBdr>
        <w:spacing w:after="100"/>
      </w:pPr>
      <w:r>
        <w:rPr>
          <w:rFonts w:ascii="Arial" w:cs="Arial" w:eastAsia="Arial" w:hAnsi="Arial"/>
          <w:b/>
          <w:bCs/>
          <w:color w:val="14325C"/>
          <w:sz w:val="14"/>
          <w:szCs w:val="14"/>
        </w:rPr>
        <w:t xml:space="preserve">CULTURES DE RENTE ET INDUSTRIELLES</w:t>
      </w:r>
      <w:r>
        <w:rPr>
          <w:rFonts w:ascii="Arial" w:cs="Arial" w:eastAsia="Arial" w:hAnsi="Arial"/>
          <w:color w:val="52514E"/>
          <w:sz w:val="14"/>
          <w:szCs w:val="14"/>
        </w:rPr>
        <w:t xml:space="preserve">    ·    Page 3</w:t>
      </w:r>
    </w:p>
    <w:p>
      <w:pPr>
        <w:spacing w:after="80" w:before="0" w:line="240" w:lineRule="auto"/>
      </w:pPr>
      <w:r>
        <w:rPr>
          <w:rFonts w:ascii="Arial" w:cs="Arial" w:eastAsia="Arial" w:hAnsi="Arial"/>
          <w:b/>
          <w:bCs/>
          <w:color w:val="14325C"/>
          <w:sz w:val="24"/>
          <w:szCs w:val="24"/>
        </w:rPr>
        <w:t xml:space="preserve">Le système ivoirien stabilise les prix mais transmet moins de valeur : 56 % du cours mondial du cacao en moyenne sur dix ans, contre 64 % au Ghana</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6566"/>
        <w:gridCol w:w="3752"/>
      </w:tblGrid>
      <w:tr>
        <w:tc>
          <w:tcPr>
            <w:tcW w:type="dxa" w:w="6566"/>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spacing w:after="40" w:before="0" w:line="252" w:lineRule="auto"/>
            </w:pPr>
            <w:r>
              <w:rPr>
                <w:rFonts w:ascii="Arial" w:cs="Arial" w:eastAsia="Arial" w:hAnsi="Arial"/>
                <w:b/>
                <w:bCs/>
                <w:color w:val="14325C"/>
                <w:sz w:val="16"/>
                <w:szCs w:val="16"/>
              </w:rPr>
              <w:t xml:space="preserve">Graphique 4 – Cacao : prix bord champ CI et Ghana et cours mondial de la même demi-campagne (FCFA/kg)</w:t>
            </w:r>
          </w:p>
          <w:p>
            <w:pPr>
              <w:spacing w:after="40"/>
            </w:pPr>
            <w:r>
              <w:drawing>
                <wp:inline distT="0" distB="0" distL="0" distR="0">
                  <wp:extent cx="4067175" cy="2200275"/>
                  <wp:effectExtent t="0" r="0" b="0" l="0"/>
                  <wp:docPr id="1" name="fig4_cacao_series" descr="fig4_cacao_series" title="fig4_cacao_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67175" cy="2200275"/>
                          </a:xfrm>
                          <a:prstGeom prst="rect">
                            <a:avLst/>
                          </a:prstGeom>
                        </pic:spPr>
                      </pic:pic>
                    </a:graphicData>
                  </a:graphic>
                </wp:inline>
              </w:drawing>
            </w:r>
          </w:p>
          <w:p>
            <w:pPr>
              <w:spacing w:after="100" w:before="0" w:line="230" w:lineRule="auto"/>
            </w:pPr>
            <w:r>
              <w:rPr>
                <w:rFonts w:ascii="Arial" w:cs="Arial" w:eastAsia="Arial" w:hAnsi="Arial"/>
                <w:color w:val="6E6D68"/>
                <w:sz w:val="12"/>
                <w:szCs w:val="12"/>
              </w:rPr>
              <w:t xml:space="preserve">Source : base Excel, onglet Cacao_transmission (prix CCC et COCOBOD ; cours ICCO – Banque mondiale, FMI ; change BCE, BRI, Banque du Ghana). Graduations : campagnes principale (oct.-mars) et intermédiaire (avr.-sept.).</w:t>
            </w:r>
          </w:p>
        </w:tc>
        <w:tc>
          <w:tcPr>
            <w:tcW w:type="dxa" w:w="3752"/>
            <w:tcBorders>
              <w:top w:val="none" w:color="FFFFFF" w:sz="0"/>
              <w:left w:val="none" w:color="FFFFFF" w:sz="0"/>
              <w:bottom w:val="none" w:color="FFFFFF" w:sz="0"/>
              <w:right w:val="none" w:color="FFFFFF" w:sz="0"/>
            </w:tcBorders>
            <w:tcMar>
              <w:top w:type="dxa" w:w="50"/>
              <w:left w:type="dxa" w:w="80"/>
              <w:bottom w:type="dxa" w:w="50"/>
              <w:right w:type="dxa" w:w="80"/>
            </w:tcMar>
            <w:vAlign w:val="top"/>
          </w:tcPr>
          <w:tbl>
            <w:tblPr>
              <w:tblW w:type="dxa" w:w="35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92"/>
            </w:tblGrid>
            <w:tr>
              <w:trPr>
                <w:cantSplit/>
              </w:trPr>
              <w:tc>
                <w:tcPr>
                  <w:tcW w:type="dxa" w:w="3592"/>
                  <w:tcBorders>
                    <w:top w:val="single" w:color="E1E0D9" w:sz="4"/>
                    <w:left w:val="single" w:color="E1E0D9" w:sz="4"/>
                    <w:bottom w:val="single" w:color="E1E0D9" w:sz="4"/>
                    <w:right w:val="single" w:color="E1E0D9" w:sz="4"/>
                  </w:tcBorders>
                  <w:shd w:fill="FCFCFB" w:color="auto" w:val="clear"/>
                  <w:tcMar>
                    <w:top w:type="dxa" w:w="70"/>
                    <w:left w:type="dxa" w:w="80"/>
                    <w:bottom w:type="dxa" w:w="70"/>
                    <w:right w:type="dxa" w:w="80"/>
                  </w:tcMar>
                  <w:vAlign w:val="top"/>
                </w:tcPr>
                <w:p>
                  <w:pPr>
                    <w:spacing w:after="50"/>
                  </w:pPr>
                  <w:r>
                    <w:rPr>
                      <w:rFonts w:ascii="Arial" w:cs="Arial" w:eastAsia="Arial" w:hAnsi="Arial"/>
                      <w:color w:val="2A78D6"/>
                      <w:sz w:val="16"/>
                      <w:szCs w:val="16"/>
                    </w:rPr>
                    <w:t xml:space="preserve">▼  </w:t>
                  </w:r>
                  <w:r>
                    <w:rPr>
                      <w:rFonts w:ascii="Arial" w:cs="Arial" w:eastAsia="Arial" w:hAnsi="Arial"/>
                      <w:b/>
                      <w:bCs/>
                      <w:color w:val="14325C"/>
                      <w:sz w:val="18"/>
                      <w:szCs w:val="18"/>
                    </w:rPr>
                    <w:t xml:space="preserve">Cacao</w:t>
                  </w:r>
                </w:p>
                <w:p>
                  <w:pPr>
                    <w:spacing w:after="50" w:line="228" w:lineRule="auto"/>
                  </w:pPr>
                  <w:r>
                    <w:rPr>
                      <w:rFonts w:ascii="Arial" w:cs="Arial" w:eastAsia="Arial" w:hAnsi="Arial"/>
                      <w:b/>
                      <w:bCs/>
                      <w:color w:val="52514E"/>
                      <w:sz w:val="11"/>
                      <w:szCs w:val="11"/>
                      <w:shd w:fill="ECEBE6" w:color="auto" w:val="clear"/>
                    </w:rPr>
                    <w:t xml:space="preserve"> CONSTAT </w:t>
                  </w:r>
                  <w:r>
                    <w:rPr>
                      <w:rFonts w:ascii="Arial" w:cs="Arial" w:eastAsia="Arial" w:hAnsi="Arial"/>
                      <w:sz w:val="14"/>
                      <w:szCs w:val="14"/>
                    </w:rPr>
                    <w:t xml:space="preserve">  </w:t>
                  </w:r>
                  <w:r>
                    <w:rPr>
                      <w:rFonts w:ascii="Arial" w:cs="Arial" w:eastAsia="Arial" w:hAnsi="Arial"/>
                      <w:sz w:val="14"/>
                      <w:szCs w:val="14"/>
                    </w:rPr>
                    <w:t xml:space="preserve">56 % du cours mondial transmis sur dix campagnes (Ghana 64 %) ; 49 % sur les trois dernières. Le prix 2026/27 (1 200 FCFA/kg) implique un CAF de référence ≤2 000 FCFA/kg (3,54 $/kg) quand le marché cote 5,99 $/kg (août 2026). Revenu brut ≈600 000 FCFA/ha contre ≈834 000 au Ghana (rendements moyens de 500 et 400 kg/ha).</w:t>
                  </w:r>
                </w:p>
                <w:p>
                  <w:pPr>
                    <w:spacing w:after="50" w:line="228" w:lineRule="auto"/>
                  </w:pPr>
                  <w:r>
                    <w:rPr>
                      <w:rFonts w:ascii="Arial" w:cs="Arial" w:eastAsia="Arial" w:hAnsi="Arial"/>
                      <w:b/>
                      <w:bCs/>
                      <w:color w:val="52514E"/>
                      <w:sz w:val="11"/>
                      <w:szCs w:val="11"/>
                      <w:shd w:fill="ECEBE6" w:color="auto" w:val="clear"/>
                    </w:rPr>
                    <w:t xml:space="preserve"> EXPLICATION </w:t>
                  </w:r>
                  <w:r>
                    <w:rPr>
                      <w:rFonts w:ascii="Arial" w:cs="Arial" w:eastAsia="Arial" w:hAnsi="Arial"/>
                      <w:sz w:val="14"/>
                      <w:szCs w:val="14"/>
                    </w:rPr>
                    <w:t xml:space="preserve">  </w:t>
                  </w:r>
                  <w:r>
                    <w:rPr>
                      <w:rFonts w:ascii="Arial" w:cs="Arial" w:eastAsia="Arial" w:hAnsi="Arial"/>
                      <w:sz w:val="14"/>
                      <w:szCs w:val="14"/>
                    </w:rPr>
                    <w:t xml:space="preserve">Plus de 1,1 Mt vendues par anticipation de mars à juin 2026, au creux du marché ; part producteur ≥60 % du CAF ; prélèvements ≈22 % du CAF (dont DUS 14,6 %). En 2025/26, le prix garanti (2 800) a dépassé le cours mondial : 123 000 t invendues en janvier.</w:t>
                  </w:r>
                </w:p>
                <w:p>
                  <w:pPr>
                    <w:spacing w:after="50" w:line="228" w:lineRule="auto"/>
                  </w:pPr>
                  <w:r>
                    <w:rPr>
                      <w:rFonts w:ascii="Arial" w:cs="Arial" w:eastAsia="Arial" w:hAnsi="Arial"/>
                      <w:b/>
                      <w:bCs/>
                      <w:color w:val="14325C"/>
                      <w:sz w:val="11"/>
                      <w:szCs w:val="11"/>
                      <w:shd w:fill="DBE8FA" w:color="auto" w:val="clear"/>
                    </w:rPr>
                    <w:t xml:space="preserve"> IMPLICATION </w:t>
                  </w:r>
                  <w:r>
                    <w:rPr>
                      <w:rFonts w:ascii="Arial" w:cs="Arial" w:eastAsia="Arial" w:hAnsi="Arial"/>
                      <w:sz w:val="14"/>
                      <w:szCs w:val="14"/>
                    </w:rPr>
                    <w:t xml:space="preserve">  </w:t>
                  </w:r>
                  <w:r>
                    <w:rPr>
                      <w:rFonts w:ascii="Arial" w:cs="Arial" w:eastAsia="Arial" w:hAnsi="Arial"/>
                      <w:sz w:val="14"/>
                      <w:szCs w:val="14"/>
                    </w:rPr>
                    <w:t xml:space="preserve">Prix soutenable pour le régulateur mais peu compétitif pour le planteur ; écart de 886 FCFA/kg avec le Ghana (risque de fuite). Le Ghana garantit 70 % du FOB réalisé (Act 1182), mais avec un déficit de financement du COCOBOD ≈1,4 Md $.</w:t>
                  </w:r>
                </w:p>
              </w:tc>
            </w:tr>
          </w:tbl>
          <w:p>
            <w:pPr>
              <w:spacing w:after="60"/>
            </w:pPr>
          </w:p>
        </w:tc>
      </w:tr>
    </w:tbl>
    <w:p>
      <w:pPr>
        <w:spacing w:after="40"/>
      </w:pP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9"/>
        <w:gridCol w:w="3439"/>
        <w:gridCol w:w="3440"/>
      </w:tblGrid>
      <w:tr>
        <w:trPr>
          <w:cantSplit/>
        </w:trPr>
        <w:tc>
          <w:tcPr>
            <w:tcW w:type="dxa" w:w="3439"/>
            <w:tcBorders>
              <w:top w:val="single" w:color="E1E0D9" w:sz="4"/>
              <w:left w:val="single" w:color="E1E0D9" w:sz="4"/>
              <w:bottom w:val="single" w:color="E1E0D9" w:sz="4"/>
              <w:right w:val="single" w:color="E1E0D9" w:sz="4"/>
            </w:tcBorders>
            <w:shd w:fill="FCFCFB" w:color="auto" w:val="clear"/>
            <w:tcMar>
              <w:top w:type="dxa" w:w="70"/>
              <w:left w:type="dxa" w:w="80"/>
              <w:bottom w:type="dxa" w:w="70"/>
              <w:right w:type="dxa" w:w="80"/>
            </w:tcMar>
            <w:vAlign w:val="top"/>
          </w:tcPr>
          <w:p>
            <w:pPr>
              <w:spacing w:after="50"/>
            </w:pPr>
            <w:r>
              <w:rPr>
                <w:rFonts w:ascii="Arial" w:cs="Arial" w:eastAsia="Arial" w:hAnsi="Arial"/>
                <w:color w:val="2A78D6"/>
                <w:sz w:val="16"/>
                <w:szCs w:val="16"/>
              </w:rPr>
              <w:t xml:space="preserve">▼  </w:t>
            </w:r>
            <w:r>
              <w:rPr>
                <w:rFonts w:ascii="Arial" w:cs="Arial" w:eastAsia="Arial" w:hAnsi="Arial"/>
                <w:b/>
                <w:bCs/>
                <w:color w:val="14325C"/>
                <w:sz w:val="18"/>
                <w:szCs w:val="18"/>
              </w:rPr>
              <w:t xml:space="preserve">Café robusta</w:t>
            </w:r>
          </w:p>
          <w:p>
            <w:pPr>
              <w:spacing w:after="50" w:line="228" w:lineRule="auto"/>
            </w:pPr>
            <w:r>
              <w:rPr>
                <w:rFonts w:ascii="Arial" w:cs="Arial" w:eastAsia="Arial" w:hAnsi="Arial"/>
                <w:b/>
                <w:bCs/>
                <w:color w:val="52514E"/>
                <w:sz w:val="11"/>
                <w:szCs w:val="11"/>
                <w:shd w:fill="ECEBE6" w:color="auto" w:val="clear"/>
              </w:rPr>
              <w:t xml:space="preserve"> CONSTAT </w:t>
            </w:r>
            <w:r>
              <w:rPr>
                <w:rFonts w:ascii="Arial" w:cs="Arial" w:eastAsia="Arial" w:hAnsi="Arial"/>
                <w:sz w:val="14"/>
                <w:szCs w:val="14"/>
              </w:rPr>
              <w:t xml:space="preserve">  </w:t>
            </w:r>
            <w:r>
              <w:rPr>
                <w:rFonts w:ascii="Arial" w:cs="Arial" w:eastAsia="Arial" w:hAnsi="Arial"/>
                <w:sz w:val="14"/>
                <w:szCs w:val="14"/>
              </w:rPr>
              <w:t xml:space="preserve">1 300 FCFA/kg (2026/27) contre ≈2 037 au Vietnam (indice 64) ; 2025/26 : 1 700 contre ≈1 796 en Ouganda. Transmission moyenne 59 % sur dix ans (Vietnam 90 %, Ouganda 77 % en 2026).</w:t>
            </w:r>
          </w:p>
          <w:p>
            <w:pPr>
              <w:spacing w:after="50" w:line="228" w:lineRule="auto"/>
            </w:pPr>
            <w:r>
              <w:rPr>
                <w:rFonts w:ascii="Arial" w:cs="Arial" w:eastAsia="Arial" w:hAnsi="Arial"/>
                <w:b/>
                <w:bCs/>
                <w:color w:val="52514E"/>
                <w:sz w:val="11"/>
                <w:szCs w:val="11"/>
                <w:shd w:fill="ECEBE6" w:color="auto" w:val="clear"/>
              </w:rPr>
              <w:t xml:space="preserve"> EXPLICATION </w:t>
            </w:r>
            <w:r>
              <w:rPr>
                <w:rFonts w:ascii="Arial" w:cs="Arial" w:eastAsia="Arial" w:hAnsi="Arial"/>
                <w:sz w:val="14"/>
                <w:szCs w:val="14"/>
              </w:rPr>
              <w:t xml:space="preserve">  </w:t>
            </w:r>
            <w:r>
              <w:rPr>
                <w:rFonts w:ascii="Arial" w:cs="Arial" w:eastAsia="Arial" w:hAnsi="Arial"/>
                <w:sz w:val="14"/>
                <w:szCs w:val="14"/>
              </w:rPr>
              <w:t xml:space="preserve">Prix administré calé sur les ventes anticipées ; production effondrée (24 832 t d'octobre 2024 à juin 2025, −70 %) ; maintien du prix en 2019/20 financé par 32 Mds FCFA.</w:t>
            </w:r>
          </w:p>
          <w:p>
            <w:pPr>
              <w:spacing w:after="50" w:line="228" w:lineRule="auto"/>
            </w:pPr>
            <w:r>
              <w:rPr>
                <w:rFonts w:ascii="Arial" w:cs="Arial" w:eastAsia="Arial" w:hAnsi="Arial"/>
                <w:b/>
                <w:bCs/>
                <w:color w:val="14325C"/>
                <w:sz w:val="11"/>
                <w:szCs w:val="11"/>
                <w:shd w:fill="DBE8FA" w:color="auto" w:val="clear"/>
              </w:rPr>
              <w:t xml:space="preserve"> IMPLICATION </w:t>
            </w:r>
            <w:r>
              <w:rPr>
                <w:rFonts w:ascii="Arial" w:cs="Arial" w:eastAsia="Arial" w:hAnsi="Arial"/>
                <w:sz w:val="14"/>
                <w:szCs w:val="14"/>
              </w:rPr>
              <w:t xml:space="preserve">  </w:t>
            </w:r>
            <w:r>
              <w:rPr>
                <w:rFonts w:ascii="Arial" w:cs="Arial" w:eastAsia="Arial" w:hAnsi="Arial"/>
                <w:sz w:val="14"/>
                <w:szCs w:val="14"/>
              </w:rPr>
              <w:t xml:space="preserve">Le revenu du caféiculteur dépend d'abord de la productivité (régénération du verger) ; un prix plus élevé ne compense pas des volumes en chute.</w:t>
            </w:r>
          </w:p>
        </w:tc>
        <w:tc>
          <w:tcPr>
            <w:tcW w:type="dxa" w:w="3439"/>
            <w:tcBorders>
              <w:top w:val="single" w:color="E1E0D9" w:sz="4"/>
              <w:left w:val="single" w:color="E1E0D9" w:sz="4"/>
              <w:bottom w:val="single" w:color="E1E0D9" w:sz="4"/>
              <w:right w:val="single" w:color="E1E0D9" w:sz="4"/>
            </w:tcBorders>
            <w:shd w:fill="FCFCFB" w:color="auto" w:val="clear"/>
            <w:tcMar>
              <w:top w:type="dxa" w:w="70"/>
              <w:left w:type="dxa" w:w="80"/>
              <w:bottom w:type="dxa" w:w="70"/>
              <w:right w:type="dxa" w:w="80"/>
            </w:tcMar>
            <w:vAlign w:val="top"/>
          </w:tcPr>
          <w:p>
            <w:pPr>
              <w:spacing w:after="50"/>
            </w:pPr>
            <w:r>
              <w:rPr>
                <w:rFonts w:ascii="Arial" w:cs="Arial" w:eastAsia="Arial" w:hAnsi="Arial"/>
                <w:color w:val="2A78D6"/>
                <w:sz w:val="16"/>
                <w:szCs w:val="16"/>
              </w:rPr>
              <w:t xml:space="preserve">◆  </w:t>
            </w:r>
            <w:r>
              <w:rPr>
                <w:rFonts w:ascii="Arial" w:cs="Arial" w:eastAsia="Arial" w:hAnsi="Arial"/>
                <w:b/>
                <w:bCs/>
                <w:color w:val="14325C"/>
                <w:sz w:val="18"/>
                <w:szCs w:val="18"/>
              </w:rPr>
              <w:t xml:space="preserve">Anacarde</w:t>
            </w:r>
          </w:p>
          <w:p>
            <w:pPr>
              <w:spacing w:after="50" w:line="228" w:lineRule="auto"/>
            </w:pPr>
            <w:r>
              <w:rPr>
                <w:rFonts w:ascii="Arial" w:cs="Arial" w:eastAsia="Arial" w:hAnsi="Arial"/>
                <w:b/>
                <w:bCs/>
                <w:color w:val="52514E"/>
                <w:sz w:val="11"/>
                <w:szCs w:val="11"/>
                <w:shd w:fill="ECEBE6" w:color="auto" w:val="clear"/>
              </w:rPr>
              <w:t xml:space="preserve"> CONSTAT </w:t>
            </w:r>
            <w:r>
              <w:rPr>
                <w:rFonts w:ascii="Arial" w:cs="Arial" w:eastAsia="Arial" w:hAnsi="Arial"/>
                <w:sz w:val="14"/>
                <w:szCs w:val="14"/>
              </w:rPr>
              <w:t xml:space="preserve">  </w:t>
            </w:r>
            <w:r>
              <w:rPr>
                <w:rFonts w:ascii="Arial" w:cs="Arial" w:eastAsia="Arial" w:hAnsi="Arial"/>
                <w:sz w:val="14"/>
                <w:szCs w:val="14"/>
              </w:rPr>
              <w:t xml:space="preserve">Plancher 400 FCFA/kg (prix moyen payé à Niakara : 416) ; Burkina 385, G.-Bissau 410, Ghana ≈608, Tanzanie ≈692 (indicatif). Le planteur reçoit 46 % du CFR Asie, comme au Burkina (44 %) et en Guinée-Bissau (47 %), contre 69 % au Ghana.</w:t>
            </w:r>
          </w:p>
          <w:p>
            <w:pPr>
              <w:spacing w:after="50" w:line="228" w:lineRule="auto"/>
            </w:pPr>
            <w:r>
              <w:rPr>
                <w:rFonts w:ascii="Arial" w:cs="Arial" w:eastAsia="Arial" w:hAnsi="Arial"/>
                <w:b/>
                <w:bCs/>
                <w:color w:val="52514E"/>
                <w:sz w:val="11"/>
                <w:szCs w:val="11"/>
                <w:shd w:fill="ECEBE6" w:color="auto" w:val="clear"/>
              </w:rPr>
              <w:t xml:space="preserve"> EXPLICATION </w:t>
            </w:r>
            <w:r>
              <w:rPr>
                <w:rFonts w:ascii="Arial" w:cs="Arial" w:eastAsia="Arial" w:hAnsi="Arial"/>
                <w:sz w:val="14"/>
                <w:szCs w:val="14"/>
              </w:rPr>
              <w:t xml:space="preserve">  </w:t>
            </w:r>
            <w:r>
              <w:rPr>
                <w:rFonts w:ascii="Arial" w:cs="Arial" w:eastAsia="Arial" w:hAnsi="Arial"/>
                <w:sz w:val="14"/>
                <w:szCs w:val="14"/>
              </w:rPr>
              <w:t xml:space="preserve">Barème : +84 FCFA/kg jusqu'au magasin portuaire, DUS 5 % (≈44 FCFA/kg), puis ≈348 FCFA/kg (40 % du CFR) de fret, frais, financement et marges d'exportation ; pas de vente aux enchères ni de prime qualité.</w:t>
            </w:r>
          </w:p>
          <w:p>
            <w:pPr>
              <w:spacing w:after="50" w:line="228" w:lineRule="auto"/>
            </w:pPr>
            <w:r>
              <w:rPr>
                <w:rFonts w:ascii="Arial" w:cs="Arial" w:eastAsia="Arial" w:hAnsi="Arial"/>
                <w:b/>
                <w:bCs/>
                <w:color w:val="14325C"/>
                <w:sz w:val="11"/>
                <w:szCs w:val="11"/>
                <w:shd w:fill="DBE8FA" w:color="auto" w:val="clear"/>
              </w:rPr>
              <w:t xml:space="preserve"> IMPLICATION </w:t>
            </w:r>
            <w:r>
              <w:rPr>
                <w:rFonts w:ascii="Arial" w:cs="Arial" w:eastAsia="Arial" w:hAnsi="Arial"/>
                <w:sz w:val="14"/>
                <w:szCs w:val="14"/>
              </w:rPr>
              <w:t xml:space="preserve">  </w:t>
            </w:r>
            <w:r>
              <w:rPr>
                <w:rFonts w:ascii="Arial" w:cs="Arial" w:eastAsia="Arial" w:hAnsi="Arial"/>
                <w:sz w:val="14"/>
                <w:szCs w:val="14"/>
              </w:rPr>
              <w:t xml:space="preserve">Prix au niveau régional mais transmission faible : la valeur se joue entre le port et l'Asie (transparence, concurrence, qualité, transformation).</w:t>
            </w:r>
          </w:p>
        </w:tc>
        <w:tc>
          <w:tcPr>
            <w:tcW w:type="dxa" w:w="3440"/>
            <w:tcBorders>
              <w:top w:val="single" w:color="E1E0D9" w:sz="4"/>
              <w:left w:val="single" w:color="E1E0D9" w:sz="4"/>
              <w:bottom w:val="single" w:color="E1E0D9" w:sz="4"/>
              <w:right w:val="single" w:color="E1E0D9" w:sz="4"/>
            </w:tcBorders>
            <w:shd w:fill="FCFCFB" w:color="auto" w:val="clear"/>
            <w:tcMar>
              <w:top w:type="dxa" w:w="70"/>
              <w:left w:type="dxa" w:w="80"/>
              <w:bottom w:type="dxa" w:w="70"/>
              <w:right w:type="dxa" w:w="80"/>
            </w:tcMar>
            <w:vAlign w:val="top"/>
          </w:tcPr>
          <w:p>
            <w:pPr>
              <w:spacing w:after="50"/>
            </w:pPr>
            <w:r>
              <w:rPr>
                <w:rFonts w:ascii="Arial" w:cs="Arial" w:eastAsia="Arial" w:hAnsi="Arial"/>
                <w:color w:val="2A78D6"/>
                <w:sz w:val="16"/>
                <w:szCs w:val="16"/>
              </w:rPr>
              <w:t xml:space="preserve">●  </w:t>
            </w:r>
            <w:r>
              <w:rPr>
                <w:rFonts w:ascii="Arial" w:cs="Arial" w:eastAsia="Arial" w:hAnsi="Arial"/>
                <w:b/>
                <w:bCs/>
                <w:color w:val="14325C"/>
                <w:sz w:val="18"/>
                <w:szCs w:val="18"/>
              </w:rPr>
              <w:t xml:space="preserve">Coton</w:t>
            </w:r>
          </w:p>
          <w:p>
            <w:pPr>
              <w:spacing w:after="50" w:line="228" w:lineRule="auto"/>
            </w:pPr>
            <w:r>
              <w:rPr>
                <w:rFonts w:ascii="Arial" w:cs="Arial" w:eastAsia="Arial" w:hAnsi="Arial"/>
                <w:b/>
                <w:bCs/>
                <w:color w:val="52514E"/>
                <w:sz w:val="11"/>
                <w:szCs w:val="11"/>
                <w:shd w:fill="ECEBE6" w:color="auto" w:val="clear"/>
              </w:rPr>
              <w:t xml:space="preserve"> CONSTAT </w:t>
            </w:r>
            <w:r>
              <w:rPr>
                <w:rFonts w:ascii="Arial" w:cs="Arial" w:eastAsia="Arial" w:hAnsi="Arial"/>
                <w:sz w:val="14"/>
                <w:szCs w:val="14"/>
              </w:rPr>
              <w:t xml:space="preserve">  </w:t>
            </w:r>
            <w:r>
              <w:rPr>
                <w:rFonts w:ascii="Arial" w:cs="Arial" w:eastAsia="Arial" w:hAnsi="Arial"/>
                <w:sz w:val="14"/>
                <w:szCs w:val="14"/>
              </w:rPr>
              <w:t xml:space="preserve">310 FCFA/kg contre une médiane régionale de 300 (indice 103) ; équivalent fibre = 73 % de l'indice A. Revenu brut ≈305 000 FCFA/ha (Bénin ≈374 000 ; Burkina ≈281 000).</w:t>
            </w:r>
          </w:p>
          <w:p>
            <w:pPr>
              <w:spacing w:after="50" w:line="228" w:lineRule="auto"/>
            </w:pPr>
            <w:r>
              <w:rPr>
                <w:rFonts w:ascii="Arial" w:cs="Arial" w:eastAsia="Arial" w:hAnsi="Arial"/>
                <w:b/>
                <w:bCs/>
                <w:color w:val="52514E"/>
                <w:sz w:val="11"/>
                <w:szCs w:val="11"/>
                <w:shd w:fill="ECEBE6" w:color="auto" w:val="clear"/>
              </w:rPr>
              <w:t xml:space="preserve"> EXPLICATION </w:t>
            </w:r>
            <w:r>
              <w:rPr>
                <w:rFonts w:ascii="Arial" w:cs="Arial" w:eastAsia="Arial" w:hAnsi="Arial"/>
                <w:sz w:val="14"/>
                <w:szCs w:val="14"/>
              </w:rPr>
              <w:t xml:space="preserve">  </w:t>
            </w:r>
            <w:r>
              <w:rPr>
                <w:rFonts w:ascii="Arial" w:cs="Arial" w:eastAsia="Arial" w:hAnsi="Arial"/>
                <w:sz w:val="14"/>
                <w:szCs w:val="14"/>
              </w:rPr>
              <w:t xml:space="preserve">Subvention exceptionnelle de 25,3 Mds FCFA en 2025/26 (11,9 en 2024/25), soit ≈72 FCFA/kg.</w:t>
            </w:r>
          </w:p>
          <w:p>
            <w:pPr>
              <w:spacing w:after="50" w:line="228" w:lineRule="auto"/>
            </w:pPr>
            <w:r>
              <w:rPr>
                <w:rFonts w:ascii="Arial" w:cs="Arial" w:eastAsia="Arial" w:hAnsi="Arial"/>
                <w:b/>
                <w:bCs/>
                <w:color w:val="14325C"/>
                <w:sz w:val="11"/>
                <w:szCs w:val="11"/>
                <w:shd w:fill="DBE8FA" w:color="auto" w:val="clear"/>
              </w:rPr>
              <w:t xml:space="preserve"> IMPLICATION </w:t>
            </w:r>
            <w:r>
              <w:rPr>
                <w:rFonts w:ascii="Arial" w:cs="Arial" w:eastAsia="Arial" w:hAnsi="Arial"/>
                <w:sz w:val="14"/>
                <w:szCs w:val="14"/>
              </w:rPr>
              <w:t xml:space="preserve">  </w:t>
            </w:r>
            <w:r>
              <w:rPr>
                <w:rFonts w:ascii="Arial" w:cs="Arial" w:eastAsia="Arial" w:hAnsi="Arial"/>
                <w:sz w:val="14"/>
                <w:szCs w:val="14"/>
              </w:rPr>
              <w:t xml:space="preserve">Parité obtenue par le budget, pas par la compétitivité : le levier durable est le rendement (inférieur de 21 % à celui du Bénin).</w:t>
            </w:r>
          </w:p>
        </w:tc>
      </w:tr>
    </w:tbl>
    <w:p>
      <w:pPr>
        <w:spacing w:after="60"/>
      </w:pPr>
    </w:p>
    <w:p>
      <w:pPr>
        <w:keepNext/>
        <w:spacing w:after="40" w:before="0" w:line="252" w:lineRule="auto"/>
      </w:pPr>
      <w:r>
        <w:rPr>
          <w:rFonts w:ascii="Arial" w:cs="Arial" w:eastAsia="Arial" w:hAnsi="Arial"/>
          <w:b/>
          <w:bCs/>
          <w:color w:val="14325C"/>
          <w:sz w:val="16"/>
          <w:szCs w:val="16"/>
        </w:rPr>
        <w:t xml:space="preserve">Graphique 5 – Sur 100 FCFA de valeur internationale, combien reviennent au producteur ?</w:t>
      </w:r>
    </w:p>
    <w:p>
      <w:pPr>
        <w:spacing w:after="40"/>
      </w:pPr>
      <w:r>
        <w:drawing>
          <wp:inline distT="0" distB="0" distL="0" distR="0">
            <wp:extent cx="6029325" cy="1285875"/>
            <wp:effectExtent t="0" r="0" b="0" l="0"/>
            <wp:docPr id="1" name="fig5_decomposition" descr="fig5_decomposition" title="fig5_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29325" cy="1285875"/>
                    </a:xfrm>
                    <a:prstGeom prst="rect">
                      <a:avLst/>
                    </a:prstGeom>
                  </pic:spPr>
                </pic:pic>
              </a:graphicData>
            </a:graphic>
          </wp:inline>
        </w:drawing>
      </w:r>
    </w:p>
    <w:p>
      <w:pPr>
        <w:spacing w:after="100" w:before="0" w:line="230" w:lineRule="auto"/>
      </w:pPr>
      <w:r>
        <w:rPr>
          <w:rFonts w:ascii="Arial" w:cs="Arial" w:eastAsia="Arial" w:hAnsi="Arial"/>
          <w:color w:val="6E6D68"/>
          <w:sz w:val="12"/>
          <w:szCs w:val="12"/>
        </w:rPr>
        <w:t xml:space="preserve">Cacao : structure réglementaire du CAF (Banque mondiale 2019, OMC 2017) ; anacarde : barème 2026 (CCAK) et CFR Asie avr.-mai 2026 (cotation de négoce). Onglet Decomposition.</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9"/>
        <w:gridCol w:w="5159"/>
      </w:tblGrid>
      <w:tr>
        <w:trPr>
          <w:cantSplit/>
        </w:trPr>
        <w:tc>
          <w:tcPr>
            <w:tcW w:type="dxa" w:w="5159"/>
            <w:tcBorders>
              <w:top w:val="single" w:color="E1E0D9" w:sz="4"/>
              <w:left w:val="single" w:color="E1E0D9" w:sz="4"/>
              <w:bottom w:val="single" w:color="E1E0D9" w:sz="4"/>
              <w:right w:val="single" w:color="E1E0D9" w:sz="4"/>
            </w:tcBorders>
            <w:shd w:fill="FCFCFB" w:color="auto" w:val="clear"/>
            <w:tcMar>
              <w:top w:type="dxa" w:w="70"/>
              <w:left w:type="dxa" w:w="80"/>
              <w:bottom w:type="dxa" w:w="70"/>
              <w:right w:type="dxa" w:w="80"/>
            </w:tcMar>
            <w:vAlign w:val="top"/>
          </w:tcPr>
          <w:p>
            <w:pPr>
              <w:spacing w:after="50"/>
            </w:pPr>
            <w:r>
              <w:rPr>
                <w:rFonts w:ascii="Arial" w:cs="Arial" w:eastAsia="Arial" w:hAnsi="Arial"/>
                <w:color w:val="2A78D6"/>
                <w:sz w:val="16"/>
                <w:szCs w:val="16"/>
              </w:rPr>
              <w:t xml:space="preserve">▼  </w:t>
            </w:r>
            <w:r>
              <w:rPr>
                <w:rFonts w:ascii="Arial" w:cs="Arial" w:eastAsia="Arial" w:hAnsi="Arial"/>
                <w:b/>
                <w:bCs/>
                <w:color w:val="14325C"/>
                <w:sz w:val="18"/>
                <w:szCs w:val="18"/>
              </w:rPr>
              <w:t xml:space="preserve">Caoutchouc</w:t>
            </w:r>
          </w:p>
          <w:p>
            <w:pPr>
              <w:spacing w:after="50" w:line="228" w:lineRule="auto"/>
            </w:pPr>
            <w:r>
              <w:rPr>
                <w:rFonts w:ascii="Arial" w:cs="Arial" w:eastAsia="Arial" w:hAnsi="Arial"/>
                <w:b/>
                <w:bCs/>
                <w:color w:val="52514E"/>
                <w:sz w:val="11"/>
                <w:szCs w:val="11"/>
                <w:shd w:fill="ECEBE6" w:color="auto" w:val="clear"/>
              </w:rPr>
              <w:t xml:space="preserve"> CONSTAT </w:t>
            </w:r>
            <w:r>
              <w:rPr>
                <w:rFonts w:ascii="Arial" w:cs="Arial" w:eastAsia="Arial" w:hAnsi="Arial"/>
                <w:sz w:val="14"/>
                <w:szCs w:val="14"/>
              </w:rPr>
              <w:t xml:space="preserve">  </w:t>
            </w:r>
            <w:r>
              <w:rPr>
                <w:rFonts w:ascii="Arial" w:cs="Arial" w:eastAsia="Arial" w:hAnsi="Arial"/>
                <w:sz w:val="14"/>
                <w:szCs w:val="14"/>
              </w:rPr>
              <w:t xml:space="preserve">≈60 % du cours SICOM par kg sec (54 % si le DRC réel est de 66 %) contre ≈100 % en Thaïlande ; 484 FCFA/kg en sept. 2026, soit ≈807 par kg sec contre ≈1 284 en Indonésie.</w:t>
            </w:r>
          </w:p>
          <w:p>
            <w:pPr>
              <w:spacing w:after="50" w:line="228" w:lineRule="auto"/>
            </w:pPr>
            <w:r>
              <w:rPr>
                <w:rFonts w:ascii="Arial" w:cs="Arial" w:eastAsia="Arial" w:hAnsi="Arial"/>
                <w:b/>
                <w:bCs/>
                <w:color w:val="52514E"/>
                <w:sz w:val="11"/>
                <w:szCs w:val="11"/>
                <w:shd w:fill="ECEBE6" w:color="auto" w:val="clear"/>
              </w:rPr>
              <w:t xml:space="preserve"> EXPLICATION </w:t>
            </w:r>
            <w:r>
              <w:rPr>
                <w:rFonts w:ascii="Arial" w:cs="Arial" w:eastAsia="Arial" w:hAnsi="Arial"/>
                <w:sz w:val="14"/>
                <w:szCs w:val="14"/>
              </w:rPr>
              <w:t xml:space="preserve">  </w:t>
            </w:r>
            <w:r>
              <w:rPr>
                <w:rFonts w:ascii="Arial" w:cs="Arial" w:eastAsia="Arial" w:hAnsi="Arial"/>
                <w:sz w:val="14"/>
                <w:szCs w:val="14"/>
              </w:rPr>
              <w:t xml:space="preserve">Formule : 63 % (66 % depuis 2026) d'un prix de référence déjà net des coûts ; DRC conventionnel de 60 % inférieur au DRC mesuré (65-68 %).</w:t>
            </w:r>
          </w:p>
          <w:p>
            <w:pPr>
              <w:spacing w:after="50" w:line="228" w:lineRule="auto"/>
            </w:pPr>
            <w:r>
              <w:rPr>
                <w:rFonts w:ascii="Arial" w:cs="Arial" w:eastAsia="Arial" w:hAnsi="Arial"/>
                <w:b/>
                <w:bCs/>
                <w:color w:val="14325C"/>
                <w:sz w:val="11"/>
                <w:szCs w:val="11"/>
                <w:shd w:fill="DBE8FA" w:color="auto" w:val="clear"/>
              </w:rPr>
              <w:t xml:space="preserve"> IMPLICATION </w:t>
            </w:r>
            <w:r>
              <w:rPr>
                <w:rFonts w:ascii="Arial" w:cs="Arial" w:eastAsia="Arial" w:hAnsi="Arial"/>
                <w:sz w:val="14"/>
                <w:szCs w:val="14"/>
              </w:rPr>
              <w:t xml:space="preserve">  </w:t>
            </w:r>
            <w:r>
              <w:rPr>
                <w:rFonts w:ascii="Arial" w:cs="Arial" w:eastAsia="Arial" w:hAnsi="Arial"/>
                <w:sz w:val="14"/>
                <w:szCs w:val="14"/>
              </w:rPr>
              <w:t xml:space="preserve">Plus grand écart de transmission avec les concurrents (≈40 points) : la formule et la mesure du DRC sont les premiers leviers.</w:t>
            </w:r>
          </w:p>
        </w:tc>
        <w:tc>
          <w:tcPr>
            <w:tcW w:type="dxa" w:w="5159"/>
            <w:tcBorders>
              <w:top w:val="single" w:color="E1E0D9" w:sz="4"/>
              <w:left w:val="single" w:color="E1E0D9" w:sz="4"/>
              <w:bottom w:val="single" w:color="E1E0D9" w:sz="4"/>
              <w:right w:val="single" w:color="E1E0D9" w:sz="4"/>
            </w:tcBorders>
            <w:shd w:fill="FCFCFB" w:color="auto" w:val="clear"/>
            <w:tcMar>
              <w:top w:type="dxa" w:w="70"/>
              <w:left w:type="dxa" w:w="80"/>
              <w:bottom w:type="dxa" w:w="70"/>
              <w:right w:type="dxa" w:w="80"/>
            </w:tcMar>
            <w:vAlign w:val="top"/>
          </w:tcPr>
          <w:p>
            <w:pPr>
              <w:spacing w:after="50"/>
            </w:pPr>
            <w:r>
              <w:rPr>
                <w:rFonts w:ascii="Arial" w:cs="Arial" w:eastAsia="Arial" w:hAnsi="Arial"/>
                <w:color w:val="2A78D6"/>
                <w:sz w:val="16"/>
                <w:szCs w:val="16"/>
              </w:rPr>
              <w:t xml:space="preserve">▼  </w:t>
            </w:r>
            <w:r>
              <w:rPr>
                <w:rFonts w:ascii="Arial" w:cs="Arial" w:eastAsia="Arial" w:hAnsi="Arial"/>
                <w:b/>
                <w:bCs/>
                <w:color w:val="14325C"/>
                <w:sz w:val="18"/>
                <w:szCs w:val="18"/>
              </w:rPr>
              <w:t xml:space="preserve">Palmier à huile</w:t>
            </w:r>
          </w:p>
          <w:p>
            <w:pPr>
              <w:spacing w:after="50" w:line="228" w:lineRule="auto"/>
            </w:pPr>
            <w:r>
              <w:rPr>
                <w:rFonts w:ascii="Arial" w:cs="Arial" w:eastAsia="Arial" w:hAnsi="Arial"/>
                <w:b/>
                <w:bCs/>
                <w:color w:val="52514E"/>
                <w:sz w:val="11"/>
                <w:szCs w:val="11"/>
                <w:shd w:fill="ECEBE6" w:color="auto" w:val="clear"/>
              </w:rPr>
              <w:t xml:space="preserve"> CONSTAT </w:t>
            </w:r>
            <w:r>
              <w:rPr>
                <w:rFonts w:ascii="Arial" w:cs="Arial" w:eastAsia="Arial" w:hAnsi="Arial"/>
                <w:sz w:val="14"/>
                <w:szCs w:val="14"/>
              </w:rPr>
              <w:t xml:space="preserve">  </w:t>
            </w:r>
            <w:r>
              <w:rPr>
                <w:rFonts w:ascii="Arial" w:cs="Arial" w:eastAsia="Arial" w:hAnsi="Arial"/>
                <w:sz w:val="14"/>
                <w:szCs w:val="14"/>
              </w:rPr>
              <w:t xml:space="preserve">Régime à 80 FCFA/kg (janv. 2026) contre ≈115 en Indonésie et ≈127 en Malaisie ; le régime vaut 14 % du prix mondial de l'huile (Asie 21 %-22 %).</w:t>
            </w:r>
          </w:p>
          <w:p>
            <w:pPr>
              <w:spacing w:after="50" w:line="228" w:lineRule="auto"/>
            </w:pPr>
            <w:r>
              <w:rPr>
                <w:rFonts w:ascii="Arial" w:cs="Arial" w:eastAsia="Arial" w:hAnsi="Arial"/>
                <w:b/>
                <w:bCs/>
                <w:color w:val="52514E"/>
                <w:sz w:val="11"/>
                <w:szCs w:val="11"/>
                <w:shd w:fill="ECEBE6" w:color="auto" w:val="clear"/>
              </w:rPr>
              <w:t xml:space="preserve"> EXPLICATION </w:t>
            </w:r>
            <w:r>
              <w:rPr>
                <w:rFonts w:ascii="Arial" w:cs="Arial" w:eastAsia="Arial" w:hAnsi="Arial"/>
                <w:sz w:val="14"/>
                <w:szCs w:val="14"/>
              </w:rPr>
              <w:t xml:space="preserve">  </w:t>
            </w:r>
            <w:r>
              <w:rPr>
                <w:rFonts w:ascii="Arial" w:cs="Arial" w:eastAsia="Arial" w:hAnsi="Arial"/>
                <w:sz w:val="14"/>
                <w:szCs w:val="14"/>
              </w:rPr>
              <w:t xml:space="preserve">L'huile brute est payée 111 % du prix mondial sur le marché intérieur : la valeur protégée profite à la transformation, pas au planteur.</w:t>
            </w:r>
          </w:p>
          <w:p>
            <w:pPr>
              <w:spacing w:after="50" w:line="228" w:lineRule="auto"/>
            </w:pPr>
            <w:r>
              <w:rPr>
                <w:rFonts w:ascii="Arial" w:cs="Arial" w:eastAsia="Arial" w:hAnsi="Arial"/>
                <w:b/>
                <w:bCs/>
                <w:color w:val="14325C"/>
                <w:sz w:val="11"/>
                <w:szCs w:val="11"/>
                <w:shd w:fill="DBE8FA" w:color="auto" w:val="clear"/>
              </w:rPr>
              <w:t xml:space="preserve"> IMPLICATION </w:t>
            </w:r>
            <w:r>
              <w:rPr>
                <w:rFonts w:ascii="Arial" w:cs="Arial" w:eastAsia="Arial" w:hAnsi="Arial"/>
                <w:sz w:val="14"/>
                <w:szCs w:val="14"/>
              </w:rPr>
              <w:t xml:space="preserve">  </w:t>
            </w:r>
            <w:r>
              <w:rPr>
                <w:rFonts w:ascii="Arial" w:cs="Arial" w:eastAsia="Arial" w:hAnsi="Arial"/>
                <w:sz w:val="14"/>
                <w:szCs w:val="14"/>
              </w:rPr>
              <w:t xml:space="preserve">Indexer le prix du régime sur le prix de l'huile et le taux d'extraction mesuré (modèle MPOB à 1 % OER).</w:t>
            </w:r>
          </w:p>
        </w:tc>
      </w:tr>
    </w:tbl>
    <w:p>
      <w:pPr>
        <w:spacing w:after="60"/>
      </w:pPr>
    </w:p>
    <w:p>
      <w:pPr>
        <w:pageBreakBefore/>
        <w:pBdr>
          <w:bottom w:val="single" w:color="14325C" w:sz="12" w:space="4"/>
        </w:pBdr>
        <w:spacing w:after="100"/>
      </w:pPr>
      <w:r>
        <w:rPr>
          <w:rFonts w:ascii="Arial" w:cs="Arial" w:eastAsia="Arial" w:hAnsi="Arial"/>
          <w:b/>
          <w:bCs/>
          <w:color w:val="14325C"/>
          <w:sz w:val="14"/>
          <w:szCs w:val="14"/>
        </w:rPr>
        <w:t xml:space="preserve">FRUITS, HORTICULTURE ET VIVRIER</w:t>
      </w:r>
      <w:r>
        <w:rPr>
          <w:rFonts w:ascii="Arial" w:cs="Arial" w:eastAsia="Arial" w:hAnsi="Arial"/>
          <w:color w:val="52514E"/>
          <w:sz w:val="14"/>
          <w:szCs w:val="14"/>
        </w:rPr>
        <w:t xml:space="preserve">    ·    Page 4</w:t>
      </w:r>
    </w:p>
    <w:p>
      <w:pPr>
        <w:spacing w:after="80" w:before="0" w:line="240" w:lineRule="auto"/>
      </w:pPr>
      <w:r>
        <w:rPr>
          <w:rFonts w:ascii="Arial" w:cs="Arial" w:eastAsia="Arial" w:hAnsi="Arial"/>
          <w:b/>
          <w:bCs/>
          <w:color w:val="14325C"/>
          <w:sz w:val="24"/>
          <w:szCs w:val="24"/>
        </w:rPr>
        <w:t xml:space="preserve">Riz : rémunération élevée mais filière peu compétitive ; fruits et vivriers : des marchés différents, une information à construire</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284"/>
        <w:gridCol w:w="5034"/>
      </w:tblGrid>
      <w:tr>
        <w:tc>
          <w:tcPr>
            <w:tcW w:type="dxa" w:w="5284"/>
            <w:tcBorders>
              <w:top w:val="none" w:color="FFFFFF" w:sz="0"/>
              <w:left w:val="none" w:color="FFFFFF" w:sz="0"/>
              <w:bottom w:val="none" w:color="FFFFFF" w:sz="0"/>
              <w:right w:val="none" w:color="FFFFFF" w:sz="0"/>
            </w:tcBorders>
            <w:tcMar>
              <w:top w:type="dxa" w:w="50"/>
              <w:left w:type="dxa" w:w="80"/>
              <w:bottom w:type="dxa" w:w="50"/>
              <w:right w:type="dxa" w:w="80"/>
            </w:tcMar>
            <w:vAlign w:val="top"/>
          </w:tcPr>
          <w:tbl>
            <w:tblPr>
              <w:tblW w:type="dxa" w:w="51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4"/>
            </w:tblGrid>
            <w:tr>
              <w:trPr>
                <w:cantSplit/>
              </w:trPr>
              <w:tc>
                <w:tcPr>
                  <w:tcW w:type="dxa" w:w="5124"/>
                  <w:tcBorders>
                    <w:top w:val="single" w:color="E1E0D9" w:sz="4"/>
                    <w:left w:val="single" w:color="E1E0D9" w:sz="4"/>
                    <w:bottom w:val="single" w:color="E1E0D9" w:sz="4"/>
                    <w:right w:val="single" w:color="E1E0D9" w:sz="4"/>
                  </w:tcBorders>
                  <w:shd w:fill="FCFCFB" w:color="auto" w:val="clear"/>
                  <w:tcMar>
                    <w:top w:type="dxa" w:w="70"/>
                    <w:left w:type="dxa" w:w="80"/>
                    <w:bottom w:type="dxa" w:w="70"/>
                    <w:right w:type="dxa" w:w="80"/>
                  </w:tcMar>
                  <w:vAlign w:val="top"/>
                </w:tcPr>
                <w:p>
                  <w:pPr>
                    <w:spacing w:after="50"/>
                  </w:pPr>
                  <w:r>
                    <w:rPr>
                      <w:rFonts w:ascii="Arial" w:cs="Arial" w:eastAsia="Arial" w:hAnsi="Arial"/>
                      <w:color w:val="2A78D6"/>
                      <w:sz w:val="16"/>
                      <w:szCs w:val="16"/>
                    </w:rPr>
                    <w:t xml:space="preserve">▲  </w:t>
                  </w:r>
                  <w:r>
                    <w:rPr>
                      <w:rFonts w:ascii="Arial" w:cs="Arial" w:eastAsia="Arial" w:hAnsi="Arial"/>
                      <w:b/>
                      <w:bCs/>
                      <w:color w:val="14325C"/>
                      <w:sz w:val="18"/>
                      <w:szCs w:val="18"/>
                    </w:rPr>
                    <w:t xml:space="preserve">Riz paddy</w:t>
                  </w:r>
                </w:p>
                <w:p>
                  <w:pPr>
                    <w:spacing w:after="50" w:line="228" w:lineRule="auto"/>
                  </w:pPr>
                  <w:r>
                    <w:rPr>
                      <w:rFonts w:ascii="Arial" w:cs="Arial" w:eastAsia="Arial" w:hAnsi="Arial"/>
                      <w:b/>
                      <w:bCs/>
                      <w:color w:val="52514E"/>
                      <w:sz w:val="11"/>
                      <w:szCs w:val="11"/>
                      <w:shd w:fill="ECEBE6" w:color="auto" w:val="clear"/>
                    </w:rPr>
                    <w:t xml:space="preserve"> CONSTAT </w:t>
                  </w:r>
                  <w:r>
                    <w:rPr>
                      <w:rFonts w:ascii="Arial" w:cs="Arial" w:eastAsia="Arial" w:hAnsi="Arial"/>
                      <w:sz w:val="14"/>
                      <w:szCs w:val="14"/>
                    </w:rPr>
                    <w:t xml:space="preserve">  </w:t>
                  </w:r>
                  <w:r>
                    <w:rPr>
                      <w:rFonts w:ascii="Arial" w:cs="Arial" w:eastAsia="Arial" w:hAnsi="Arial"/>
                      <w:sz w:val="14"/>
                      <w:szCs w:val="14"/>
                    </w:rPr>
                    <w:t xml:space="preserve">233 FCFA/kg en moyenne 2025, contre 130 au Sénégal (160 payés par les usiniers avec la subvention) et ≈124 au Vietnam (paddy frais). L'équivalent paddy du riz thaï 5 % FOB vaut 154 FCFA/kg : le paddy ivoirien est payé 151 % de cette parité (hors fret et droits).</w:t>
                  </w:r>
                </w:p>
                <w:p>
                  <w:pPr>
                    <w:spacing w:after="50" w:line="228" w:lineRule="auto"/>
                  </w:pPr>
                  <w:r>
                    <w:rPr>
                      <w:rFonts w:ascii="Arial" w:cs="Arial" w:eastAsia="Arial" w:hAnsi="Arial"/>
                      <w:b/>
                      <w:bCs/>
                      <w:color w:val="52514E"/>
                      <w:sz w:val="11"/>
                      <w:szCs w:val="11"/>
                      <w:shd w:fill="ECEBE6" w:color="auto" w:val="clear"/>
                    </w:rPr>
                    <w:t xml:space="preserve"> EXPLICATION </w:t>
                  </w:r>
                  <w:r>
                    <w:rPr>
                      <w:rFonts w:ascii="Arial" w:cs="Arial" w:eastAsia="Arial" w:hAnsi="Arial"/>
                      <w:sz w:val="14"/>
                      <w:szCs w:val="14"/>
                    </w:rPr>
                    <w:t xml:space="preserve">  </w:t>
                  </w:r>
                  <w:r>
                    <w:rPr>
                      <w:rFonts w:ascii="Arial" w:cs="Arial" w:eastAsia="Arial" w:hAnsi="Arial"/>
                      <w:sz w:val="14"/>
                      <w:szCs w:val="14"/>
                    </w:rPr>
                    <w:t xml:space="preserve">Riziculture majoritairement pluviale, rendements faibles, usinage coûteux ; le prix élevé reflète le coût de revient et la préférence pour le riz local, pas une meilleure valorisation internationale. La Côte d'Ivoire importe encore ≈1,75 Mt par an.</w:t>
                  </w:r>
                </w:p>
                <w:p>
                  <w:pPr>
                    <w:spacing w:after="50" w:line="228" w:lineRule="auto"/>
                  </w:pPr>
                  <w:r>
                    <w:rPr>
                      <w:rFonts w:ascii="Arial" w:cs="Arial" w:eastAsia="Arial" w:hAnsi="Arial"/>
                      <w:b/>
                      <w:bCs/>
                      <w:color w:val="14325C"/>
                      <w:sz w:val="11"/>
                      <w:szCs w:val="11"/>
                      <w:shd w:fill="DBE8FA" w:color="auto" w:val="clear"/>
                    </w:rPr>
                    <w:t xml:space="preserve"> IMPLICATION </w:t>
                  </w:r>
                  <w:r>
                    <w:rPr>
                      <w:rFonts w:ascii="Arial" w:cs="Arial" w:eastAsia="Arial" w:hAnsi="Arial"/>
                      <w:sz w:val="14"/>
                      <w:szCs w:val="14"/>
                    </w:rPr>
                    <w:t xml:space="preserve">  </w:t>
                  </w:r>
                  <w:r>
                    <w:rPr>
                      <w:rFonts w:ascii="Arial" w:cs="Arial" w:eastAsia="Arial" w:hAnsi="Arial"/>
                      <w:sz w:val="14"/>
                      <w:szCs w:val="14"/>
                    </w:rPr>
                    <w:t xml:space="preserve">Ici, mieux rémunérer le producteur ne passe pas par le prix mais par la baisse du coût de revient (irrigation, semences, mécanisation, qualité d'usinage).</w:t>
                  </w:r>
                </w:p>
              </w:tc>
            </w:tr>
          </w:tbl>
          <w:p>
            <w:pPr>
              <w:spacing w:after="60"/>
            </w:pPr>
          </w:p>
          <w:p>
            <w:pPr>
              <w:keepNext/>
              <w:spacing w:after="40" w:before="0" w:line="252" w:lineRule="auto"/>
            </w:pPr>
            <w:r>
              <w:rPr>
                <w:rFonts w:ascii="Arial" w:cs="Arial" w:eastAsia="Arial" w:hAnsi="Arial"/>
                <w:b/>
                <w:bCs/>
                <w:color w:val="14325C"/>
                <w:sz w:val="16"/>
                <w:szCs w:val="16"/>
              </w:rPr>
              <w:t xml:space="preserve">Prix au kilo ≠ revenu à l'hectare</w:t>
            </w:r>
          </w:p>
          <w:tbl>
            <w:tblPr>
              <w:tblW w:type="dxa" w:w="51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9"/>
              <w:gridCol w:w="973"/>
              <w:gridCol w:w="922"/>
              <w:gridCol w:w="1180"/>
            </w:tblGrid>
            <w:tr>
              <w:trPr>
                <w:tblHeader/>
              </w:trPr>
              <w:tc>
                <w:tcPr>
                  <w:tcW w:type="dxa" w:w="2049"/>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Filière – pays</w:t>
                  </w:r>
                </w:p>
              </w:tc>
              <w:tc>
                <w:tcPr>
                  <w:tcW w:type="dxa" w:w="973"/>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Rendement (kg/ha)</w:t>
                  </w:r>
                </w:p>
              </w:tc>
              <w:tc>
                <w:tcPr>
                  <w:tcW w:type="dxa" w:w="922"/>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Prix (FCFA/kg)</w:t>
                  </w:r>
                </w:p>
              </w:tc>
              <w:tc>
                <w:tcPr>
                  <w:tcW w:type="dxa" w:w="1180"/>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Revenu brut (FCFA/ha)</w:t>
                  </w:r>
                </w:p>
              </w:tc>
            </w:tr>
            <w:tr>
              <w:tc>
                <w:tcPr>
                  <w:tcW w:type="dxa" w:w="2049"/>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Cacao – Côte d'Ivoire</w:t>
                  </w:r>
                </w:p>
              </w:tc>
              <w:tc>
                <w:tcPr>
                  <w:tcW w:type="dxa" w:w="973"/>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500</w:t>
                  </w:r>
                </w:p>
              </w:tc>
              <w:tc>
                <w:tcPr>
                  <w:tcW w:type="dxa" w:w="922"/>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1 200</w:t>
                  </w:r>
                </w:p>
              </w:tc>
              <w:tc>
                <w:tcPr>
                  <w:tcW w:type="dxa" w:w="1180"/>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600 000</w:t>
                  </w:r>
                </w:p>
              </w:tc>
            </w:tr>
            <w:tr>
              <w:tc>
                <w:tcPr>
                  <w:tcW w:type="dxa" w:w="2049"/>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Cacao – Ghana</w:t>
                  </w:r>
                </w:p>
              </w:tc>
              <w:tc>
                <w:tcPr>
                  <w:tcW w:type="dxa" w:w="973"/>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400</w:t>
                  </w:r>
                </w:p>
              </w:tc>
              <w:tc>
                <w:tcPr>
                  <w:tcW w:type="dxa" w:w="922"/>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2 086</w:t>
                  </w:r>
                </w:p>
              </w:tc>
              <w:tc>
                <w:tcPr>
                  <w:tcW w:type="dxa" w:w="1180"/>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834 312</w:t>
                  </w:r>
                </w:p>
              </w:tc>
            </w:tr>
            <w:tr>
              <w:tc>
                <w:tcPr>
                  <w:tcW w:type="dxa" w:w="2049"/>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Coton – Côte d'Ivoire</w:t>
                  </w:r>
                </w:p>
              </w:tc>
              <w:tc>
                <w:tcPr>
                  <w:tcW w:type="dxa" w:w="973"/>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984</w:t>
                  </w:r>
                </w:p>
              </w:tc>
              <w:tc>
                <w:tcPr>
                  <w:tcW w:type="dxa" w:w="922"/>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310</w:t>
                  </w:r>
                </w:p>
              </w:tc>
              <w:tc>
                <w:tcPr>
                  <w:tcW w:type="dxa" w:w="1180"/>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305 040</w:t>
                  </w:r>
                </w:p>
              </w:tc>
            </w:tr>
            <w:tr>
              <w:tc>
                <w:tcPr>
                  <w:tcW w:type="dxa" w:w="2049"/>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Coton – Bénin</w:t>
                  </w:r>
                </w:p>
              </w:tc>
              <w:tc>
                <w:tcPr>
                  <w:tcW w:type="dxa" w:w="973"/>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1 248</w:t>
                  </w:r>
                </w:p>
              </w:tc>
              <w:tc>
                <w:tcPr>
                  <w:tcW w:type="dxa" w:w="922"/>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300</w:t>
                  </w:r>
                </w:p>
              </w:tc>
              <w:tc>
                <w:tcPr>
                  <w:tcW w:type="dxa" w:w="1180"/>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374 400</w:t>
                  </w:r>
                </w:p>
              </w:tc>
            </w:tr>
            <w:tr>
              <w:tc>
                <w:tcPr>
                  <w:tcW w:type="dxa" w:w="2049"/>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Coton – Burkina Faso</w:t>
                  </w:r>
                </w:p>
              </w:tc>
              <w:tc>
                <w:tcPr>
                  <w:tcW w:type="dxa" w:w="973"/>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865</w:t>
                  </w:r>
                </w:p>
              </w:tc>
              <w:tc>
                <w:tcPr>
                  <w:tcW w:type="dxa" w:w="922"/>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325</w:t>
                  </w:r>
                </w:p>
              </w:tc>
              <w:tc>
                <w:tcPr>
                  <w:tcW w:type="dxa" w:w="1180"/>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281 125</w:t>
                  </w:r>
                </w:p>
              </w:tc>
            </w:tr>
            <w:tr>
              <w:tc>
                <w:tcPr>
                  <w:tcW w:type="dxa" w:w="2049"/>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Coton – Mali</w:t>
                  </w:r>
                </w:p>
              </w:tc>
              <w:tc>
                <w:tcPr>
                  <w:tcW w:type="dxa" w:w="973"/>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914</w:t>
                  </w:r>
                </w:p>
              </w:tc>
              <w:tc>
                <w:tcPr>
                  <w:tcW w:type="dxa" w:w="922"/>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300</w:t>
                  </w:r>
                </w:p>
              </w:tc>
              <w:tc>
                <w:tcPr>
                  <w:tcW w:type="dxa" w:w="1180"/>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jc w:val="right"/>
                  </w:pPr>
                  <w:r>
                    <w:rPr>
                      <w:rFonts w:ascii="Arial" w:cs="Arial" w:eastAsia="Arial" w:hAnsi="Arial"/>
                      <w:b w:val="false"/>
                      <w:bCs w:val="false"/>
                      <w:color w:val="1B1B1A"/>
                      <w:sz w:val="13"/>
                      <w:szCs w:val="13"/>
                    </w:rPr>
                    <w:t xml:space="preserve">274 200</w:t>
                  </w:r>
                </w:p>
              </w:tc>
            </w:tr>
          </w:tbl>
          <w:p>
            <w:pPr>
              <w:spacing w:after="100" w:before="0" w:line="230" w:lineRule="auto"/>
            </w:pPr>
            <w:r>
              <w:rPr>
                <w:rFonts w:ascii="Arial" w:cs="Arial" w:eastAsia="Arial" w:hAnsi="Arial"/>
                <w:color w:val="6E6D68"/>
                <w:sz w:val="12"/>
                <w:szCs w:val="12"/>
              </w:rPr>
              <w:t xml:space="preserve">Cacao : revenu ivoirien inférieur de 28 % malgré un rendement supérieur (prix 2026/27). Coton : le Bénin obtient le meilleur revenu avec un prix plus bas, grâce à un rendement supérieur de 27 %. Rendements : littérature (cacao), données de campagne 2024/25 (coton). Onglet Volumes_Rendements.</w:t>
            </w:r>
          </w:p>
        </w:tc>
        <w:tc>
          <w:tcPr>
            <w:tcW w:type="dxa" w:w="5034"/>
            <w:tcBorders>
              <w:top w:val="none" w:color="FFFFFF" w:sz="0"/>
              <w:left w:val="none" w:color="FFFFFF" w:sz="0"/>
              <w:bottom w:val="none" w:color="FFFFFF" w:sz="0"/>
              <w:right w:val="none" w:color="FFFFFF" w:sz="0"/>
            </w:tcBorders>
            <w:tcMar>
              <w:top w:type="dxa" w:w="50"/>
              <w:left w:type="dxa" w:w="80"/>
              <w:bottom w:type="dxa" w:w="50"/>
              <w:right w:type="dxa" w:w="80"/>
            </w:tcMar>
            <w:vAlign w:val="top"/>
          </w:tcPr>
          <w:p>
            <w:pPr>
              <w:keepNext/>
              <w:spacing w:after="40" w:before="0" w:line="252" w:lineRule="auto"/>
            </w:pPr>
            <w:r>
              <w:rPr>
                <w:rFonts w:ascii="Arial" w:cs="Arial" w:eastAsia="Arial" w:hAnsi="Arial"/>
                <w:b/>
                <w:bCs/>
                <w:color w:val="14325C"/>
                <w:sz w:val="16"/>
                <w:szCs w:val="16"/>
              </w:rPr>
              <w:t xml:space="preserve">Graphique 6 – Riz paddy : prix bord champ comparés (FCFA/kg)</w:t>
            </w:r>
          </w:p>
          <w:p>
            <w:pPr>
              <w:spacing w:after="40"/>
            </w:pPr>
            <w:r>
              <w:drawing>
                <wp:inline distT="0" distB="0" distL="0" distR="0">
                  <wp:extent cx="3095625" cy="1390650"/>
                  <wp:effectExtent t="0" r="0" b="0" l="0"/>
                  <wp:docPr id="1" name="fig6_riz" descr="fig6_riz" title="fig6_r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95625" cy="1390650"/>
                          </a:xfrm>
                          <a:prstGeom prst="rect">
                            <a:avLst/>
                          </a:prstGeom>
                        </pic:spPr>
                      </pic:pic>
                    </a:graphicData>
                  </a:graphic>
                </wp:inline>
              </w:drawing>
            </w:r>
          </w:p>
          <w:p>
            <w:pPr>
              <w:spacing w:after="100" w:before="0" w:line="230" w:lineRule="auto"/>
            </w:pPr>
            <w:r>
              <w:rPr>
                <w:rFonts w:ascii="Arial" w:cs="Arial" w:eastAsia="Arial" w:hAnsi="Arial"/>
                <w:color w:val="6E6D68"/>
                <w:sz w:val="12"/>
                <w:szCs w:val="12"/>
              </w:rPr>
              <w:t xml:space="preserve">USDA (Côte d'Ivoire, Sénégal), presse vietnamienne ; riz thaï 5 % FOB (Banque mondiale) × 65 %. Onglet Observations.</w:t>
            </w:r>
          </w:p>
        </w:tc>
      </w:tr>
    </w:tbl>
    <w:p>
      <w:pPr>
        <w:spacing w:after="40"/>
      </w:pPr>
    </w:p>
    <w:p>
      <w:pPr>
        <w:keepNext/>
        <w:pBdr>
          <w:left w:val="single" w:color="2A78D6" w:sz="18" w:space="6"/>
        </w:pBdr>
        <w:spacing w:after="60" w:before="80" w:line="252" w:lineRule="auto"/>
      </w:pPr>
      <w:r>
        <w:rPr>
          <w:rFonts w:ascii="Arial" w:cs="Arial" w:eastAsia="Arial" w:hAnsi="Arial"/>
          <w:b/>
          <w:bCs/>
          <w:color w:val="14325C"/>
          <w:sz w:val="19"/>
          <w:szCs w:val="19"/>
        </w:rPr>
        <w:t xml:space="preserve">Des structures de marché qui conditionnent la comparaison</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1"/>
        <w:gridCol w:w="2269"/>
        <w:gridCol w:w="3095"/>
        <w:gridCol w:w="1547"/>
        <w:gridCol w:w="2066"/>
      </w:tblGrid>
      <w:tr>
        <w:trPr>
          <w:tblHeader/>
        </w:trPr>
        <w:tc>
          <w:tcPr>
            <w:tcW w:type="dxa" w:w="1341"/>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Filière</w:t>
            </w:r>
          </w:p>
        </w:tc>
        <w:tc>
          <w:tcPr>
            <w:tcW w:type="dxa" w:w="2269"/>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Structure de marché</w:t>
            </w:r>
          </w:p>
        </w:tc>
        <w:tc>
          <w:tcPr>
            <w:tcW w:type="dxa" w:w="3095"/>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Ce qui existe</w:t>
            </w:r>
          </w:p>
        </w:tc>
        <w:tc>
          <w:tcPr>
            <w:tcW w:type="dxa" w:w="1547"/>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Comparabilité</w:t>
            </w:r>
          </w:p>
        </w:tc>
        <w:tc>
          <w:tcPr>
            <w:tcW w:type="dxa" w:w="2066"/>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Conclusion</w:t>
            </w:r>
          </w:p>
        </w:tc>
      </w:tr>
      <w:tr>
        <w:tc>
          <w:tcPr>
            <w:tcW w:type="dxa" w:w="1341"/>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Banane dessert</w:t>
            </w:r>
          </w:p>
        </w:tc>
        <w:tc>
          <w:tcPr>
            <w:tcW w:type="dxa" w:w="2269"/>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Filière intégrée (plantations exportatrices sous contrat)</w:t>
            </w:r>
          </w:p>
        </w:tc>
        <w:tc>
          <w:tcPr>
            <w:tcW w:type="dxa" w:w="3095"/>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Exportations 271 000 t (2025) ; Équateur : prix minimum 7,50 $ la caisse de 43 lb (≈217 FCFA/kg)</w:t>
            </w:r>
          </w:p>
        </w:tc>
        <w:tc>
          <w:tcPr>
            <w:tcW w:type="dxa" w:w="1547"/>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Aucun prix producteur public en Côte d'Ivoire</w:t>
            </w:r>
          </w:p>
        </w:tc>
        <w:tc>
          <w:tcPr>
            <w:tcW w:type="dxa" w:w="2066"/>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Données insuffisantes</w:t>
            </w:r>
          </w:p>
        </w:tc>
      </w:tr>
      <w:tr>
        <w:tc>
          <w:tcPr>
            <w:tcW w:type="dxa" w:w="1341"/>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Mangue</w:t>
            </w:r>
          </w:p>
        </w:tc>
        <w:tc>
          <w:tcPr>
            <w:tcW w:type="dxa" w:w="2269"/>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Interprofession (Inter-Mangue), export frais</w:t>
            </w:r>
          </w:p>
        </w:tc>
        <w:tc>
          <w:tcPr>
            <w:tcW w:type="dxa" w:w="3095"/>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Prix en station 220 FCFA/kg ; bord champ 2 450 FCFA la caisse (poids non publié) ; Burkina : plancher 95 FCFA/kg bord champ</w:t>
            </w:r>
          </w:p>
        </w:tc>
        <w:tc>
          <w:tcPr>
            <w:tcW w:type="dxa" w:w="1547"/>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Stades différents</w:t>
            </w:r>
          </w:p>
        </w:tc>
        <w:tc>
          <w:tcPr>
            <w:tcW w:type="dxa" w:w="2066"/>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Non comparable en l'état</w:t>
            </w:r>
          </w:p>
        </w:tc>
      </w:tr>
      <w:tr>
        <w:tc>
          <w:tcPr>
            <w:tcW w:type="dxa" w:w="1341"/>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Ananas, cola, coco, canne à sucre</w:t>
            </w:r>
          </w:p>
        </w:tc>
        <w:tc>
          <w:tcPr>
            <w:tcW w:type="dxa" w:w="2269"/>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Export résiduel (ananas ≈24 000 t en 2023), niches, agro-industrie intégrée</w:t>
            </w:r>
          </w:p>
        </w:tc>
        <w:tc>
          <w:tcPr>
            <w:tcW w:type="dxa" w:w="3095"/>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Pas de prix producteur publié</w:t>
            </w:r>
          </w:p>
        </w:tc>
        <w:tc>
          <w:tcPr>
            <w:tcW w:type="dxa" w:w="1547"/>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w:t>
            </w:r>
          </w:p>
        </w:tc>
        <w:tc>
          <w:tcPr>
            <w:tcW w:type="dxa" w:w="2066"/>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Données insuffisantes</w:t>
            </w:r>
          </w:p>
        </w:tc>
      </w:tr>
      <w:tr>
        <w:tc>
          <w:tcPr>
            <w:tcW w:type="dxa" w:w="1341"/>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Maïs, manioc, igname, plantain, tomate, oignon</w:t>
            </w:r>
          </w:p>
        </w:tc>
        <w:tc>
          <w:tcPr>
            <w:tcW w:type="dxa" w:w="2269"/>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Marchés libres domestiques</w:t>
            </w:r>
          </w:p>
        </w:tc>
        <w:tc>
          <w:tcPr>
            <w:tcW w:type="dxa" w:w="3095"/>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OCPV : prix à la consommation hebdomadaires par marché ; pas de prix bord champ harmonisé</w:t>
            </w:r>
          </w:p>
        </w:tc>
        <w:tc>
          <w:tcPr>
            <w:tcW w:type="dxa" w:w="1547"/>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Stade non comparable (consommateur)</w:t>
            </w:r>
          </w:p>
        </w:tc>
        <w:tc>
          <w:tcPr>
            <w:tcW w:type="dxa" w:w="2066"/>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Données insuffisantes</w:t>
            </w:r>
          </w:p>
        </w:tc>
      </w:tr>
    </w:tbl>
    <w:p>
      <w:pPr>
        <w:spacing w:after="60"/>
      </w:pPr>
    </w:p>
    <w:p>
      <w:pPr>
        <w:pBdr>
          <w:left w:val="single" w:color="EB6834" w:sz="24" w:space="8"/>
        </w:pBdr>
        <w:shd w:fill="FDF3EE" w:color="auto" w:val="clear"/>
        <w:spacing w:after="100" w:before="40" w:line="252" w:lineRule="auto"/>
      </w:pPr>
      <w:r>
        <w:rPr>
          <w:rFonts w:ascii="Arial" w:cs="Arial" w:eastAsia="Arial" w:hAnsi="Arial"/>
          <w:b/>
          <w:bCs/>
          <w:sz w:val="15"/>
          <w:szCs w:val="15"/>
        </w:rPr>
        <w:t xml:space="preserve">Règle de prudence appliquée.</w:t>
      </w:r>
      <w:r>
        <w:rPr>
          <w:rFonts w:ascii="Arial" w:cs="Arial" w:eastAsia="Arial" w:hAnsi="Arial"/>
          <w:sz w:val="15"/>
          <w:szCs w:val="15"/>
        </w:rPr>
        <w:t xml:space="preserve"> Pour la banane, l'ananas, la mangue (au stade bord champ) et l'ensemble des vivriers, </w:t>
      </w:r>
      <w:r>
        <w:rPr>
          <w:rFonts w:ascii="Arial" w:cs="Arial" w:eastAsia="Arial" w:hAnsi="Arial"/>
          <w:i/>
          <w:iCs/>
          <w:sz w:val="15"/>
          <w:szCs w:val="15"/>
        </w:rPr>
        <w:t xml:space="preserve">les données disponibles ne permettent pas de conclure de manière robuste sur la compétitivité relative du prix de ces filières.</w:t>
      </w:r>
      <w:r>
        <w:rPr>
          <w:rFonts w:ascii="Arial" w:cs="Arial" w:eastAsia="Arial" w:hAnsi="Arial"/>
          <w:sz w:val="15"/>
          <w:szCs w:val="15"/>
        </w:rPr>
        <w:t xml:space="preserve"> Les prix à la consommation de l'OCPV mesurent les marges de distribution, pas la rémunération du producteur.</w:t>
      </w:r>
    </w:p>
    <w:p>
      <w:pPr>
        <w:keepNext/>
        <w:pBdr>
          <w:left w:val="single" w:color="2A78D6" w:sz="18" w:space="6"/>
        </w:pBdr>
        <w:spacing w:after="60" w:before="80" w:line="252" w:lineRule="auto"/>
      </w:pPr>
      <w:r>
        <w:rPr>
          <w:rFonts w:ascii="Arial" w:cs="Arial" w:eastAsia="Arial" w:hAnsi="Arial"/>
          <w:b/>
          <w:bCs/>
          <w:color w:val="14325C"/>
          <w:sz w:val="19"/>
          <w:szCs w:val="19"/>
        </w:rPr>
        <w:t xml:space="preserve">Lecture transversale : quatre régimes de prix, quatre logiques de compétitivité</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3"/>
        <w:gridCol w:w="2063"/>
        <w:gridCol w:w="2889"/>
        <w:gridCol w:w="3303"/>
      </w:tblGrid>
      <w:tr>
        <w:trPr>
          <w:tblHeader/>
        </w:trPr>
        <w:tc>
          <w:tcPr>
            <w:tcW w:type="dxa" w:w="2063"/>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Régime</w:t>
            </w:r>
          </w:p>
        </w:tc>
        <w:tc>
          <w:tcPr>
            <w:tcW w:type="dxa" w:w="2063"/>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Filières</w:t>
            </w:r>
          </w:p>
        </w:tc>
        <w:tc>
          <w:tcPr>
            <w:tcW w:type="dxa" w:w="2889"/>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Atout</w:t>
            </w:r>
          </w:p>
        </w:tc>
        <w:tc>
          <w:tcPr>
            <w:tcW w:type="dxa" w:w="3303"/>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Faiblesse observée</w:t>
            </w:r>
          </w:p>
        </w:tc>
      </w:tr>
      <w:tr>
        <w:tc>
          <w:tcPr>
            <w:tcW w:type="dxa" w:w="2063"/>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Prix administré et ventes anticipées</w:t>
            </w:r>
          </w:p>
        </w:tc>
        <w:tc>
          <w:tcPr>
            <w:tcW w:type="dxa" w:w="2063"/>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Cacao, café</w:t>
            </w:r>
          </w:p>
        </w:tc>
        <w:tc>
          <w:tcPr>
            <w:tcW w:type="dxa" w:w="2889"/>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Stabilité (coefficient de variation du prix CI 51 % contre 62 % pour le cours mondial du cacao, 2016-2026)</w:t>
            </w:r>
          </w:p>
        </w:tc>
        <w:tc>
          <w:tcPr>
            <w:tcW w:type="dxa" w:w="3303"/>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Ventes conclues des mois à l'avance (mars-juin pour la campagne d'octobre 2026) : le planteur perd lors des remontées</w:t>
            </w:r>
          </w:p>
        </w:tc>
      </w:tr>
      <w:tr>
        <w:tc>
          <w:tcPr>
            <w:tcW w:type="dxa" w:w="2063"/>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Prix plancher et barème</w:t>
            </w:r>
          </w:p>
        </w:tc>
        <w:tc>
          <w:tcPr>
            <w:tcW w:type="dxa" w:w="2063"/>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Anacarde, coton, caoutchouc, palmier, mangue</w:t>
            </w:r>
          </w:p>
        </w:tc>
        <w:tc>
          <w:tcPr>
            <w:tcW w:type="dxa" w:w="2889"/>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Protection minimale du producteur</w:t>
            </w:r>
          </w:p>
        </w:tc>
        <w:tc>
          <w:tcPr>
            <w:tcW w:type="dxa" w:w="3303"/>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Formules figées, marges intermédiaires et parts producteur non revues</w:t>
            </w:r>
          </w:p>
        </w:tc>
      </w:tr>
      <w:tr>
        <w:tc>
          <w:tcPr>
            <w:tcW w:type="dxa" w:w="2063"/>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Filière intégrée</w:t>
            </w:r>
          </w:p>
        </w:tc>
        <w:tc>
          <w:tcPr>
            <w:tcW w:type="dxa" w:w="2063"/>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Banane, ananas</w:t>
            </w:r>
          </w:p>
        </w:tc>
        <w:tc>
          <w:tcPr>
            <w:tcW w:type="dxa" w:w="2889"/>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Qualité et logistique maîtrisées</w:t>
            </w:r>
          </w:p>
        </w:tc>
        <w:tc>
          <w:tcPr>
            <w:tcW w:type="dxa" w:w="3303"/>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Aucune transparence sur la rémunération des planteurs</w:t>
            </w:r>
          </w:p>
        </w:tc>
      </w:tr>
      <w:tr>
        <w:tc>
          <w:tcPr>
            <w:tcW w:type="dxa" w:w="2063"/>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Marché libre domestique</w:t>
            </w:r>
          </w:p>
        </w:tc>
        <w:tc>
          <w:tcPr>
            <w:tcW w:type="dxa" w:w="2063"/>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Riz, maïs, tubercules, maraîchage</w:t>
            </w:r>
          </w:p>
        </w:tc>
        <w:tc>
          <w:tcPr>
            <w:tcW w:type="dxa" w:w="2889"/>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Prix qui reflète l'offre et la demande</w:t>
            </w:r>
          </w:p>
        </w:tc>
        <w:tc>
          <w:tcPr>
            <w:tcW w:type="dxa" w:w="3303"/>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Aucune information publique au stade du producteur</w:t>
            </w:r>
          </w:p>
        </w:tc>
      </w:tr>
    </w:tbl>
    <w:p>
      <w:pPr>
        <w:spacing w:after="60"/>
      </w:pPr>
    </w:p>
    <w:p>
      <w:pPr>
        <w:pageBreakBefore/>
        <w:pBdr>
          <w:bottom w:val="single" w:color="14325C" w:sz="12" w:space="4"/>
        </w:pBdr>
        <w:spacing w:after="100"/>
      </w:pPr>
      <w:r>
        <w:rPr>
          <w:rFonts w:ascii="Arial" w:cs="Arial" w:eastAsia="Arial" w:hAnsi="Arial"/>
          <w:b/>
          <w:bCs/>
          <w:color w:val="14325C"/>
          <w:sz w:val="14"/>
          <w:szCs w:val="14"/>
        </w:rPr>
        <w:t xml:space="preserve">ENSEIGNEMENTS POUR LA CÔTE D'IVOIRE</w:t>
      </w:r>
      <w:r>
        <w:rPr>
          <w:rFonts w:ascii="Arial" w:cs="Arial" w:eastAsia="Arial" w:hAnsi="Arial"/>
          <w:color w:val="52514E"/>
          <w:sz w:val="14"/>
          <w:szCs w:val="14"/>
        </w:rPr>
        <w:t xml:space="preserve">    ·    Page 5</w:t>
      </w:r>
    </w:p>
    <w:p>
      <w:pPr>
        <w:spacing w:after="80" w:before="0" w:line="240" w:lineRule="auto"/>
      </w:pPr>
      <w:r>
        <w:rPr>
          <w:rFonts w:ascii="Arial" w:cs="Arial" w:eastAsia="Arial" w:hAnsi="Arial"/>
          <w:b/>
          <w:bCs/>
          <w:color w:val="14325C"/>
          <w:sz w:val="24"/>
          <w:szCs w:val="24"/>
        </w:rPr>
        <w:t xml:space="preserve">Six leviers pour mieux rémunérer le producteur sans fragiliser la compétitivité des filières</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159"/>
        <w:gridCol w:w="5159"/>
      </w:tblGrid>
      <w:tr>
        <w:trPr>
          <w:cantSplit/>
        </w:trPr>
        <w:tc>
          <w:tcPr>
            <w:tcW w:type="dxa" w:w="5159"/>
            <w:tcBorders>
              <w:top w:val="single" w:color="E1E0D9" w:sz="4"/>
              <w:left w:val="single" w:color="E1E0D9" w:sz="4"/>
              <w:bottom w:val="single" w:color="E1E0D9" w:sz="4"/>
              <w:right w:val="single" w:color="E1E0D9" w:sz="4"/>
            </w:tcBorders>
            <w:shd w:fill="FCFCFB" w:color="auto" w:val="clear"/>
            <w:tcMar>
              <w:top w:type="dxa" w:w="70"/>
              <w:left w:type="dxa" w:w="80"/>
              <w:bottom w:type="dxa" w:w="70"/>
              <w:right w:type="dxa" w:w="80"/>
            </w:tcMar>
            <w:vAlign w:val="top"/>
          </w:tcPr>
          <w:p>
            <w:pPr>
              <w:spacing w:after="30"/>
            </w:pPr>
            <w:r>
              <w:rPr>
                <w:rFonts w:ascii="Arial" w:cs="Arial" w:eastAsia="Arial" w:hAnsi="Arial"/>
                <w:b/>
                <w:bCs/>
                <w:color w:val="FFFFFF"/>
                <w:sz w:val="18"/>
                <w:szCs w:val="18"/>
                <w:shd w:fill="2A78D6" w:color="auto" w:val="clear"/>
              </w:rPr>
              <w:t xml:space="preserve"> 1 </w:t>
            </w:r>
            <w:r>
              <w:rPr>
                <w:rFonts w:ascii="Arial" w:cs="Arial" w:eastAsia="Arial" w:hAnsi="Arial"/>
                <w:b/>
                <w:bCs/>
                <w:color w:val="14325C"/>
                <w:sz w:val="17"/>
                <w:szCs w:val="17"/>
              </w:rPr>
              <w:t xml:space="preserve">  Cacao et café – réduire le décalage des ventes anticipées</w:t>
            </w:r>
          </w:p>
          <w:p>
            <w:pPr>
              <w:spacing w:after="0" w:before="0" w:line="228" w:lineRule="auto"/>
            </w:pPr>
            <w:r>
              <w:rPr>
                <w:rFonts w:ascii="Arial" w:cs="Arial" w:eastAsia="Arial" w:hAnsi="Arial"/>
                <w:sz w:val="14"/>
                <w:szCs w:val="14"/>
              </w:rPr>
              <w:t xml:space="preserve">Étaler les ventes sur 12 à 18 mois par tranches plafonnées, recourir à des contrats à prix à fixer et à des couvertures, prévoir une révision en cours de campagne quand le cours dépasse durablement le CAF de référence. Constat : CAF implicite 2026/27 ≤3,5 $/kg contre 6,0 $/kg sur le marché.</w:t>
            </w:r>
          </w:p>
        </w:tc>
        <w:tc>
          <w:tcPr>
            <w:tcW w:type="dxa" w:w="5159"/>
            <w:tcBorders>
              <w:top w:val="single" w:color="E1E0D9" w:sz="4"/>
              <w:left w:val="single" w:color="E1E0D9" w:sz="4"/>
              <w:bottom w:val="single" w:color="E1E0D9" w:sz="4"/>
              <w:right w:val="single" w:color="E1E0D9" w:sz="4"/>
            </w:tcBorders>
            <w:shd w:fill="FCFCFB" w:color="auto" w:val="clear"/>
            <w:tcMar>
              <w:top w:type="dxa" w:w="70"/>
              <w:left w:type="dxa" w:w="80"/>
              <w:bottom w:type="dxa" w:w="70"/>
              <w:right w:type="dxa" w:w="80"/>
            </w:tcMar>
            <w:vAlign w:val="top"/>
          </w:tcPr>
          <w:p>
            <w:pPr>
              <w:spacing w:after="30"/>
            </w:pPr>
            <w:r>
              <w:rPr>
                <w:rFonts w:ascii="Arial" w:cs="Arial" w:eastAsia="Arial" w:hAnsi="Arial"/>
                <w:b/>
                <w:bCs/>
                <w:color w:val="FFFFFF"/>
                <w:sz w:val="18"/>
                <w:szCs w:val="18"/>
                <w:shd w:fill="2A78D6" w:color="auto" w:val="clear"/>
              </w:rPr>
              <w:t xml:space="preserve"> 2 </w:t>
            </w:r>
            <w:r>
              <w:rPr>
                <w:rFonts w:ascii="Arial" w:cs="Arial" w:eastAsia="Arial" w:hAnsi="Arial"/>
                <w:b/>
                <w:bCs/>
                <w:color w:val="14325C"/>
                <w:sz w:val="17"/>
                <w:szCs w:val="17"/>
              </w:rPr>
              <w:t xml:space="preserve">  Publier la formation du prix</w:t>
            </w:r>
          </w:p>
          <w:p>
            <w:pPr>
              <w:spacing w:after="0" w:before="0" w:line="228" w:lineRule="auto"/>
            </w:pPr>
            <w:r>
              <w:rPr>
                <w:rFonts w:ascii="Arial" w:cs="Arial" w:eastAsia="Arial" w:hAnsi="Arial"/>
                <w:sz w:val="14"/>
                <w:szCs w:val="14"/>
              </w:rPr>
              <w:t xml:space="preserve">Publier à chaque campagne le barème complet (CAF ou FOB réalisé, prélèvements, marges) pour le cacao, le café, l'anacarde, le caoutchouc et le palmier, et suivre un indicateur « part producteur ». Constat : CAF non publié ; 40 % de la valeur de la noix non expliquée publiquement.</w:t>
            </w:r>
          </w:p>
        </w:tc>
      </w:tr>
      <w:tr>
        <w:trPr>
          <w:cantSplit/>
        </w:trPr>
        <w:tc>
          <w:tcPr>
            <w:tcW w:type="dxa" w:w="5159"/>
            <w:tcBorders>
              <w:top w:val="single" w:color="E1E0D9" w:sz="4"/>
              <w:left w:val="single" w:color="E1E0D9" w:sz="4"/>
              <w:bottom w:val="single" w:color="E1E0D9" w:sz="4"/>
              <w:right w:val="single" w:color="E1E0D9" w:sz="4"/>
            </w:tcBorders>
            <w:shd w:fill="FCFCFB" w:color="auto" w:val="clear"/>
            <w:tcMar>
              <w:top w:type="dxa" w:w="70"/>
              <w:left w:type="dxa" w:w="80"/>
              <w:bottom w:type="dxa" w:w="70"/>
              <w:right w:type="dxa" w:w="80"/>
            </w:tcMar>
            <w:vAlign w:val="top"/>
          </w:tcPr>
          <w:p>
            <w:pPr>
              <w:spacing w:after="30"/>
            </w:pPr>
            <w:r>
              <w:rPr>
                <w:rFonts w:ascii="Arial" w:cs="Arial" w:eastAsia="Arial" w:hAnsi="Arial"/>
                <w:b/>
                <w:bCs/>
                <w:color w:val="FFFFFF"/>
                <w:sz w:val="18"/>
                <w:szCs w:val="18"/>
                <w:shd w:fill="2A78D6" w:color="auto" w:val="clear"/>
              </w:rPr>
              <w:t xml:space="preserve"> 3 </w:t>
            </w:r>
            <w:r>
              <w:rPr>
                <w:rFonts w:ascii="Arial" w:cs="Arial" w:eastAsia="Arial" w:hAnsi="Arial"/>
                <w:b/>
                <w:bCs/>
                <w:color w:val="14325C"/>
                <w:sz w:val="17"/>
                <w:szCs w:val="17"/>
              </w:rPr>
              <w:t xml:space="preserve">  Réviser les formules du caoutchouc et du palmier</w:t>
            </w:r>
          </w:p>
          <w:p>
            <w:pPr>
              <w:spacing w:after="0" w:before="0" w:line="228" w:lineRule="auto"/>
            </w:pPr>
            <w:r>
              <w:rPr>
                <w:rFonts w:ascii="Arial" w:cs="Arial" w:eastAsia="Arial" w:hAnsi="Arial"/>
                <w:sz w:val="14"/>
                <w:szCs w:val="14"/>
              </w:rPr>
              <w:t xml:space="preserve">Caoutchouc : trajectoire au-delà de 66 % et DRC mesuré au point d'achat ; palmier : prix du régime indexé sur le prix de l'huile et le taux d'extraction mesuré. Constat : 60 % contre ≈100 % en Thaïlande ; régime à 14 % du prix de l'huile contre 21 %-22 %.</w:t>
            </w:r>
          </w:p>
        </w:tc>
        <w:tc>
          <w:tcPr>
            <w:tcW w:type="dxa" w:w="5159"/>
            <w:tcBorders>
              <w:top w:val="single" w:color="E1E0D9" w:sz="4"/>
              <w:left w:val="single" w:color="E1E0D9" w:sz="4"/>
              <w:bottom w:val="single" w:color="E1E0D9" w:sz="4"/>
              <w:right w:val="single" w:color="E1E0D9" w:sz="4"/>
            </w:tcBorders>
            <w:shd w:fill="FCFCFB" w:color="auto" w:val="clear"/>
            <w:tcMar>
              <w:top w:type="dxa" w:w="70"/>
              <w:left w:type="dxa" w:w="80"/>
              <w:bottom w:type="dxa" w:w="70"/>
              <w:right w:type="dxa" w:w="80"/>
            </w:tcMar>
            <w:vAlign w:val="top"/>
          </w:tcPr>
          <w:p>
            <w:pPr>
              <w:spacing w:after="30"/>
            </w:pPr>
            <w:r>
              <w:rPr>
                <w:rFonts w:ascii="Arial" w:cs="Arial" w:eastAsia="Arial" w:hAnsi="Arial"/>
                <w:b/>
                <w:bCs/>
                <w:color w:val="FFFFFF"/>
                <w:sz w:val="18"/>
                <w:szCs w:val="18"/>
                <w:shd w:fill="2A78D6" w:color="auto" w:val="clear"/>
              </w:rPr>
              <w:t xml:space="preserve"> 4 </w:t>
            </w:r>
            <w:r>
              <w:rPr>
                <w:rFonts w:ascii="Arial" w:cs="Arial" w:eastAsia="Arial" w:hAnsi="Arial"/>
                <w:b/>
                <w:bCs/>
                <w:color w:val="14325C"/>
                <w:sz w:val="17"/>
                <w:szCs w:val="17"/>
              </w:rPr>
              <w:t xml:space="preserve">  Anacarde – faire jouer la concurrence et payer la qualité</w:t>
            </w:r>
          </w:p>
          <w:p>
            <w:pPr>
              <w:spacing w:after="0" w:before="0" w:line="228" w:lineRule="auto"/>
            </w:pPr>
            <w:r>
              <w:rPr>
                <w:rFonts w:ascii="Arial" w:cs="Arial" w:eastAsia="Arial" w:hAnsi="Arial"/>
                <w:sz w:val="14"/>
                <w:szCs w:val="14"/>
              </w:rPr>
              <w:t xml:space="preserve">Ventes groupées ou enchères en magasin (modèle tanzanien), prime au rendement en amande (KOR), publication d'un prix FOB de référence. Constat : 46 % du CFR contre 69 % au Ghana et 79 % en Tanzanie (comparaison indicative).</w:t>
            </w:r>
          </w:p>
        </w:tc>
      </w:tr>
      <w:tr>
        <w:trPr>
          <w:cantSplit/>
        </w:trPr>
        <w:tc>
          <w:tcPr>
            <w:tcW w:type="dxa" w:w="5159"/>
            <w:tcBorders>
              <w:top w:val="single" w:color="E1E0D9" w:sz="4"/>
              <w:left w:val="single" w:color="E1E0D9" w:sz="4"/>
              <w:bottom w:val="single" w:color="E1E0D9" w:sz="4"/>
              <w:right w:val="single" w:color="E1E0D9" w:sz="4"/>
            </w:tcBorders>
            <w:shd w:fill="FCFCFB" w:color="auto" w:val="clear"/>
            <w:tcMar>
              <w:top w:type="dxa" w:w="70"/>
              <w:left w:type="dxa" w:w="80"/>
              <w:bottom w:type="dxa" w:w="70"/>
              <w:right w:type="dxa" w:w="80"/>
            </w:tcMar>
            <w:vAlign w:val="top"/>
          </w:tcPr>
          <w:p>
            <w:pPr>
              <w:spacing w:after="30"/>
            </w:pPr>
            <w:r>
              <w:rPr>
                <w:rFonts w:ascii="Arial" w:cs="Arial" w:eastAsia="Arial" w:hAnsi="Arial"/>
                <w:b/>
                <w:bCs/>
                <w:color w:val="FFFFFF"/>
                <w:sz w:val="18"/>
                <w:szCs w:val="18"/>
                <w:shd w:fill="2A78D6" w:color="auto" w:val="clear"/>
              </w:rPr>
              <w:t xml:space="preserve"> 5 </w:t>
            </w:r>
            <w:r>
              <w:rPr>
                <w:rFonts w:ascii="Arial" w:cs="Arial" w:eastAsia="Arial" w:hAnsi="Arial"/>
                <w:b/>
                <w:bCs/>
                <w:color w:val="14325C"/>
                <w:sz w:val="17"/>
                <w:szCs w:val="17"/>
              </w:rPr>
              <w:t xml:space="preserve">  Productivité avant prix (café, riz, coton, cacao)</w:t>
            </w:r>
          </w:p>
          <w:p>
            <w:pPr>
              <w:spacing w:after="0" w:before="0" w:line="228" w:lineRule="auto"/>
            </w:pPr>
            <w:r>
              <w:rPr>
                <w:rFonts w:ascii="Arial" w:cs="Arial" w:eastAsia="Arial" w:hAnsi="Arial"/>
                <w:sz w:val="14"/>
                <w:szCs w:val="14"/>
              </w:rPr>
              <w:t xml:space="preserve">Régénération du verger caféier, intensification rizicole, diffusion des itinéraires cotonniers les plus productifs ; recentrer progressivement la subvention cotonnière (≈72 FCFA/kg) sur les intrants et le rendement. Constat : riz à 151 % de la parité FOB ; rendement cotonnier inférieur de 21 % à celui du Bénin.</w:t>
            </w:r>
          </w:p>
        </w:tc>
        <w:tc>
          <w:tcPr>
            <w:tcW w:type="dxa" w:w="5159"/>
            <w:tcBorders>
              <w:top w:val="single" w:color="E1E0D9" w:sz="4"/>
              <w:left w:val="single" w:color="E1E0D9" w:sz="4"/>
              <w:bottom w:val="single" w:color="E1E0D9" w:sz="4"/>
              <w:right w:val="single" w:color="E1E0D9" w:sz="4"/>
            </w:tcBorders>
            <w:shd w:fill="FCFCFB" w:color="auto" w:val="clear"/>
            <w:tcMar>
              <w:top w:type="dxa" w:w="70"/>
              <w:left w:type="dxa" w:w="80"/>
              <w:bottom w:type="dxa" w:w="70"/>
              <w:right w:type="dxa" w:w="80"/>
            </w:tcMar>
            <w:vAlign w:val="top"/>
          </w:tcPr>
          <w:p>
            <w:pPr>
              <w:spacing w:after="30"/>
            </w:pPr>
            <w:r>
              <w:rPr>
                <w:rFonts w:ascii="Arial" w:cs="Arial" w:eastAsia="Arial" w:hAnsi="Arial"/>
                <w:b/>
                <w:bCs/>
                <w:color w:val="FFFFFF"/>
                <w:sz w:val="18"/>
                <w:szCs w:val="18"/>
                <w:shd w:fill="2A78D6" w:color="auto" w:val="clear"/>
              </w:rPr>
              <w:t xml:space="preserve"> 6 </w:t>
            </w:r>
            <w:r>
              <w:rPr>
                <w:rFonts w:ascii="Arial" w:cs="Arial" w:eastAsia="Arial" w:hAnsi="Arial"/>
                <w:b/>
                <w:bCs/>
                <w:color w:val="14325C"/>
                <w:sz w:val="17"/>
                <w:szCs w:val="17"/>
              </w:rPr>
              <w:t xml:space="preserve">  Fiscalité contracyclique et observatoire des prix</w:t>
            </w:r>
          </w:p>
          <w:p>
            <w:pPr>
              <w:spacing w:after="0" w:before="0" w:line="228" w:lineRule="auto"/>
            </w:pPr>
            <w:r>
              <w:rPr>
                <w:rFonts w:ascii="Arial" w:cs="Arial" w:eastAsia="Arial" w:hAnsi="Arial"/>
                <w:sz w:val="14"/>
                <w:szCs w:val="14"/>
              </w:rPr>
              <w:t xml:space="preserve">Moduler les prélèvements sur le cacao (≈22 % du CAF) selon le niveau des cours ; créer un observatoire des prix au producteur (Côte d'Ivoire et pays concurrents, vivriers inclus) publiant un benchmark trimestriel. Constat : aucune série bord champ publique pour les fruits et les vivriers.</w:t>
            </w:r>
          </w:p>
        </w:tc>
      </w:tr>
    </w:tbl>
    <w:p>
      <w:pPr>
        <w:spacing w:after="60"/>
      </w:pPr>
    </w:p>
    <w:p>
      <w:pPr>
        <w:keepNext/>
        <w:pBdr>
          <w:left w:val="single" w:color="2A78D6" w:sz="18" w:space="6"/>
        </w:pBdr>
        <w:spacing w:after="60" w:before="80" w:line="252" w:lineRule="auto"/>
      </w:pPr>
      <w:r>
        <w:rPr>
          <w:rFonts w:ascii="Arial" w:cs="Arial" w:eastAsia="Arial" w:hAnsi="Arial"/>
          <w:b/>
          <w:bCs/>
          <w:color w:val="14325C"/>
          <w:sz w:val="19"/>
          <w:szCs w:val="19"/>
        </w:rPr>
        <w:t xml:space="preserve">Matrice d'action</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5"/>
        <w:gridCol w:w="1754"/>
        <w:gridCol w:w="3508"/>
        <w:gridCol w:w="2271"/>
      </w:tblGrid>
      <w:tr>
        <w:trPr>
          <w:tblHeader/>
        </w:trPr>
        <w:tc>
          <w:tcPr>
            <w:tcW w:type="dxa" w:w="2785"/>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Problème observé</w:t>
            </w:r>
          </w:p>
        </w:tc>
        <w:tc>
          <w:tcPr>
            <w:tcW w:type="dxa" w:w="1754"/>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Filières concernées</w:t>
            </w:r>
          </w:p>
        </w:tc>
        <w:tc>
          <w:tcPr>
            <w:tcW w:type="dxa" w:w="3508"/>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Action possible</w:t>
            </w:r>
          </w:p>
        </w:tc>
        <w:tc>
          <w:tcPr>
            <w:tcW w:type="dxa" w:w="2271"/>
            <w:tcBorders>
              <w:top w:val="single" w:color="E1E0D9" w:sz="4"/>
              <w:left w:val="single" w:color="E1E0D9" w:sz="4"/>
              <w:bottom w:val="single" w:color="E1E0D9" w:sz="4"/>
              <w:right w:val="single" w:color="E1E0D9" w:sz="4"/>
            </w:tcBorders>
            <w:shd w:fill="14325C" w:color="auto" w:val="clear"/>
            <w:tcMar>
              <w:top w:type="dxa" w:w="50"/>
              <w:left w:type="dxa" w:w="55"/>
              <w:bottom w:type="dxa" w:w="50"/>
              <w:right w:type="dxa" w:w="55"/>
            </w:tcMar>
            <w:vAlign w:val="top"/>
          </w:tcPr>
          <w:p>
            <w:pPr>
              <w:spacing w:after="0" w:before="0" w:line="220" w:lineRule="auto"/>
            </w:pPr>
            <w:r>
              <w:rPr>
                <w:rFonts w:ascii="Arial" w:cs="Arial" w:eastAsia="Arial" w:hAnsi="Arial"/>
                <w:b/>
                <w:bCs/>
                <w:color w:val="FFFFFF"/>
                <w:sz w:val="12"/>
                <w:szCs w:val="12"/>
              </w:rPr>
              <w:t xml:space="preserve">Institution pilote</w:t>
            </w:r>
          </w:p>
        </w:tc>
      </w:tr>
      <w:tr>
        <w:tc>
          <w:tcPr>
            <w:tcW w:type="dxa" w:w="2785"/>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Transmission retardée par le calendrier des ventes anticipées</w:t>
            </w:r>
          </w:p>
        </w:tc>
        <w:tc>
          <w:tcPr>
            <w:tcW w:type="dxa" w:w="1754"/>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Cacao, café</w:t>
            </w:r>
          </w:p>
        </w:tc>
        <w:tc>
          <w:tcPr>
            <w:tcW w:type="dxa" w:w="3508"/>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Lissage et couverture des ventes ; clause de révision en cours de campagne</w:t>
            </w:r>
          </w:p>
        </w:tc>
        <w:tc>
          <w:tcPr>
            <w:tcW w:type="dxa" w:w="2271"/>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CCC, avec le MINADERPV et le ministère chargé des Finances</w:t>
            </w:r>
          </w:p>
        </w:tc>
      </w:tr>
      <w:tr>
        <w:tc>
          <w:tcPr>
            <w:tcW w:type="dxa" w:w="2785"/>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Formation du prix peu transparente</w:t>
            </w:r>
          </w:p>
        </w:tc>
        <w:tc>
          <w:tcPr>
            <w:tcW w:type="dxa" w:w="1754"/>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Cacao, café, anacarde, caoutchouc, palmier</w:t>
            </w:r>
          </w:p>
        </w:tc>
        <w:tc>
          <w:tcPr>
            <w:tcW w:type="dxa" w:w="3508"/>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Publication des barèmes et des prix FOB/CAF réalisés ; indicateur « part producteur »</w:t>
            </w:r>
          </w:p>
        </w:tc>
        <w:tc>
          <w:tcPr>
            <w:tcW w:type="dxa" w:w="2271"/>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CCC, CCAK, APROMAC, Conseil Hévéa-Palmier à huile-Coco</w:t>
            </w:r>
          </w:p>
        </w:tc>
      </w:tr>
      <w:tr>
        <w:tc>
          <w:tcPr>
            <w:tcW w:type="dxa" w:w="2785"/>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Part producteur figée par formule et conventions de mesure</w:t>
            </w:r>
          </w:p>
        </w:tc>
        <w:tc>
          <w:tcPr>
            <w:tcW w:type="dxa" w:w="1754"/>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Caoutchouc, palmier</w:t>
            </w:r>
          </w:p>
        </w:tc>
        <w:tc>
          <w:tcPr>
            <w:tcW w:type="dxa" w:w="3508"/>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Révision des formules ; DRC et taux d'extraction mesurés</w:t>
            </w:r>
          </w:p>
        </w:tc>
        <w:tc>
          <w:tcPr>
            <w:tcW w:type="dxa" w:w="2271"/>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Conseil Hévéa-Palmier à huile-Coco, APROMAC, AIPH</w:t>
            </w:r>
          </w:p>
        </w:tc>
      </w:tr>
      <w:tr>
        <w:tc>
          <w:tcPr>
            <w:tcW w:type="dxa" w:w="2785"/>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Valeur captée en aval de l'exploitation</w:t>
            </w:r>
          </w:p>
        </w:tc>
        <w:tc>
          <w:tcPr>
            <w:tcW w:type="dxa" w:w="1754"/>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Anacarde</w:t>
            </w:r>
          </w:p>
        </w:tc>
        <w:tc>
          <w:tcPr>
            <w:tcW w:type="dxa" w:w="3508"/>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Ventes groupées, enchères, prime qualité, prix FOB publié</w:t>
            </w:r>
          </w:p>
        </w:tc>
        <w:tc>
          <w:tcPr>
            <w:tcW w:type="dxa" w:w="2271"/>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CCAK, MINADERPV, ministère du Commerce</w:t>
            </w:r>
          </w:p>
        </w:tc>
      </w:tr>
      <w:tr>
        <w:tc>
          <w:tcPr>
            <w:tcW w:type="dxa" w:w="2785"/>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Faible productivité, coût de revient élevé</w:t>
            </w:r>
          </w:p>
        </w:tc>
        <w:tc>
          <w:tcPr>
            <w:tcW w:type="dxa" w:w="1754"/>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Café, riz, coton, cacao</w:t>
            </w:r>
          </w:p>
        </w:tc>
        <w:tc>
          <w:tcPr>
            <w:tcW w:type="dxa" w:w="3508"/>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Régénération, intensification, recentrage des subventions sur le rendement</w:t>
            </w:r>
          </w:p>
        </w:tc>
        <w:tc>
          <w:tcPr>
            <w:tcW w:type="dxa" w:w="2271"/>
            <w:tcBorders>
              <w:top w:val="single" w:color="E1E0D9" w:sz="4"/>
              <w:left w:val="single" w:color="E1E0D9" w:sz="4"/>
              <w:bottom w:val="single" w:color="E1E0D9" w:sz="4"/>
              <w:right w:val="single" w:color="E1E0D9" w:sz="4"/>
            </w:tcBorders>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FIRCA, ANADER, CNRA, ADERIZ, Intercoton</w:t>
            </w:r>
          </w:p>
        </w:tc>
      </w:tr>
      <w:tr>
        <w:tc>
          <w:tcPr>
            <w:tcW w:type="dxa" w:w="2785"/>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bCs/>
                <w:color w:val="14325C"/>
                <w:sz w:val="13"/>
                <w:szCs w:val="13"/>
              </w:rPr>
              <w:t xml:space="preserve">Prélèvements procycliques ; information lacunaire</w:t>
            </w:r>
          </w:p>
        </w:tc>
        <w:tc>
          <w:tcPr>
            <w:tcW w:type="dxa" w:w="1754"/>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Cacao ; fruits et vivriers</w:t>
            </w:r>
          </w:p>
        </w:tc>
        <w:tc>
          <w:tcPr>
            <w:tcW w:type="dxa" w:w="3508"/>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Modulation des prélèvements ; observatoire des prix au producteur</w:t>
            </w:r>
          </w:p>
        </w:tc>
        <w:tc>
          <w:tcPr>
            <w:tcW w:type="dxa" w:w="2271"/>
            <w:tcBorders>
              <w:top w:val="single" w:color="E1E0D9" w:sz="4"/>
              <w:left w:val="single" w:color="E1E0D9" w:sz="4"/>
              <w:bottom w:val="single" w:color="E1E0D9" w:sz="4"/>
              <w:right w:val="single" w:color="E1E0D9" w:sz="4"/>
            </w:tcBorders>
            <w:shd w:fill="F6F6F3" w:color="auto" w:val="clear"/>
            <w:tcMar>
              <w:top w:type="dxa" w:w="35"/>
              <w:left w:type="dxa" w:w="55"/>
              <w:bottom w:type="dxa" w:w="35"/>
              <w:right w:type="dxa" w:w="55"/>
            </w:tcMar>
            <w:vAlign w:val="top"/>
          </w:tcPr>
          <w:p>
            <w:pPr>
              <w:spacing w:after="0" w:before="0" w:line="220" w:lineRule="auto"/>
            </w:pPr>
            <w:r>
              <w:rPr>
                <w:rFonts w:ascii="Arial" w:cs="Arial" w:eastAsia="Arial" w:hAnsi="Arial"/>
                <w:b w:val="false"/>
                <w:bCs w:val="false"/>
                <w:color w:val="1B1B1A"/>
                <w:sz w:val="13"/>
                <w:szCs w:val="13"/>
              </w:rPr>
              <w:t xml:space="preserve">Ministère chargé des Finances, MINADERPV, OCPV, INS</w:t>
            </w:r>
          </w:p>
        </w:tc>
      </w:tr>
    </w:tbl>
    <w:p>
      <w:pPr>
        <w:spacing w:after="6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159"/>
        <w:gridCol w:w="5159"/>
      </w:tblGrid>
      <w:tr>
        <w:tc>
          <w:tcPr>
            <w:tcW w:type="dxa" w:w="5159"/>
            <w:tcBorders>
              <w:top w:val="single" w:color="2A78D6" w:sz="18"/>
              <w:left w:val="single" w:color="E1E0D9" w:sz="4"/>
              <w:bottom w:val="single" w:color="E1E0D9" w:sz="4"/>
              <w:right w:val="single" w:color="E1E0D9" w:sz="4"/>
            </w:tcBorders>
            <w:shd w:fill="FBFBFA" w:color="auto" w:val="clear"/>
            <w:tcMar>
              <w:top w:type="dxa" w:w="70"/>
              <w:left w:type="dxa" w:w="80"/>
              <w:bottom w:type="dxa" w:w="70"/>
              <w:right w:type="dxa" w:w="80"/>
            </w:tcMar>
            <w:vAlign w:val="top"/>
          </w:tcPr>
          <w:p>
            <w:pPr>
              <w:spacing w:after="30" w:before="0" w:line="252" w:lineRule="auto"/>
            </w:pPr>
            <w:r>
              <w:rPr>
                <w:rFonts w:ascii="Arial" w:cs="Arial" w:eastAsia="Arial" w:hAnsi="Arial"/>
                <w:b/>
                <w:bCs/>
                <w:color w:val="2A78D6"/>
                <w:sz w:val="12"/>
                <w:szCs w:val="12"/>
              </w:rPr>
              <w:t xml:space="preserve">SÉQUENCEMENT PROPOSÉ</w:t>
            </w:r>
          </w:p>
          <w:p>
            <w:pPr>
              <w:pStyle w:val="ListParagraph"/>
              <w:numPr>
                <w:ilvl w:val="0"/>
                <w:numId w:val="3"/>
              </w:numPr>
              <w:spacing w:after="30" w:line="228" w:lineRule="auto"/>
            </w:pPr>
            <w:r>
              <w:rPr>
                <w:rFonts w:ascii="Arial" w:cs="Arial" w:eastAsia="Arial" w:hAnsi="Arial"/>
                <w:b/>
                <w:bCs/>
                <w:sz w:val="14"/>
                <w:szCs w:val="14"/>
              </w:rPr>
              <w:t xml:space="preserve">Campagne 2026/27 (0-6 mois)</w:t>
            </w:r>
            <w:r>
              <w:rPr>
                <w:rFonts w:ascii="Arial" w:cs="Arial" w:eastAsia="Arial" w:hAnsi="Arial"/>
                <w:sz w:val="14"/>
                <w:szCs w:val="14"/>
              </w:rPr>
              <w:t xml:space="preserve"> : mandat au CCC pour le lissage des ventes 2027/28 ; publication des barèmes 2026/27 ; mission technique sur la formule caoutchouc (DRC mesuré).</w:t>
            </w:r>
          </w:p>
          <w:p>
            <w:pPr>
              <w:pStyle w:val="ListParagraph"/>
              <w:numPr>
                <w:ilvl w:val="0"/>
                <w:numId w:val="3"/>
              </w:numPr>
              <w:spacing w:after="30" w:line="228" w:lineRule="auto"/>
            </w:pPr>
            <w:r>
              <w:rPr>
                <w:rFonts w:ascii="Arial" w:cs="Arial" w:eastAsia="Arial" w:hAnsi="Arial"/>
                <w:b/>
                <w:bCs/>
                <w:sz w:val="14"/>
                <w:szCs w:val="14"/>
              </w:rPr>
              <w:t xml:space="preserve">12-24 mois</w:t>
            </w:r>
            <w:r>
              <w:rPr>
                <w:rFonts w:ascii="Arial" w:cs="Arial" w:eastAsia="Arial" w:hAnsi="Arial"/>
                <w:sz w:val="14"/>
                <w:szCs w:val="14"/>
              </w:rPr>
              <w:t xml:space="preserve"> : réforme des formules caoutchouc et palmier ; pilote d'enchères anacarde dans deux départements ; observatoire des prix opérationnel.</w:t>
            </w:r>
          </w:p>
          <w:p>
            <w:pPr>
              <w:pStyle w:val="ListParagraph"/>
              <w:numPr>
                <w:ilvl w:val="0"/>
                <w:numId w:val="3"/>
              </w:numPr>
              <w:spacing w:after="30" w:line="228" w:lineRule="auto"/>
            </w:pPr>
            <w:r>
              <w:rPr>
                <w:rFonts w:ascii="Arial" w:cs="Arial" w:eastAsia="Arial" w:hAnsi="Arial"/>
                <w:b/>
                <w:bCs/>
                <w:sz w:val="14"/>
                <w:szCs w:val="14"/>
              </w:rPr>
              <w:t xml:space="preserve">24-36 mois</w:t>
            </w:r>
            <w:r>
              <w:rPr>
                <w:rFonts w:ascii="Arial" w:cs="Arial" w:eastAsia="Arial" w:hAnsi="Arial"/>
                <w:sz w:val="14"/>
                <w:szCs w:val="14"/>
              </w:rPr>
              <w:t xml:space="preserve"> : prélèvements cacao modulés selon les cours ; subvention cotonnière recentrée sur le rendement.</w:t>
            </w:r>
          </w:p>
        </w:tc>
        <w:tc>
          <w:tcPr>
            <w:tcW w:type="dxa" w:w="5159"/>
            <w:tcBorders>
              <w:top w:val="single" w:color="EB6834" w:sz="18"/>
              <w:left w:val="single" w:color="E1E0D9" w:sz="4"/>
              <w:bottom w:val="single" w:color="E1E0D9" w:sz="4"/>
              <w:right w:val="single" w:color="E1E0D9" w:sz="4"/>
            </w:tcBorders>
            <w:shd w:fill="FBFBFA" w:color="auto" w:val="clear"/>
            <w:tcMar>
              <w:top w:type="dxa" w:w="70"/>
              <w:left w:type="dxa" w:w="80"/>
              <w:bottom w:type="dxa" w:w="70"/>
              <w:right w:type="dxa" w:w="80"/>
            </w:tcMar>
            <w:vAlign w:val="top"/>
          </w:tcPr>
          <w:p>
            <w:pPr>
              <w:spacing w:after="30" w:before="0" w:line="252" w:lineRule="auto"/>
            </w:pPr>
            <w:r>
              <w:rPr>
                <w:rFonts w:ascii="Arial" w:cs="Arial" w:eastAsia="Arial" w:hAnsi="Arial"/>
                <w:b/>
                <w:bCs/>
                <w:color w:val="2A78D6"/>
                <w:sz w:val="12"/>
                <w:szCs w:val="12"/>
              </w:rPr>
              <w:t xml:space="preserve">POINTS DE VIGILANCE (SOUTENABILITÉ)</w:t>
            </w:r>
          </w:p>
          <w:p>
            <w:pPr>
              <w:pStyle w:val="ListParagraph"/>
              <w:numPr>
                <w:ilvl w:val="0"/>
                <w:numId w:val="3"/>
              </w:numPr>
              <w:spacing w:after="30" w:line="228" w:lineRule="auto"/>
            </w:pPr>
            <w:r>
              <w:rPr>
                <w:rFonts w:ascii="Arial" w:cs="Arial" w:eastAsia="Arial" w:hAnsi="Arial"/>
                <w:sz w:val="14"/>
                <w:szCs w:val="14"/>
              </w:rPr>
              <w:t xml:space="preserve">Relever le prix bord champ sans réformer les ventes anticipées exposerait le CCC à des pertes : en 2025/26, un prix au-dessus du marché a laissé 123 000 t invendues.</w:t>
            </w:r>
          </w:p>
          <w:p>
            <w:pPr>
              <w:pStyle w:val="ListParagraph"/>
              <w:numPr>
                <w:ilvl w:val="0"/>
                <w:numId w:val="3"/>
              </w:numPr>
              <w:spacing w:after="30" w:line="228" w:lineRule="auto"/>
            </w:pPr>
            <w:r>
              <w:rPr>
                <w:rFonts w:ascii="Arial" w:cs="Arial" w:eastAsia="Arial" w:hAnsi="Arial"/>
                <w:sz w:val="14"/>
                <w:szCs w:val="14"/>
              </w:rPr>
              <w:t xml:space="preserve">Le modèle ghanéen (≥70 % du FOB) n'est pas un modèle en soi : il coexiste avec un déficit de financement du COCOBOD estimé à 1,4 Md $.</w:t>
            </w:r>
          </w:p>
          <w:p>
            <w:pPr>
              <w:pStyle w:val="ListParagraph"/>
              <w:numPr>
                <w:ilvl w:val="0"/>
                <w:numId w:val="3"/>
              </w:numPr>
              <w:spacing w:after="30" w:line="228" w:lineRule="auto"/>
            </w:pPr>
            <w:r>
              <w:rPr>
                <w:rFonts w:ascii="Arial" w:cs="Arial" w:eastAsia="Arial" w:hAnsi="Arial"/>
                <w:sz w:val="14"/>
                <w:szCs w:val="14"/>
              </w:rPr>
              <w:t xml:space="preserve">Pour le riz, soutenir encore le prix du paddy (151 % de la parité FOB) creuserait l'écart avec les importations.</w:t>
            </w:r>
          </w:p>
        </w:tc>
      </w:tr>
    </w:tbl>
    <w:p>
      <w:pPr>
        <w:spacing w:after="40"/>
      </w:pPr>
    </w:p>
    <w:p>
      <w:pPr>
        <w:spacing w:after="100" w:before="0" w:line="230" w:lineRule="auto"/>
      </w:pPr>
      <w:r>
        <w:rPr>
          <w:rFonts w:ascii="Arial" w:cs="Arial" w:eastAsia="Arial" w:hAnsi="Arial"/>
          <w:color w:val="6E6D68"/>
          <w:sz w:val="12"/>
          <w:szCs w:val="12"/>
        </w:rPr>
        <w:t xml:space="preserve">Limites : comparaisons de pays réalisées à date d'observation (et non en moyenne de campagne) lorsque les séries étrangères ne sont pas publiées ; prix étrangers parfois issus de la presse ou de sources commerciales (cotés C dans la base) ; FAOSTAT, Comtrade et Eurostat n'étaient pas téléchargeables depuis l'environnement d'étude. Détails : METHODOLOGIE_ET_SOURCES.md et base Excel (onglet Audit_QC).</w:t>
      </w:r>
    </w:p>
    <w:sectPr>
      <w:footerReference w:type="default" r:id="rId7"/>
      <w:pgSz w:w="11906" w:h="16838" w:orient="portrait"/>
      <w:pgMar w:top="700" w:right="794" w:bottom="700" w:left="794" w:header="708"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98781"/>
        <w:sz w:val="12"/>
        <w:szCs w:val="12"/>
      </w:rPr>
      <w:t xml:space="preserve">Les prix agricoles ivoiriens sont-ils compétitifs ? – Note de benchmark, octobre 2026 · page </w:t>
    </w:r>
    <w:r>
      <w:rPr>
        <w:rFonts w:ascii="Arial" w:cs="Arial" w:eastAsia="Arial" w:hAnsi="Arial"/>
        <w:color w:val="898781"/>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00"/>
      </w:pPr>
      <w:rPr>
        <w:b/>
        <w:bCs/>
        <w:color w:val="2A78D6"/>
      </w:rPr>
    </w:lvl>
  </w:abstractNum>
  <w:abstractNum w:abstractNumId="3"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02cfea471c03272686b5a756111d250721d580.png"/><Relationship Id="rId9" Type="http://schemas.openxmlformats.org/officeDocument/2006/relationships/image" Target="media/23c9e7307d5d1b0f8073abb578de97f21c606d20.png"/><Relationship Id="rId10" Type="http://schemas.openxmlformats.org/officeDocument/2006/relationships/image" Target="media/ab49d1c92f2c8c297ae4516022ceac7764c00023.png"/><Relationship Id="rId11" Type="http://schemas.openxmlformats.org/officeDocument/2006/relationships/image" Target="media/7aefa964dc1f602d2a432dafd20d9f4963cd57b4.png"/><Relationship Id="rId12" Type="http://schemas.openxmlformats.org/officeDocument/2006/relationships/image" Target="media/2fbaab487c106cce280dabcc61ae92e86adc9d40.png"/><Relationship Id="rId13" Type="http://schemas.openxmlformats.org/officeDocument/2006/relationships/image" Target="media/f860de8080b03c509c5ec79e721b03ae103b78f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prix agricoles ivoiriens sont-ils compétitifs ? Benchmark international (octobre 2026)</dc:title>
  <dc:creator>Chargé d'études – MINADERPV</dc:creator>
  <dc:description>Note de benchmark – version Word modifiable</dc:description>
  <cp:lastModifiedBy>Un-named</cp:lastModifiedBy>
  <cp:revision>1</cp:revision>
  <dcterms:created xsi:type="dcterms:W3CDTF">2026-10-01T18:33:40.065Z</dcterms:created>
  <dcterms:modified xsi:type="dcterms:W3CDTF">2026-10-01T18:33:40.065Z</dcterms:modified>
</cp:coreProperties>
</file>

<file path=docProps/custom.xml><?xml version="1.0" encoding="utf-8"?>
<Properties xmlns="http://schemas.openxmlformats.org/officeDocument/2006/custom-properties" xmlns:vt="http://schemas.openxmlformats.org/officeDocument/2006/docPropsVTypes"/>
</file>