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pBdr>
          <w:bottom w:val="single" w:color="1F4E3D" w:sz="18" w:space="1"/>
        </w:pBdr>
        <w:spacing w:after="360" w:before="0"/>
      </w:pPr>
    </w:p>
    <w:p>
      <w:pPr>
        <w:spacing w:after="360" w:line="300" w:lineRule="auto"/>
      </w:pPr>
      <w:r>
        <w:rPr>
          <w:rFonts w:ascii="Garamond" w:cs="Garamond" w:eastAsia="Garamond" w:hAnsi="Garamond"/>
          <w:b/>
          <w:bCs/>
          <w:color w:val="1F4E3D"/>
          <w:sz w:val="50"/>
          <w:szCs w:val="50"/>
        </w:rPr>
        <w:t xml:space="preserve">CADRE MÉTHODOLOGIQUE DES INDICATEURS DE SUIVI DE LA VISION AGRICOLE</w:t>
      </w:r>
    </w:p>
    <w:p>
      <w:pPr>
        <w:spacing w:after="360"/>
      </w:pPr>
      <w:r>
        <w:rPr>
          <w:rFonts w:ascii="Garamond" w:cs="Garamond" w:eastAsia="Garamond" w:hAnsi="Garamond"/>
          <w:i/>
          <w:iCs/>
          <w:color w:val="4A4A4A"/>
          <w:sz w:val="30"/>
          <w:szCs w:val="30"/>
        </w:rPr>
        <w:t xml:space="preserve">Définitions, indicateurs, méthodes de calcul et fondements scientifiques</w:t>
      </w:r>
    </w:p>
    <w:p>
      <w:pPr>
        <w:pBdr>
          <w:bottom w:val="single" w:color="1F4E3D" w:sz="6" w:space="1"/>
        </w:pBdr>
        <w:spacing w:after="0" w:before="0"/>
      </w:pPr>
    </w:p>
    <w:p>
      <w:pPr>
        <w:spacing w:before="4300"/>
      </w:pPr>
      <w:r>
        <w:rPr>
          <w:rFonts w:ascii="Garamond" w:cs="Garamond" w:eastAsia="Garamond" w:hAnsi="Garamond"/>
          <w:color w:val="222222"/>
          <w:sz w:val="26"/>
          <w:szCs w:val="26"/>
        </w:rPr>
        <w:t xml:space="preserve">Document méthodologique de travail</w:t>
      </w:r>
    </w:p>
    <w:p>
      <w:pPr>
        <w:spacing w:before="120"/>
      </w:pPr>
      <w:r>
        <w:rPr>
          <w:rFonts w:ascii="Garamond" w:cs="Garamond" w:eastAsia="Garamond" w:hAnsi="Garamond"/>
          <w:b/>
          <w:bCs/>
          <w:color w:val="1F4E3D"/>
          <w:sz w:val="26"/>
          <w:szCs w:val="26"/>
        </w:rPr>
        <w:t xml:space="preserve">Côte d’Ivoire</w:t>
      </w:r>
    </w:p>
    <w:p>
      <w:pPr>
        <w:spacing w:before="120"/>
      </w:pPr>
      <w:r>
        <w:rPr>
          <w:rFonts w:ascii="Garamond" w:cs="Garamond" w:eastAsia="Garamond" w:hAnsi="Garamond"/>
          <w:color w:val="4A4A4A"/>
          <w:sz w:val="24"/>
          <w:szCs w:val="24"/>
        </w:rPr>
        <w:t xml:space="preserve">Septembre 2026</w:t>
      </w:r>
    </w:p>
    <w:p>
      <w:pPr>
        <w:sectPr>
          <w:pgSz w:w="11906" w:h="16838" w:orient="portrait"/>
          <w:pgMar w:top="1418" w:right="1418" w:bottom="1304" w:left="1418" w:header="709" w:footer="624" w:gutter="0"/>
          <w:pgNumType/>
          <w:docGrid w:linePitch="360"/>
        </w:sectPr>
      </w:pPr>
    </w:p>
    <w:p>
      <w:pPr>
        <w:spacing w:after="240"/>
      </w:pPr>
      <w:r>
        <w:rPr>
          <w:rFonts w:ascii="Garamond" w:cs="Garamond" w:eastAsia="Garamond" w:hAnsi="Garamond"/>
          <w:b/>
          <w:bCs/>
          <w:color w:val="1F4E3D"/>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pageBreakBefore/>
        <w:spacing w:after="240"/>
      </w:pPr>
      <w:r>
        <w:rPr>
          <w:rFonts w:ascii="Garamond" w:cs="Garamond" w:eastAsia="Garamond" w:hAnsi="Garamond"/>
          <w:b/>
          <w:bCs/>
          <w:color w:val="1F4E3D"/>
          <w:sz w:val="32"/>
          <w:szCs w:val="32"/>
        </w:rPr>
        <w:t xml:space="preserve">Sigles et abréviations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7170"/>
      </w:tblGrid>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ADERIZ</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Agence pour le développement de la filière riz</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AFAT</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Agriculture, foresterie et autres affectations des terres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AFD</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Agence française de développement</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AFOR</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Agence foncière rurale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ANADER</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Agence nationale d’appui au développement rural</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ANStat</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Agence nationale de la statistique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APHLIS</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African Postharvest Losses Information System</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ARS</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African Regional Standard (norme régionale africaine)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BCEAO</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Banque centrale des États de l’Afrique de l’Ouest</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BNETD-CCT</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Bureau national d’études techniques et de développement – Centre de cartographie et de télédétection</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CCNUCC</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Convention-cadre des Nations unies sur les changements climatiques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CDN</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Contribution déterminée au niveau national</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CGAP</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Consultative Group to Assist the Poor</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CVGFR</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Comité villageois de gestion foncière rurale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EHCVM</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Enquête harmonisée sur les conditions de vie des ménages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FAO</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Organisation des Nations unies pour l’alimentation et l’agriculture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FIES</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Food Insecurity Experience Scale (échelle de mesure de l’insécurité alimentaire vécue)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FRA</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Global Forest Resources Assessment (évaluation des ressources forestières mondiales)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GES</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Gaz à effet de serre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GIEC</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Groupe d’experts intergouvernemental sur l’évolution du climat</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ICCO</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Organisation internationale du cacao</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IFPRI</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Institut international de recherche sur les politiques alimentaires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JRC TMF</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Centre commun de recherche de la Commission européenne – Tropical Moist Forest</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ODD</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Objectifs de développement durable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PDDAA</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Programme détaillé pour le développement de l’agriculture africaine (CAADP)</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PNSFR</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Programme national de sécurisation foncière rurale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REDD+</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Réduction des émissions dues à la déforestation et à la dégradation des forêts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REEA</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Recensement des exploitants et exploitations agricoles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ReSAKSS</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Regional Strategic Analysis and Knowledge Support System</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RGPH</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Recensement général de la population et de l’habitat</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SEP-REDD+</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Secrétariat exécutif permanent de la REDD+</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SFD</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Systèmes financiers décentralisés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SIFOR</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Système d’information foncière rurale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SNSFR</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Stratégie nationale de sécurisation foncière rurale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tCO₂e</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Tonne d’équivalent dioxyde de carbone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UEMOA</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Union économique et monétaire ouest-africaine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USDA ERS</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Economic Research Service du département de l’Agriculture des États-Unis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20"/>
                <w:szCs w:val="20"/>
              </w:rPr>
              <w:t xml:space="preserve">VGGT</w:t>
            </w:r>
          </w:p>
        </w:tc>
        <w:tc>
          <w:tcPr>
            <w:tcW w:type="dxa" w:w="71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20"/>
                <w:szCs w:val="20"/>
              </w:rPr>
              <w:t xml:space="preserve">Directives volontaires pour une gouvernance responsable des régimes fonciers (FAO)</w:t>
            </w:r>
          </w:p>
        </w:tc>
      </w:tr>
    </w:tbl>
    <w:p>
      <w:pPr>
        <w:pStyle w:val="Heading1"/>
        <w:pageBreakBefore/>
      </w:pPr>
      <w:r>
        <w:t xml:space="preserve">1. Introduction</w:t>
      </w:r>
    </w:p>
    <w:p>
      <w:pPr>
        <w:spacing w:after="140" w:before="0" w:line="276" w:lineRule="auto"/>
        <w:jc w:val="both"/>
      </w:pPr>
      <w:r>
        <w:rPr>
          <w:rFonts w:ascii="Garamond" w:cs="Garamond" w:eastAsia="Garamond" w:hAnsi="Garamond"/>
          <w:sz w:val="24"/>
          <w:szCs w:val="24"/>
        </w:rPr>
        <w:t xml:space="preserve">La vision agricole de la Côte d’Ivoire vise une transformation structurelle du secteur, c’est-à-dire un changement durable dans la manière dont le pays produit, finance, sécurise et préserve son agriculture. Une telle transformation ne peut être appréciée par un indicateur unique. Le dispositif de suivi retenu repose donc sur cinq dimensions complémentaires, chacune éclairant une condition distincte de cette transformation : la souveraineté alimentaire, la compétitivité de l’agriculture, l’accès au financement agricole, la sécurisation du foncier rural et la durabilité des systèmes de production.</w:t>
      </w:r>
    </w:p>
    <w:p>
      <w:pPr>
        <w:spacing w:after="140" w:before="0" w:line="276" w:lineRule="auto"/>
        <w:jc w:val="both"/>
      </w:pPr>
      <w:r>
        <w:rPr>
          <w:rFonts w:ascii="Garamond" w:cs="Garamond" w:eastAsia="Garamond" w:hAnsi="Garamond"/>
          <w:sz w:val="24"/>
          <w:szCs w:val="24"/>
        </w:rPr>
        <w:t xml:space="preserve">Ces cinq dimensions obéissent à une logique d’enchaînement. La finalité première est de nourrir durablement la population ; elle suppose un appareil productif compétitif, qui ne peut se développer sans financement ; l’investissement, en particulier celui de long terme, dépend de la sécurité des droits sur la terre ; l’ensemble n’est soutenable que si les ressources naturelles qui conditionnent la production future sont préservées.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34"/>
        <w:gridCol w:w="350"/>
        <w:gridCol w:w="1534"/>
        <w:gridCol w:w="350"/>
        <w:gridCol w:w="1534"/>
        <w:gridCol w:w="350"/>
        <w:gridCol w:w="1534"/>
        <w:gridCol w:w="350"/>
        <w:gridCol w:w="1534"/>
      </w:tblGrid>
      <w:tr>
        <w:trPr>
          <w:cantSplit/>
        </w:trPr>
        <w:tc>
          <w:tcPr>
            <w:tcW w:type="dxa" w:w="1534"/>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1F4E3D"/>
                <w:sz w:val="19"/>
                <w:szCs w:val="19"/>
              </w:rPr>
              <w:t xml:space="preserve">Nourrir durablement la population</w:t>
            </w:r>
          </w:p>
        </w:tc>
        <w:tc>
          <w:tcPr>
            <w:tcW w:type="dxa" w:w="3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color w:val="1F4E3D"/>
                <w:sz w:val="24"/>
                <w:szCs w:val="24"/>
              </w:rPr>
              <w:t xml:space="preserve">→</w:t>
            </w:r>
          </w:p>
        </w:tc>
        <w:tc>
          <w:tcPr>
            <w:tcW w:type="dxa" w:w="1534"/>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1F4E3D"/>
                <w:sz w:val="19"/>
                <w:szCs w:val="19"/>
              </w:rPr>
              <w:t xml:space="preserve">Produire de manière compétitive</w:t>
            </w:r>
          </w:p>
        </w:tc>
        <w:tc>
          <w:tcPr>
            <w:tcW w:type="dxa" w:w="3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color w:val="1F4E3D"/>
                <w:sz w:val="24"/>
                <w:szCs w:val="24"/>
              </w:rPr>
              <w:t xml:space="preserve">→</w:t>
            </w:r>
          </w:p>
        </w:tc>
        <w:tc>
          <w:tcPr>
            <w:tcW w:type="dxa" w:w="1534"/>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1F4E3D"/>
                <w:sz w:val="19"/>
                <w:szCs w:val="19"/>
              </w:rPr>
              <w:t xml:space="preserve">Permettre aux acteurs d’accéder au financement</w:t>
            </w:r>
          </w:p>
        </w:tc>
        <w:tc>
          <w:tcPr>
            <w:tcW w:type="dxa" w:w="3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color w:val="1F4E3D"/>
                <w:sz w:val="24"/>
                <w:szCs w:val="24"/>
              </w:rPr>
              <w:t xml:space="preserve">→</w:t>
            </w:r>
          </w:p>
        </w:tc>
        <w:tc>
          <w:tcPr>
            <w:tcW w:type="dxa" w:w="1534"/>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1F4E3D"/>
                <w:sz w:val="19"/>
                <w:szCs w:val="19"/>
              </w:rPr>
              <w:t xml:space="preserve">Sécuriser les droits sur la terre</w:t>
            </w:r>
          </w:p>
        </w:tc>
        <w:tc>
          <w:tcPr>
            <w:tcW w:type="dxa" w:w="3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color w:val="1F4E3D"/>
                <w:sz w:val="24"/>
                <w:szCs w:val="24"/>
              </w:rPr>
              <w:t xml:space="preserve">→</w:t>
            </w:r>
          </w:p>
        </w:tc>
        <w:tc>
          <w:tcPr>
            <w:tcW w:type="dxa" w:w="1534"/>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1F4E3D"/>
                <w:sz w:val="19"/>
                <w:szCs w:val="19"/>
              </w:rPr>
              <w:t xml:space="preserve">Préserver durablement les ressources productives</w:t>
            </w:r>
          </w:p>
        </w:tc>
      </w:tr>
    </w:tbl>
    <w:p>
      <w:pPr>
        <w:spacing w:after="160"/>
      </w:pPr>
    </w:p>
    <w:p>
      <w:pPr>
        <w:spacing w:after="140" w:before="0" w:line="276" w:lineRule="auto"/>
        <w:jc w:val="both"/>
      </w:pPr>
      <w:r>
        <w:rPr>
          <w:rFonts w:ascii="Garamond" w:cs="Garamond" w:eastAsia="Garamond" w:hAnsi="Garamond"/>
          <w:sz w:val="24"/>
          <w:szCs w:val="24"/>
        </w:rPr>
        <w:t xml:space="preserve">Trois indicateurs ont été retenus pour chaque dimension, soit quinze indicateurs principaux. Ce nombre résulte d’un arbitrage explicite entre exhaustivité et lisibilité. Il permet d’éviter un tableau de bord trop lourd, dont la lecture par le décideur deviendrait incertaine, tout en couvrant, pour chaque axe, trois facettes distinctes et non redondantes du phénomène suivi. Le choix a également privilégié des indicateurs directement interprétables, dont le sens de variation souhaité est univoque, ainsi que des indicateurs pour lesquels une reconstitution historique sur une dizaine d’années est envisageable. Enfin, chaque fois que cela était pertinent, les définitions ont été alignées sur des normes internationales (FAO, objectifs de développement durable, PDDAA) afin de permettre des comparaisons dans le temps et, lorsque cela a un sens, avec d’autres pays.</w:t>
      </w:r>
    </w:p>
    <w:p>
      <w:pPr>
        <w:spacing w:after="140" w:before="0" w:line="276" w:lineRule="auto"/>
        <w:jc w:val="both"/>
      </w:pPr>
      <w:r>
        <w:rPr>
          <w:rFonts w:ascii="Garamond" w:cs="Garamond" w:eastAsia="Garamond" w:hAnsi="Garamond"/>
          <w:sz w:val="24"/>
          <w:szCs w:val="24"/>
        </w:rPr>
        <w:t xml:space="preserve">Le présent document constitue la référence méthodologique du dispositif. Il a vocation à servir de base à la reconstitution des séries historiques sur la période 2015-2025, à la construction du tableau de bord, à la fixation des valeurs de référence puis des cibles à l’horizon 2030. Il doit aussi permettre de justifier chaque indicateur devant un décideur, un statisticien, un économiste ou un évaluateur externe. C’est pourquoi chaque chapitre expose la définition retenue, la logique du choix des indicateurs, leurs formules de calcul et les précautions nécessaires à leur mise en œuvre.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1F4E3D" w:sz="24"/>
              <w:bottom w:val="none" w:color="FFFFFF" w:sz="0"/>
              <w:right w:val="none" w:color="FFFFFF" w:sz="0"/>
            </w:tcBorders>
            <w:shd w:fill="EDF3EF" w:color="auto" w:val="clear"/>
            <w:tcMar>
              <w:top w:type="dxa" w:w="140"/>
              <w:left w:type="dxa" w:w="220"/>
              <w:bottom w:type="dxa" w:w="100"/>
              <w:right w:type="dxa" w:w="220"/>
            </w:tcMar>
          </w:tcPr>
          <w:p>
            <w:pPr>
              <w:spacing w:after="80"/>
            </w:pPr>
            <w:r>
              <w:rPr>
                <w:rFonts w:ascii="Garamond" w:cs="Garamond" w:eastAsia="Garamond" w:hAnsi="Garamond"/>
                <w:b/>
                <w:bCs/>
                <w:color w:val="1F4E3D"/>
                <w:sz w:val="22"/>
                <w:szCs w:val="22"/>
              </w:rPr>
              <w:t xml:space="preserve">Convention de lecture</w:t>
            </w:r>
          </w:p>
          <w:p>
            <w:pPr>
              <w:spacing w:after="80" w:before="0" w:line="276" w:lineRule="auto"/>
              <w:jc w:val="both"/>
            </w:pPr>
            <w:r>
              <w:rPr>
                <w:rFonts w:ascii="Garamond" w:cs="Garamond" w:eastAsia="Garamond" w:hAnsi="Garamond"/>
                <w:sz w:val="22"/>
                <w:szCs w:val="22"/>
              </w:rPr>
              <w:t xml:space="preserve">Le présent document distingue trois niveaux de statut, signalés de manière homogène dans chaque chapitre.</w:t>
            </w:r>
          </w:p>
          <w:p>
            <w:pPr>
              <w:pStyle w:val="ListParagraph"/>
              <w:numPr>
                <w:ilvl w:val="0"/>
                <w:numId w:val="2"/>
              </w:numPr>
              <w:spacing w:after="80" w:line="264" w:lineRule="auto"/>
              <w:jc w:val="both"/>
            </w:pPr>
            <w:r>
              <w:rPr>
                <w:rFonts w:ascii="Garamond" w:cs="Garamond" w:eastAsia="Garamond" w:hAnsi="Garamond"/>
                <w:sz w:val="22"/>
                <w:szCs w:val="22"/>
              </w:rPr>
              <w:t xml:space="preserve">Les </w:t>
            </w:r>
            <w:r>
              <w:rPr>
                <w:rFonts w:ascii="Garamond" w:cs="Garamond" w:eastAsia="Garamond" w:hAnsi="Garamond"/>
                <w:b/>
                <w:bCs/>
                <w:sz w:val="22"/>
                <w:szCs w:val="22"/>
              </w:rPr>
              <w:t xml:space="preserve">éléments arrêtés</w:t>
            </w:r>
            <w:r>
              <w:rPr>
                <w:rFonts w:ascii="Garamond" w:cs="Garamond" w:eastAsia="Garamond" w:hAnsi="Garamond"/>
                <w:sz w:val="22"/>
                <w:szCs w:val="22"/>
              </w:rPr>
              <w:t xml:space="preserve"> comprennent les cinq axes, les quinze indicateurs principaux, leurs définitions et leurs formules de calcul. Ils ne sont pas remis en cause ici.</w:t>
            </w:r>
          </w:p>
          <w:p>
            <w:pPr>
              <w:pStyle w:val="ListParagraph"/>
              <w:numPr>
                <w:ilvl w:val="0"/>
                <w:numId w:val="2"/>
              </w:numPr>
              <w:spacing w:after="80" w:line="264" w:lineRule="auto"/>
              <w:jc w:val="both"/>
            </w:pPr>
            <w:r>
              <w:rPr>
                <w:rFonts w:ascii="Garamond" w:cs="Garamond" w:eastAsia="Garamond" w:hAnsi="Garamond"/>
                <w:sz w:val="22"/>
                <w:szCs w:val="22"/>
              </w:rPr>
              <w:t xml:space="preserve">Les </w:t>
            </w:r>
            <w:r>
              <w:rPr>
                <w:rFonts w:ascii="Garamond" w:cs="Garamond" w:eastAsia="Garamond" w:hAnsi="Garamond"/>
                <w:b/>
                <w:bCs/>
                <w:sz w:val="22"/>
                <w:szCs w:val="22"/>
              </w:rPr>
              <w:t xml:space="preserve">précisions méthodologiques à documenter</w:t>
            </w:r>
            <w:r>
              <w:rPr>
                <w:rFonts w:ascii="Garamond" w:cs="Garamond" w:eastAsia="Garamond" w:hAnsi="Garamond"/>
                <w:sz w:val="22"/>
                <w:szCs w:val="22"/>
              </w:rPr>
              <w:t xml:space="preserve"> portent sur des paramètres de mise en œuvre (composition d’un panier, période de référence, stade de transformation, liste d’actes admissibles, etc.) qui doivent être fixés avant le calcul des séries, sans modifier l’indicateur.</w:t>
            </w:r>
          </w:p>
          <w:p>
            <w:pPr>
              <w:pStyle w:val="ListParagraph"/>
              <w:numPr>
                <w:ilvl w:val="0"/>
                <w:numId w:val="2"/>
              </w:numPr>
              <w:spacing w:after="80" w:line="264" w:lineRule="auto"/>
              <w:jc w:val="both"/>
            </w:pPr>
            <w:r>
              <w:rPr>
                <w:rFonts w:ascii="Garamond" w:cs="Garamond" w:eastAsia="Garamond" w:hAnsi="Garamond"/>
                <w:sz w:val="22"/>
                <w:szCs w:val="22"/>
              </w:rPr>
              <w:t xml:space="preserve">Les </w:t>
            </w:r>
            <w:r>
              <w:rPr>
                <w:rFonts w:ascii="Garamond" w:cs="Garamond" w:eastAsia="Garamond" w:hAnsi="Garamond"/>
                <w:b/>
                <w:bCs/>
                <w:sz w:val="22"/>
                <w:szCs w:val="22"/>
              </w:rPr>
              <w:t xml:space="preserve">indicateurs complémentaires</w:t>
            </w:r>
            <w:r>
              <w:rPr>
                <w:rFonts w:ascii="Garamond" w:cs="Garamond" w:eastAsia="Garamond" w:hAnsi="Garamond"/>
                <w:sz w:val="22"/>
                <w:szCs w:val="22"/>
              </w:rPr>
              <w:t xml:space="preserve"> sont mentionnés à titre secondaire, pour éclairer la lecture des indicateurs principaux ; ils n’ont pas vocation à figurer dans le tableau de bord principal.</w:t>
            </w:r>
          </w:p>
          <w:p>
            <w:pPr>
              <w:spacing w:after="40" w:before="0" w:line="276" w:lineRule="auto"/>
              <w:jc w:val="both"/>
            </w:pPr>
            <w:r>
              <w:rPr>
                <w:rFonts w:ascii="Garamond" w:cs="Garamond" w:eastAsia="Garamond" w:hAnsi="Garamond"/>
                <w:sz w:val="22"/>
                <w:szCs w:val="22"/>
              </w:rPr>
              <w:t xml:space="preserve">Lorsqu’une série n’a pas pu être vérifiée dans sa source originale, la mention « Disponibilité de la série à vérifier » est portée explicitement. Aucune valeur historique ni aucune cible n’est avancée dans ce document.</w:t>
            </w:r>
          </w:p>
        </w:tc>
      </w:tr>
    </w:tbl>
    <w:p>
      <w:pPr>
        <w:spacing w:after="120"/>
      </w:pPr>
    </w:p>
    <w:p>
      <w:pPr>
        <w:spacing w:after="140" w:before="0" w:line="276" w:lineRule="auto"/>
        <w:jc w:val="both"/>
      </w:pPr>
      <w:r>
        <w:rPr>
          <w:rFonts w:ascii="Garamond" w:cs="Garamond" w:eastAsia="Garamond" w:hAnsi="Garamond"/>
          <w:sz w:val="24"/>
          <w:szCs w:val="24"/>
        </w:rPr>
        <w:t xml:space="preserve">Le chapitre 2 présente la matrice des quinze indicateurs. Les chapitres 3 à 7 détaillent chaque axe. Le chapitre 8 rassemble les paramètres méthodologiques dans un tableau récapitulatif, le chapitre 9 illustre la cohérence d’ensemble du dispositif et le chapitre 10 recense les références mobilisées. Une fiche standardisée par indicateur figure en annexe.</w:t>
      </w:r>
    </w:p>
    <w:p>
      <w:pPr>
        <w:pStyle w:val="Heading1"/>
        <w:pageBreakBefore/>
      </w:pPr>
      <w:r>
        <w:t xml:space="preserve">2. Matrice générale des quinze indicateurs</w:t>
      </w:r>
    </w:p>
    <w:p>
      <w:pPr>
        <w:spacing w:after="140" w:before="0" w:line="276" w:lineRule="auto"/>
        <w:jc w:val="both"/>
      </w:pPr>
      <w:r>
        <w:rPr>
          <w:rFonts w:ascii="Garamond" w:cs="Garamond" w:eastAsia="Garamond" w:hAnsi="Garamond"/>
          <w:sz w:val="24"/>
          <w:szCs w:val="24"/>
        </w:rPr>
        <w:t xml:space="preserve">La matrice ci-dessous constitue la liste de référence des indicateurs principaux. L’intitulé et le sens de variation souhaité de chaque indicateur sont arrêtés ; la colonne « dimension suivie » précise la facette de l’axe que chacun éclaire. La numérotation (axe.indicateur) est reprise dans l’ensemble du document, y compris dans les fiches de l’annexe.</w:t>
      </w:r>
    </w:p>
    <w:p>
      <w:pPr>
        <w:keepNext/>
        <w:spacing w:after="80" w:before="200"/>
      </w:pPr>
      <w:r>
        <w:rPr>
          <w:rFonts w:ascii="Garamond" w:cs="Garamond" w:eastAsia="Garamond" w:hAnsi="Garamond"/>
          <w:b/>
          <w:bCs/>
          <w:color w:val="1F4E3D"/>
          <w:sz w:val="21"/>
          <w:szCs w:val="21"/>
        </w:rPr>
        <w:t xml:space="preserve">Tableau 1. </w:t>
      </w:r>
      <w:r>
        <w:rPr>
          <w:rFonts w:ascii="Garamond" w:cs="Garamond" w:eastAsia="Garamond" w:hAnsi="Garamond"/>
          <w:i/>
          <w:iCs/>
          <w:color w:val="4A4A4A"/>
          <w:sz w:val="21"/>
          <w:szCs w:val="21"/>
        </w:rPr>
        <w:t xml:space="preserve">Matrice des quinze indicateurs principaux</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50"/>
        <w:gridCol w:w="2150"/>
        <w:gridCol w:w="3470"/>
        <w:gridCol w:w="1400"/>
      </w:tblGrid>
      <w:tr>
        <w:trPr>
          <w:cantSplit/>
          <w:tblHeader/>
        </w:trPr>
        <w:tc>
          <w:tcPr>
            <w:tcW w:type="dxa" w:w="205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8"/>
                <w:szCs w:val="18"/>
              </w:rPr>
              <w:t xml:space="preserve">Axe</w:t>
            </w:r>
          </w:p>
        </w:tc>
        <w:tc>
          <w:tcPr>
            <w:tcW w:type="dxa" w:w="215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8"/>
                <w:szCs w:val="18"/>
              </w:rPr>
              <w:t xml:space="preserve">Dimension suivie</w:t>
            </w:r>
          </w:p>
        </w:tc>
        <w:tc>
          <w:tcPr>
            <w:tcW w:type="dxa" w:w="347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8"/>
                <w:szCs w:val="18"/>
              </w:rPr>
              <w:t xml:space="preserve">Indicateur</w:t>
            </w:r>
          </w:p>
        </w:tc>
        <w:tc>
          <w:tcPr>
            <w:tcW w:type="dxa" w:w="14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8"/>
                <w:szCs w:val="18"/>
              </w:rPr>
              <w:t xml:space="preserve">Sens souhaité</w:t>
            </w:r>
          </w:p>
        </w:tc>
      </w:tr>
      <w:tr>
        <w:trPr>
          <w:cantSplit/>
        </w:trPr>
        <w:tc>
          <w:tcPr>
            <w:tcW w:type="dxa" w:w="205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8"/>
                <w:szCs w:val="18"/>
              </w:rPr>
              <w:t xml:space="preserve">Axe 1</w:t>
            </w:r>
          </w:p>
          <w:p>
            <w:pPr>
              <w:spacing w:after="30" w:before="30" w:line="240" w:lineRule="auto"/>
              <w:jc w:val="left"/>
            </w:pPr>
            <w:r>
              <w:rPr>
                <w:rFonts w:ascii="Garamond" w:cs="Garamond" w:eastAsia="Garamond" w:hAnsi="Garamond"/>
                <w:b/>
                <w:bCs/>
                <w:color w:val="1F4E3D"/>
                <w:sz w:val="18"/>
                <w:szCs w:val="18"/>
              </w:rPr>
              <w:t xml:space="preserve">Souveraineté alimentaire</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Autonomie alimentaire</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1.1  Taux de couverture des besoins alimentaires par la production nationale</w:t>
            </w:r>
          </w:p>
        </w:tc>
        <w:tc>
          <w:tcPr>
            <w:tcW w:type="dxa" w:w="140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Capacité productive</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1.2  Indice de production vivrière par habitant</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Résilience du système productif</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1.3  Variabilité de la production vivrière par habitant</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Baisse souhaitée</w:t>
            </w:r>
          </w:p>
        </w:tc>
      </w:tr>
      <w:tr>
        <w:trPr>
          <w:cantSplit/>
        </w:trPr>
        <w:tc>
          <w:tcPr>
            <w:tcW w:type="dxa" w:w="205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8"/>
                <w:szCs w:val="18"/>
              </w:rPr>
              <w:t xml:space="preserve">Axe 2</w:t>
            </w:r>
          </w:p>
          <w:p>
            <w:pPr>
              <w:spacing w:after="30" w:before="30" w:line="240" w:lineRule="auto"/>
              <w:jc w:val="left"/>
            </w:pPr>
            <w:r>
              <w:rPr>
                <w:rFonts w:ascii="Garamond" w:cs="Garamond" w:eastAsia="Garamond" w:hAnsi="Garamond"/>
                <w:b/>
                <w:bCs/>
                <w:color w:val="1F4E3D"/>
                <w:sz w:val="18"/>
                <w:szCs w:val="18"/>
              </w:rPr>
              <w:t xml:space="preserve">Compétitivité de l’agriculture</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Efficacité productive</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2.1  Indice de productivité des cultures à superficie constante</w:t>
            </w:r>
          </w:p>
        </w:tc>
        <w:tc>
          <w:tcPr>
            <w:tcW w:type="dxa" w:w="140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Pertes après récolte</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2.2  Taux de pertes post-récolte</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Baisse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Valeur ajoutée locale</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2.3  Taux de transformation nationale des produits agricoles</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tcW w:type="dxa" w:w="205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8"/>
                <w:szCs w:val="18"/>
              </w:rPr>
              <w:t xml:space="preserve">Axe 3</w:t>
            </w:r>
          </w:p>
          <w:p>
            <w:pPr>
              <w:spacing w:after="30" w:before="30" w:line="240" w:lineRule="auto"/>
              <w:jc w:val="left"/>
            </w:pPr>
            <w:r>
              <w:rPr>
                <w:rFonts w:ascii="Garamond" w:cs="Garamond" w:eastAsia="Garamond" w:hAnsi="Garamond"/>
                <w:b/>
                <w:bCs/>
                <w:color w:val="1F4E3D"/>
                <w:sz w:val="18"/>
                <w:szCs w:val="18"/>
              </w:rPr>
              <w:t xml:space="preserve">Accès au financement agricole</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Satisfaction de la demande exprimée</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3.1  Taux de couverture de la demande de financement agricole</w:t>
            </w:r>
          </w:p>
        </w:tc>
        <w:tc>
          <w:tcPr>
            <w:tcW w:type="dxa" w:w="140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Accès effectif des acteurs</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3.2  Taux d’accès effectif des acteurs agricoles au financement formel</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Adéquation à l’investissement</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3.3  Part des financements agricoles à moyen et long terme</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tcW w:type="dxa" w:w="205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8"/>
                <w:szCs w:val="18"/>
              </w:rPr>
              <w:t xml:space="preserve">Axe 4</w:t>
            </w:r>
          </w:p>
          <w:p>
            <w:pPr>
              <w:spacing w:after="30" w:before="30" w:line="240" w:lineRule="auto"/>
              <w:jc w:val="left"/>
            </w:pPr>
            <w:r>
              <w:rPr>
                <w:rFonts w:ascii="Garamond" w:cs="Garamond" w:eastAsia="Garamond" w:hAnsi="Garamond"/>
                <w:b/>
                <w:bCs/>
                <w:color w:val="1F4E3D"/>
                <w:sz w:val="18"/>
                <w:szCs w:val="18"/>
              </w:rPr>
              <w:t xml:space="preserve">Sécurisation du foncier rural</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Sécurisation des parcelles</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4.1  Taux de couverture du domaine foncier rural par des droits fonciers formalisés</w:t>
            </w:r>
          </w:p>
        </w:tc>
        <w:tc>
          <w:tcPr>
            <w:tcW w:type="dxa" w:w="140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Sécurisation des territoires</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4.2  Taux de délimitation juridiquement achevée des territoires villageois</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Sécurisation des relations d’exploitation</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4.3  Taux de formalisation des relations foncières d’exploitation</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tcW w:type="dxa" w:w="205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8"/>
                <w:szCs w:val="18"/>
              </w:rPr>
              <w:t xml:space="preserve">Axe 5</w:t>
            </w:r>
          </w:p>
          <w:p>
            <w:pPr>
              <w:spacing w:after="30" w:before="30" w:line="240" w:lineRule="auto"/>
              <w:jc w:val="left"/>
            </w:pPr>
            <w:r>
              <w:rPr>
                <w:rFonts w:ascii="Garamond" w:cs="Garamond" w:eastAsia="Garamond" w:hAnsi="Garamond"/>
                <w:b/>
                <w:bCs/>
                <w:color w:val="1F4E3D"/>
                <w:sz w:val="18"/>
                <w:szCs w:val="18"/>
              </w:rPr>
              <w:t xml:space="preserve">Durabilité des systèmes de production</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Pratiques de production</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5.1  Part de la superficie agricole sous pratiques de production durable</w:t>
            </w:r>
          </w:p>
        </w:tc>
        <w:tc>
          <w:tcPr>
            <w:tcW w:type="dxa" w:w="140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Hausse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Préservation des forêts</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5.2  Taux de déforestation imputable à l’expansion agricole</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Baisse souhaitée</w:t>
            </w:r>
          </w:p>
        </w:tc>
      </w:tr>
      <w:tr>
        <w:trPr>
          <w:cantSplit/>
        </w:trPr>
        <w:tc>
          <w:tcPr>
            <w:vMerge w:val="continue"/>
            <w:tcBorders>
              <w:top w:val="single" w:color="B7C9BE" w:sz="4"/>
              <w:left w:val="single" w:color="B7C9BE" w:sz="4"/>
              <w:bottom w:val="single" w:color="B7C9BE" w:sz="4"/>
              <w:right w:val="single" w:color="B7C9BE" w:sz="4"/>
            </w:tcBorders>
          </w:tcPr>
          <w:p/>
        </w:tc>
        <w:tc>
          <w:tcPr>
            <w:tcW w:type="dxa" w:w="20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Empreinte climatique</w:t>
            </w:r>
          </w:p>
        </w:tc>
        <w:tc>
          <w:tcPr>
            <w:tcW w:type="dxa" w:w="215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8"/>
                <w:szCs w:val="18"/>
              </w:rPr>
              <w:t xml:space="preserve">5.3  Intensité des émissions de gaz à effet de serre de la production agricole</w:t>
            </w:r>
          </w:p>
        </w:tc>
        <w:tc>
          <w:tcPr>
            <w:tcW w:type="dxa" w:w="347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val="false"/>
                <w:bCs w:val="false"/>
                <w:sz w:val="18"/>
                <w:szCs w:val="18"/>
              </w:rPr>
              <w:t xml:space="preserve">↓ Baisse souhaitée</w:t>
            </w:r>
          </w:p>
        </w:tc>
      </w:tr>
    </w:tbl>
    <w:p>
      <w:pPr>
        <w:spacing w:after="200" w:before="60"/>
      </w:pPr>
      <w:r>
        <w:rPr>
          <w:rFonts w:ascii="Garamond" w:cs="Garamond" w:eastAsia="Garamond" w:hAnsi="Garamond"/>
          <w:i/>
          <w:iCs/>
          <w:color w:val="4A4A4A"/>
          <w:sz w:val="18"/>
          <w:szCs w:val="18"/>
        </w:rPr>
        <w:t xml:space="preserve">Note : ↑ signifie qu’une hausse de l’indicateur traduit une amélioration ; ↓ qu’une baisse traduit une amélioration.</w:t>
      </w:r>
    </w:p>
    <w:p>
      <w:pPr>
        <w:spacing w:after="140" w:before="0" w:line="276" w:lineRule="auto"/>
        <w:jc w:val="both"/>
      </w:pPr>
      <w:r>
        <w:rPr>
          <w:rFonts w:ascii="Garamond" w:cs="Garamond" w:eastAsia="Garamond" w:hAnsi="Garamond"/>
          <w:sz w:val="24"/>
          <w:szCs w:val="24"/>
        </w:rPr>
        <w:t xml:space="preserve">Chaque axe est construit selon une progression interne. En souveraineté alimentaire, les indicateurs passent de l’autonomie à la capacité productive puis à la résilience. En compétitivité, ils suivent la chaîne de valeur, de la parcelle à la transformation. En financement, ils vont de la demande satisfaite à l’adéquation du financement à l’investissement. En matière foncière, ils passent de la parcelle au territoire puis aux relations d’exploitation. En durabilité, ils couvrent les pratiques, les écosystèmes et le climat. Cette construction limite les recouvrements entre indicateurs d’un même axe et, grâce à des choix de périmètre explicites, entre axes.</w:t>
      </w:r>
    </w:p>
    <w:p>
      <w:pPr>
        <w:pStyle w:val="Heading1"/>
        <w:pageBreakBefore/>
      </w:pPr>
      <w:r>
        <w:t xml:space="preserve">3. Souveraineté alimentaire</w:t>
      </w:r>
    </w:p>
    <w:p>
      <w:pPr>
        <w:pStyle w:val="Heading2"/>
      </w:pPr>
      <w:r>
        <w:t xml:space="preserve">3.1. Définition retenue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1F4E3D" w:sz="24"/>
              <w:bottom w:val="none" w:color="FFFFFF" w:sz="0"/>
              <w:right w:val="none" w:color="FFFFFF" w:sz="0"/>
            </w:tcBorders>
            <w:shd w:fill="EDF3EF" w:color="auto" w:val="clear"/>
            <w:tcMar>
              <w:top w:type="dxa" w:w="140"/>
              <w:left w:type="dxa" w:w="220"/>
              <w:bottom w:type="dxa" w:w="100"/>
              <w:right w:type="dxa" w:w="220"/>
            </w:tcMar>
          </w:tcPr>
          <w:p>
            <w:pPr>
              <w:spacing w:after="40" w:line="276" w:lineRule="auto"/>
              <w:jc w:val="both"/>
            </w:pPr>
            <w:r>
              <w:rPr>
                <w:rFonts w:ascii="Garamond" w:cs="Garamond" w:eastAsia="Garamond" w:hAnsi="Garamond"/>
                <w:i/>
                <w:iCs/>
                <w:sz w:val="24"/>
                <w:szCs w:val="24"/>
              </w:rPr>
              <w:t xml:space="preserve">« La souveraineté alimentaire est la capacité durable d’un pays à satisfaire l’essentiel des besoins alimentaires de sa population à partir d’une production nationale suffisante, croissante et résiliente, tout en conservant la maîtrise de ses choix de production et en limitant sa vulnérabilité aux approvisionnements extérieurs. »</w:t>
            </w:r>
          </w:p>
        </w:tc>
      </w:tr>
    </w:tbl>
    <w:p>
      <w:pPr>
        <w:spacing w:after="120"/>
      </w:pPr>
    </w:p>
    <w:p>
      <w:pPr>
        <w:spacing w:after="140" w:before="0" w:line="276" w:lineRule="auto"/>
        <w:jc w:val="both"/>
      </w:pPr>
      <w:r>
        <w:rPr>
          <w:rFonts w:ascii="Garamond" w:cs="Garamond" w:eastAsia="Garamond" w:hAnsi="Garamond"/>
          <w:sz w:val="24"/>
          <w:szCs w:val="24"/>
        </w:rPr>
        <w:t xml:space="preserve">Cette définition se distingue de la notion de sécurité alimentaire, telle qu’arrêtée lors du Sommet mondial de l’alimentation de 1996, qui s’attache à l’accès de chacun à une nourriture suffisante quelle qu’en soit l’origine. Elle ne se confond pas davantage avec l’autosuffisance intégrale, dont la littérature a montré qu’elle n’est ni toujours réaliste ni toujours souhaitable pour un pays ouvert aux échanges (Clapp, 2017). La définition retenue met l’accent sur la capacité de la production nationale à couvrir l’essentiel des besoins et sur la réduction de la vulnérabilité aux approvisionnements extérieurs.</w:t>
      </w:r>
    </w:p>
    <w:p>
      <w:pPr>
        <w:spacing w:after="140" w:before="0" w:line="276" w:lineRule="auto"/>
        <w:jc w:val="both"/>
      </w:pPr>
      <w:r>
        <w:rPr>
          <w:rFonts w:ascii="Garamond" w:cs="Garamond" w:eastAsia="Garamond" w:hAnsi="Garamond"/>
          <w:sz w:val="24"/>
          <w:szCs w:val="24"/>
        </w:rPr>
        <w:t xml:space="preserve">Elle se décompose en trois exigences, auxquelles correspondent les trois indicateurs de l’axe. La production nationale doit couvrir une part élevée de la consommation (autonomie) ; elle doit être suffisante et croissante au regard de la population (capacité productive) ; elle doit enfin être stable face aux chocs climatiques, sanitaires ou économiques (résilience).</w:t>
      </w:r>
    </w:p>
    <w:p>
      <w:pPr>
        <w:pBdr>
          <w:top w:val="single" w:color="B7C9BE" w:sz="4" w:space="6"/>
          <w:bottom w:val="single" w:color="B7C9BE" w:sz="4" w:space="6"/>
        </w:pBdr>
        <w:spacing w:after="200" w:before="120"/>
        <w:jc w:val="center"/>
      </w:pPr>
      <w:r>
        <w:rPr>
          <w:rFonts w:ascii="Garamond" w:cs="Garamond" w:eastAsia="Garamond" w:hAnsi="Garamond"/>
          <w:i/>
          <w:iCs/>
          <w:color w:val="1F4E3D"/>
          <w:sz w:val="24"/>
          <w:szCs w:val="24"/>
        </w:rPr>
        <w:t xml:space="preserve">Autonomie  →  capacité productive  →  résilience</w:t>
      </w:r>
    </w:p>
    <w:p>
      <w:pPr>
        <w:spacing w:after="140" w:before="0" w:line="276" w:lineRule="auto"/>
        <w:jc w:val="both"/>
      </w:pPr>
      <w:r>
        <w:rPr>
          <w:rFonts w:ascii="Garamond" w:cs="Garamond" w:eastAsia="Garamond" w:hAnsi="Garamond"/>
          <w:sz w:val="24"/>
          <w:szCs w:val="24"/>
        </w:rPr>
        <w:t xml:space="preserve">Les trois indicateurs reposent sur un même panier alimentaire ivoirien et un même système de pondération. Ce choix garantit que les écarts d’évolution entre indicateurs traduisent des phénomènes économiques distincts et non des différences de périmètre.</w:t>
      </w:r>
    </w:p>
    <w:p>
      <w:pPr>
        <w:pStyle w:val="Heading2"/>
      </w:pPr>
      <w:r>
        <w:t xml:space="preserve">3.2. Indicateur 1.1 — Taux de couverture des besoins alimentaires par la production nationale</w:t>
      </w:r>
    </w:p>
    <w:p>
      <w:pPr>
        <w:spacing w:after="140" w:before="0" w:line="276" w:lineRule="auto"/>
        <w:jc w:val="both"/>
      </w:pPr>
      <w:r>
        <w:rPr>
          <w:rFonts w:ascii="Garamond" w:cs="Garamond" w:eastAsia="Garamond" w:hAnsi="Garamond"/>
          <w:sz w:val="24"/>
          <w:szCs w:val="24"/>
        </w:rPr>
        <w:t xml:space="preserve">Le dispositif retenu repose sur un panier alimentaire ivoirien commun, constitué des produits qui représentent l’essentiel de l’apport calorique de la population. Pour chaque produit </w:t>
      </w:r>
      <w:r>
        <w:rPr>
          <w:rFonts w:ascii="Garamond" w:cs="Garamond" w:eastAsia="Garamond" w:hAnsi="Garamond"/>
          <w:i/>
          <w:iCs/>
          <w:sz w:val="24"/>
          <w:szCs w:val="24"/>
        </w:rPr>
        <w:t xml:space="preserve">i</w:t>
      </w:r>
      <w:r>
        <w:rPr>
          <w:rFonts w:ascii="Garamond" w:cs="Garamond" w:eastAsia="Garamond" w:hAnsi="Garamond"/>
          <w:sz w:val="24"/>
          <w:szCs w:val="24"/>
        </w:rPr>
        <w:t xml:space="preserve"> et chaque année </w:t>
      </w:r>
      <w:r>
        <w:rPr>
          <w:rFonts w:ascii="Garamond" w:cs="Garamond" w:eastAsia="Garamond" w:hAnsi="Garamond"/>
          <w:i/>
          <w:iCs/>
          <w:sz w:val="24"/>
          <w:szCs w:val="24"/>
        </w:rPr>
        <w:t xml:space="preserve">t</w:t>
      </w:r>
      <w:r>
        <w:rPr>
          <w:rFonts w:ascii="Garamond" w:cs="Garamond" w:eastAsia="Garamond" w:hAnsi="Garamond"/>
          <w:sz w:val="24"/>
          <w:szCs w:val="24"/>
        </w:rPr>
        <w:t xml:space="preserve">, le taux de couverture rapporte la production nationale à la consommation apparente.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TC</m:t>
            </m:r>
          </m:e>
          <m:sub>
            <m:r>
              <m:t>i,t</m:t>
            </m:r>
          </m:sub>
        </m:sSub>
        <m:r>
          <m:t>=</m:t>
        </m:r>
        <m:f>
          <m:num>
            <m:sSub>
              <m:sSubPr/>
              <m:e>
                <m:r>
                  <m:t>P</m:t>
                </m:r>
              </m:e>
              <m:sub>
                <m:r>
                  <m:t>i,t</m:t>
                </m:r>
              </m:sub>
            </m:sSub>
          </m:num>
          <m:den>
            <m:sSub>
              <m:sSubPr/>
              <m:e>
                <m:r>
                  <m:t>C</m:t>
                </m:r>
              </m:e>
              <m:sub>
                <m:r>
                  <m:t>i,t</m:t>
                </m:r>
              </m:sub>
            </m:sSub>
          </m:den>
        </m:f>
        <m:r>
          <m:t>×100</m:t>
        </m:r>
      </m:oMath>
      <w:r>
        <w:rPr>
          <w:rFonts w:ascii="Garamond" w:cs="Garamond" w:eastAsia="Garamond" w:hAnsi="Garamond"/>
          <w:color w:val="4A4A4A"/>
          <w:sz w:val="22"/>
          <w:szCs w:val="22"/>
        </w:rPr>
        <w:t xml:space="preserve">	(1)</w:t>
      </w:r>
    </w:p>
    <w:p>
      <w:pPr>
        <w:spacing w:after="140" w:before="0" w:line="276" w:lineRule="auto"/>
        <w:jc w:val="both"/>
      </w:pPr>
      <w:r>
        <w:rPr>
          <w:rFonts w:ascii="Garamond" w:cs="Garamond" w:eastAsia="Garamond" w:hAnsi="Garamond"/>
          <w:sz w:val="24"/>
          <w:szCs w:val="24"/>
        </w:rPr>
        <w:t xml:space="preserve">où P</w:t>
      </w:r>
      <w:r>
        <w:rPr>
          <w:rFonts w:ascii="Garamond" w:cs="Garamond" w:eastAsia="Garamond" w:hAnsi="Garamond"/>
          <w:sz w:val="24"/>
          <w:szCs w:val="24"/>
          <w:vertAlign w:val="subscript"/>
        </w:rPr>
        <w:t xml:space="preserve">i,t</w:t>
      </w:r>
      <w:r>
        <w:rPr>
          <w:rFonts w:ascii="Garamond" w:cs="Garamond" w:eastAsia="Garamond" w:hAnsi="Garamond"/>
          <w:sz w:val="24"/>
          <w:szCs w:val="24"/>
        </w:rPr>
        <w:t xml:space="preserve"> représente la production nationale et C</w:t>
      </w:r>
      <w:r>
        <w:rPr>
          <w:rFonts w:ascii="Garamond" w:cs="Garamond" w:eastAsia="Garamond" w:hAnsi="Garamond"/>
          <w:sz w:val="24"/>
          <w:szCs w:val="24"/>
          <w:vertAlign w:val="subscript"/>
        </w:rPr>
        <w:t xml:space="preserve">i,t</w:t>
      </w:r>
      <w:r>
        <w:rPr>
          <w:rFonts w:ascii="Garamond" w:cs="Garamond" w:eastAsia="Garamond" w:hAnsi="Garamond"/>
          <w:sz w:val="24"/>
          <w:szCs w:val="24"/>
        </w:rPr>
        <w:t xml:space="preserve"> la consommation apparente du produit. Lorsque les données le permettent, la consommation apparente est reconstituée à partir de l’équation d’emplois et de ressources des bilans alimentaires.</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C</m:t>
            </m:r>
          </m:e>
          <m:sub>
            <m:r>
              <m:t>i,t</m:t>
            </m:r>
          </m:sub>
        </m:sSub>
        <m:r>
          <m:t>=</m:t>
        </m:r>
        <m:sSub>
          <m:sSubPr/>
          <m:e>
            <m:r>
              <m:t>P</m:t>
            </m:r>
          </m:e>
          <m:sub>
            <m:r>
              <m:t>i,t</m:t>
            </m:r>
          </m:sub>
        </m:sSub>
        <m:r>
          <m:t>+</m:t>
        </m:r>
        <m:sSub>
          <m:sSubPr/>
          <m:e>
            <m:r>
              <m:t>M</m:t>
            </m:r>
          </m:e>
          <m:sub>
            <m:r>
              <m:t>i,t</m:t>
            </m:r>
          </m:sub>
        </m:sSub>
        <m:r>
          <m:t>−</m:t>
        </m:r>
        <m:sSub>
          <m:sSubPr/>
          <m:e>
            <m:r>
              <m:t>X</m:t>
            </m:r>
          </m:e>
          <m:sub>
            <m:r>
              <m:t>i,t</m:t>
            </m:r>
          </m:sub>
        </m:sSub>
        <m:r>
          <m:t>±Δ</m:t>
        </m:r>
        <m:sSub>
          <m:sSubPr/>
          <m:e>
            <m:r>
              <m:t>Stocks</m:t>
            </m:r>
          </m:e>
          <m:sub>
            <m:r>
              <m:t>i,t</m:t>
            </m:r>
          </m:sub>
        </m:sSub>
      </m:oMath>
      <w:r>
        <w:rPr>
          <w:rFonts w:ascii="Garamond" w:cs="Garamond" w:eastAsia="Garamond" w:hAnsi="Garamond"/>
          <w:color w:val="4A4A4A"/>
          <w:sz w:val="22"/>
          <w:szCs w:val="22"/>
        </w:rPr>
        <w:t xml:space="preserve">	(2)</w:t>
      </w:r>
    </w:p>
    <w:p>
      <w:pPr>
        <w:spacing w:after="140" w:before="0" w:line="276" w:lineRule="auto"/>
        <w:jc w:val="both"/>
      </w:pPr>
      <w:r>
        <w:rPr>
          <w:rFonts w:ascii="Garamond" w:cs="Garamond" w:eastAsia="Garamond" w:hAnsi="Garamond"/>
          <w:sz w:val="24"/>
          <w:szCs w:val="24"/>
        </w:rPr>
        <w:t xml:space="preserve">M</w:t>
      </w:r>
      <w:r>
        <w:rPr>
          <w:rFonts w:ascii="Garamond" w:cs="Garamond" w:eastAsia="Garamond" w:hAnsi="Garamond"/>
          <w:sz w:val="24"/>
          <w:szCs w:val="24"/>
          <w:vertAlign w:val="subscript"/>
        </w:rPr>
        <w:t xml:space="preserve">i,t</w:t>
      </w:r>
      <w:r>
        <w:rPr>
          <w:rFonts w:ascii="Garamond" w:cs="Garamond" w:eastAsia="Garamond" w:hAnsi="Garamond"/>
          <w:sz w:val="24"/>
          <w:szCs w:val="24"/>
        </w:rPr>
        <w:t xml:space="preserve"> et X</w:t>
      </w:r>
      <w:r>
        <w:rPr>
          <w:rFonts w:ascii="Garamond" w:cs="Garamond" w:eastAsia="Garamond" w:hAnsi="Garamond"/>
          <w:sz w:val="24"/>
          <w:szCs w:val="24"/>
          <w:vertAlign w:val="subscript"/>
        </w:rPr>
        <w:t xml:space="preserve">i,t</w:t>
      </w:r>
      <w:r>
        <w:rPr>
          <w:rFonts w:ascii="Garamond" w:cs="Garamond" w:eastAsia="Garamond" w:hAnsi="Garamond"/>
          <w:sz w:val="24"/>
          <w:szCs w:val="24"/>
        </w:rPr>
        <w:t xml:space="preserve"> désignent les importations et les exportations. La variation des stocks est retranchée lorsqu’il y a constitution de stocks et ajoutée en cas de déstockage ; cette convention, identique à celle des bilans alimentaires de la FAO (FAO, 2001), doit être appliquée uniformément à tous les produits. Pour chaque produit, le rapport ainsi défini correspond au taux d’autosuffisance utilisé par la FAO.</w:t>
      </w:r>
    </w:p>
    <w:p>
      <w:pPr>
        <w:spacing w:after="140" w:before="0" w:line="276" w:lineRule="auto"/>
        <w:jc w:val="both"/>
      </w:pPr>
      <w:r>
        <w:rPr>
          <w:rFonts w:ascii="Garamond" w:cs="Garamond" w:eastAsia="Garamond" w:hAnsi="Garamond"/>
          <w:sz w:val="24"/>
          <w:szCs w:val="24"/>
        </w:rPr>
        <w:t xml:space="preserve">L’indicateur national est la moyenne pondérée des taux par produit.</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TC</m:t>
            </m:r>
          </m:e>
          <m:sub>
            <m:r>
              <m:t>t</m:t>
            </m:r>
          </m:sub>
        </m:sSub>
        <m:r>
          <m:t>=</m:t>
        </m:r>
        <m:nary>
          <m:naryPr>
            <m:chr m:val="∑"/>
            <m:limLoc m:val="undOvr"/>
            <m:supHide m:val="1"/>
          </m:naryPr>
          <m:sub>
            <m:r>
              <m:t>i</m:t>
            </m:r>
          </m:sub>
          <m:sup/>
          <m:e>
            <m:sSubSup>
              <m:sSubSupPr/>
              <m:e>
                <m:r>
                  <m:t>w</m:t>
                </m:r>
              </m:e>
              <m:sub>
                <m:r>
                  <m:t>i</m:t>
                </m:r>
              </m:sub>
              <m:sup>
                <m:r>
                  <m:t>0</m:t>
                </m:r>
              </m:sup>
            </m:sSubSup>
            <m:sSub>
              <m:sSubPr/>
              <m:e>
                <m:r>
                  <m:t>TC</m:t>
                </m:r>
              </m:e>
              <m:sub>
                <m:r>
                  <m:t>i,t</m:t>
                </m:r>
              </m:sub>
            </m:sSub>
          </m:e>
        </m:nary>
      </m:oMath>
      <w:r>
        <w:rPr>
          <w:rFonts w:ascii="Garamond" w:cs="Garamond" w:eastAsia="Garamond" w:hAnsi="Garamond"/>
          <w:color w:val="4A4A4A"/>
          <w:sz w:val="22"/>
          <w:szCs w:val="22"/>
        </w:rPr>
        <w:t xml:space="preserve">	(3)</w:t>
      </w:r>
    </w:p>
    <w:p>
      <w:pPr>
        <w:keepLines/>
        <w:tabs>
          <w:tab w:val="center" w:pos="4535"/>
          <w:tab w:val="right" w:pos="9070"/>
        </w:tabs>
        <w:spacing w:after="160" w:before="120" w:line="240" w:lineRule="auto"/>
      </w:pPr>
      <w:r>
        <w:rPr>
          <w:rFonts w:ascii="Garamond" w:cs="Garamond" w:eastAsia="Garamond" w:hAnsi="Garamond"/>
        </w:rPr>
        <w:t xml:space="preserve">	</w:t>
      </w:r>
      <m:oMath>
        <m:sSubSup>
          <m:sSubSupPr/>
          <m:e>
            <m:r>
              <m:t>w</m:t>
            </m:r>
          </m:e>
          <m:sub>
            <m:r>
              <m:t>i</m:t>
            </m:r>
          </m:sub>
          <m:sup>
            <m:r>
              <m:t>0</m:t>
            </m:r>
          </m:sup>
        </m:sSubSup>
        <m:r>
          <m:t>=</m:t>
        </m:r>
        <m:f>
          <m:num>
            <m:sSubSup>
              <m:sSubSupPr/>
              <m:e>
                <m:r>
                  <m:t>Consommation</m:t>
                </m:r>
              </m:e>
              <m:sub>
                <m:r>
                  <m:t>i</m:t>
                </m:r>
              </m:sub>
              <m:sup>
                <m:r>
                  <m:t>0</m:t>
                </m:r>
              </m:sup>
            </m:sSubSup>
          </m:num>
          <m:den>
            <m:nary>
              <m:naryPr>
                <m:chr m:val="∑"/>
                <m:limLoc m:val="undOvr"/>
                <m:supHide m:val="1"/>
              </m:naryPr>
              <m:sub>
                <m:r>
                  <m:t>j</m:t>
                </m:r>
              </m:sub>
              <m:sup/>
              <m:e>
                <m:sSubSup>
                  <m:sSubSupPr/>
                  <m:e>
                    <m:r>
                      <m:t>Consommation</m:t>
                    </m:r>
                  </m:e>
                  <m:sub>
                    <m:r>
                      <m:t>j</m:t>
                    </m:r>
                  </m:sub>
                  <m:sup>
                    <m:r>
                      <m:t>0</m:t>
                    </m:r>
                  </m:sup>
                </m:sSubSup>
              </m:e>
            </m:nary>
          </m:den>
        </m:f>
      </m:oMath>
      <w:r>
        <w:rPr>
          <w:rFonts w:ascii="Garamond" w:cs="Garamond" w:eastAsia="Garamond" w:hAnsi="Garamond"/>
          <w:color w:val="4A4A4A"/>
          <w:sz w:val="22"/>
          <w:szCs w:val="22"/>
        </w:rPr>
        <w:t xml:space="preserve">	(4)</w:t>
      </w:r>
    </w:p>
    <w:p>
      <w:pPr>
        <w:spacing w:after="140" w:before="0" w:line="276" w:lineRule="auto"/>
        <w:jc w:val="both"/>
      </w:pPr>
      <w:r>
        <w:rPr>
          <w:rFonts w:ascii="Garamond" w:cs="Garamond" w:eastAsia="Garamond" w:hAnsi="Garamond"/>
          <w:sz w:val="24"/>
          <w:szCs w:val="24"/>
        </w:rPr>
        <w:t xml:space="preserve">Les poids reflètent la structure de consommation alimentaire de la Côte d’Ivoire. Pour agréger des produits aussi différents que le riz, le manioc, l’huile de palme ou le poisson, une unité nutritionnelle commune est nécessaire ; les calories sont privilégiées, car elles expriment directement la contribution de chaque produit à la couverture des besoins énergétiques.</w:t>
      </w:r>
    </w:p>
    <w:p>
      <w:pPr>
        <w:keepLines/>
        <w:tabs>
          <w:tab w:val="center" w:pos="4535"/>
          <w:tab w:val="right" w:pos="9070"/>
        </w:tabs>
        <w:spacing w:after="160" w:before="120" w:line="240" w:lineRule="auto"/>
      </w:pPr>
      <w:r>
        <w:rPr>
          <w:rFonts w:ascii="Garamond" w:cs="Garamond" w:eastAsia="Garamond" w:hAnsi="Garamond"/>
        </w:rPr>
        <w:t xml:space="preserve">	</w:t>
      </w:r>
      <m:oMath>
        <m:sSubSup>
          <m:sSubSupPr/>
          <m:e>
            <m:r>
              <m:t>w</m:t>
            </m:r>
          </m:e>
          <m:sub>
            <m:r>
              <m:t>i</m:t>
            </m:r>
          </m:sub>
          <m:sup>
            <m:r>
              <m:t>0</m:t>
            </m:r>
          </m:sup>
        </m:sSubSup>
        <m:r>
          <m:t>=</m:t>
        </m:r>
        <m:f>
          <m:num>
            <m:r>
              <m:t xml:space="preserve">kcal provenant du produit </m:t>
            </m:r>
            <m:r>
              <m:t>i</m:t>
            </m:r>
          </m:num>
          <m:den>
            <m:r>
              <m:t>kcal totales du panier</m:t>
            </m:r>
          </m:den>
        </m:f>
      </m:oMath>
      <w:r>
        <w:rPr>
          <w:rFonts w:ascii="Garamond" w:cs="Garamond" w:eastAsia="Garamond" w:hAnsi="Garamond"/>
          <w:color w:val="4A4A4A"/>
          <w:sz w:val="22"/>
          <w:szCs w:val="22"/>
        </w:rPr>
        <w:t xml:space="preserve">	(5)</w:t>
      </w:r>
    </w:p>
    <w:p>
      <w:pPr>
        <w:spacing w:after="140" w:before="0" w:line="276" w:lineRule="auto"/>
        <w:jc w:val="both"/>
      </w:pPr>
      <w:r>
        <w:rPr>
          <w:rFonts w:ascii="Garamond" w:cs="Garamond" w:eastAsia="Garamond" w:hAnsi="Garamond"/>
          <w:sz w:val="24"/>
          <w:szCs w:val="24"/>
        </w:rPr>
        <w:t xml:space="preserve">Les pondérations sont calculées sur une période de référence pluriannuelle, afin de neutraliser les fluctuations d’une année particulière, puis maintenues fixes. Ce choix est essentiel à l’interprétation. Si les poids étaient recalculés chaque année, l’indicateur pourrait varier sous le seul effet d’un changement de régime alimentaire : un déplacement de la consommation vers un produit largement importé augmenterait son poids et ferait baisser le taux agrégé sans que la production nationale ait changé. Avec des poids fixes, toute variation de l’indicateur traduit une évolution de la couverture nationale des produits du panier, et non une modification de la structure de consommation. Le procédé est celui des indices de Laspeyres utilisés par la FAO pour ses indices de production.</w:t>
      </w:r>
    </w:p>
    <w:p>
      <w:pPr>
        <w:spacing w:after="140" w:before="0" w:line="276" w:lineRule="auto"/>
        <w:jc w:val="both"/>
      </w:pPr>
      <w:r>
        <w:rPr>
          <w:rFonts w:ascii="Garamond" w:cs="Garamond" w:eastAsia="Garamond" w:hAnsi="Garamond"/>
          <w:sz w:val="24"/>
          <w:szCs w:val="24"/>
        </w:rPr>
        <w:t xml:space="preserve">La pondération calorique confère en outre à l’indicateur une propriété de lecture simple. Au cours de la période de référence, et en l’absence de plafonnement, la moyenne pondérée des taux par produit est égale au rapport entre les calories produites et les calories consommées pour l’ensemble du panier, puisque chaque terme w</w:t>
      </w:r>
      <w:r>
        <w:rPr>
          <w:rFonts w:ascii="Garamond" w:cs="Garamond" w:eastAsia="Garamond" w:hAnsi="Garamond"/>
          <w:sz w:val="24"/>
          <w:szCs w:val="24"/>
          <w:vertAlign w:val="subscript"/>
        </w:rPr>
        <w:t xml:space="preserve">i</w:t>
      </w:r>
      <w:r>
        <w:rPr>
          <w:rFonts w:ascii="Garamond" w:cs="Garamond" w:eastAsia="Garamond" w:hAnsi="Garamond"/>
          <w:sz w:val="24"/>
          <w:szCs w:val="24"/>
          <w:vertAlign w:val="superscript"/>
        </w:rPr>
        <w:t xml:space="preserve">0</w:t>
      </w:r>
      <w:r>
        <w:rPr>
          <w:rFonts w:ascii="Garamond" w:cs="Garamond" w:eastAsia="Garamond" w:hAnsi="Garamond"/>
          <w:sz w:val="24"/>
          <w:szCs w:val="24"/>
        </w:rPr>
        <w:t xml:space="preserve">·TC</w:t>
      </w:r>
      <w:r>
        <w:rPr>
          <w:rFonts w:ascii="Garamond" w:cs="Garamond" w:eastAsia="Garamond" w:hAnsi="Garamond"/>
          <w:sz w:val="24"/>
          <w:szCs w:val="24"/>
          <w:vertAlign w:val="subscript"/>
        </w:rPr>
        <w:t xml:space="preserve">i</w:t>
      </w:r>
      <w:r>
        <w:rPr>
          <w:rFonts w:ascii="Garamond" w:cs="Garamond" w:eastAsia="Garamond" w:hAnsi="Garamond"/>
          <w:sz w:val="24"/>
          <w:szCs w:val="24"/>
          <w:vertAlign w:val="superscript"/>
        </w:rPr>
        <w:t xml:space="preserve">0</w:t>
      </w:r>
      <w:r>
        <w:rPr>
          <w:rFonts w:ascii="Garamond" w:cs="Garamond" w:eastAsia="Garamond" w:hAnsi="Garamond"/>
          <w:sz w:val="24"/>
          <w:szCs w:val="24"/>
        </w:rPr>
        <w:t xml:space="preserve"> se réduit à la part des calories produites du produit </w:t>
      </w:r>
      <w:r>
        <w:rPr>
          <w:rFonts w:ascii="Garamond" w:cs="Garamond" w:eastAsia="Garamond" w:hAnsi="Garamond"/>
          <w:i/>
          <w:iCs/>
          <w:sz w:val="24"/>
          <w:szCs w:val="24"/>
        </w:rPr>
        <w:t xml:space="preserve">i</w:t>
      </w:r>
      <w:r>
        <w:rPr>
          <w:rFonts w:ascii="Garamond" w:cs="Garamond" w:eastAsia="Garamond" w:hAnsi="Garamond"/>
          <w:sz w:val="24"/>
          <w:szCs w:val="24"/>
        </w:rPr>
        <w:t xml:space="preserve"> dans les calories totales consommées. Le niveau de référence de l’indicateur s’interprète donc comme un taux de couverture calorique global.</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Composition du panier : liste des produits et seuil de couverture calorique visé, en incluant les produits consommés mais non produits localement (le blé, par exemple), dont le taux de couverture est nul et dont l’exclusion surestimerait l’autonomie.</w:t>
      </w:r>
    </w:p>
    <w:p>
      <w:pPr>
        <w:pStyle w:val="ListParagraph"/>
        <w:numPr>
          <w:ilvl w:val="0"/>
          <w:numId w:val="2"/>
        </w:numPr>
        <w:spacing w:after="80" w:line="264" w:lineRule="auto"/>
        <w:jc w:val="both"/>
      </w:pPr>
      <w:r>
        <w:rPr>
          <w:rFonts w:ascii="Garamond" w:cs="Garamond" w:eastAsia="Garamond" w:hAnsi="Garamond"/>
          <w:sz w:val="22"/>
          <w:szCs w:val="22"/>
        </w:rPr>
        <w:t xml:space="preserve">Périmètre des produits animaux et halieutiques, qui relèvent pour partie d’un autre département ministériel mais pèsent dans la consommation.</w:t>
      </w:r>
    </w:p>
    <w:p>
      <w:pPr>
        <w:pStyle w:val="ListParagraph"/>
        <w:numPr>
          <w:ilvl w:val="0"/>
          <w:numId w:val="2"/>
        </w:numPr>
        <w:spacing w:after="80" w:line="264" w:lineRule="auto"/>
        <w:jc w:val="both"/>
      </w:pPr>
      <w:r>
        <w:rPr>
          <w:rFonts w:ascii="Garamond" w:cs="Garamond" w:eastAsia="Garamond" w:hAnsi="Garamond"/>
          <w:sz w:val="22"/>
          <w:szCs w:val="22"/>
        </w:rPr>
        <w:t xml:space="preserve">Conversion des produits à un stade commun (paddy et riz usiné, tubercules frais et produits transformés) au moyen de coefficients techniques documentés.</w:t>
      </w:r>
    </w:p>
    <w:p>
      <w:pPr>
        <w:pStyle w:val="ListParagraph"/>
        <w:numPr>
          <w:ilvl w:val="0"/>
          <w:numId w:val="2"/>
        </w:numPr>
        <w:spacing w:after="80" w:line="264" w:lineRule="auto"/>
        <w:jc w:val="both"/>
      </w:pPr>
      <w:r>
        <w:rPr>
          <w:rFonts w:ascii="Garamond" w:cs="Garamond" w:eastAsia="Garamond" w:hAnsi="Garamond"/>
          <w:sz w:val="22"/>
          <w:szCs w:val="22"/>
        </w:rPr>
        <w:t xml:space="preserve">Période de référence : moyenne triennale à arrêter, par exemple alignée sur la base 2014-2016 des indices FAOSTAT pour faciliter les contrôles de cohérence.</w:t>
      </w:r>
    </w:p>
    <w:p>
      <w:pPr>
        <w:pStyle w:val="ListParagraph"/>
        <w:numPr>
          <w:ilvl w:val="0"/>
          <w:numId w:val="2"/>
        </w:numPr>
        <w:spacing w:after="80" w:line="264" w:lineRule="auto"/>
        <w:jc w:val="both"/>
      </w:pPr>
      <w:r>
        <w:rPr>
          <w:rFonts w:ascii="Garamond" w:cs="Garamond" w:eastAsia="Garamond" w:hAnsi="Garamond"/>
          <w:sz w:val="22"/>
          <w:szCs w:val="22"/>
        </w:rPr>
        <w:t xml:space="preserve">Traitement analytique des taux supérieurs à 100 % : l’indicateur retenu les conserve ; un calcul avec plafonnement à 100 % peut être produit en analyse de sensibilité, pour vérifier que l’excédent d’un produit ne masque pas le déficit d’un autre.</w:t>
      </w:r>
    </w:p>
    <w:p>
      <w:pPr>
        <w:pStyle w:val="Heading2"/>
      </w:pPr>
      <w:r>
        <w:t xml:space="preserve">3.3. Indicateur 1.2 — Indice de production vivrière par habitant</w:t>
      </w:r>
    </w:p>
    <w:p>
      <w:pPr>
        <w:spacing w:after="140" w:before="0" w:line="276" w:lineRule="auto"/>
        <w:jc w:val="both"/>
      </w:pPr>
      <w:r>
        <w:rPr>
          <w:rFonts w:ascii="Garamond" w:cs="Garamond" w:eastAsia="Garamond" w:hAnsi="Garamond"/>
          <w:sz w:val="24"/>
          <w:szCs w:val="24"/>
        </w:rPr>
        <w:t xml:space="preserve">Le deuxième indicateur mesure la capacité productive. Il utilise exactement le même panier, le même périmètre de produits, le même système de pondération et la même période de référence que le taux de couverture. Pour chaque produit, la production par habitant de l’année est rapportée à la production moyenne par habitant de la période de référence.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I</m:t>
            </m:r>
          </m:e>
          <m:sub>
            <m:r>
              <m:t>i,t</m:t>
            </m:r>
          </m:sub>
        </m:sSub>
        <m:r>
          <m:t>=</m:t>
        </m:r>
        <m:f>
          <m:num>
            <m:f>
              <m:num>
                <m:sSub>
                  <m:sSubPr/>
                  <m:e>
                    <m:r>
                      <m:t>P</m:t>
                    </m:r>
                  </m:e>
                  <m:sub>
                    <m:r>
                      <m:t>i,t</m:t>
                    </m:r>
                  </m:sub>
                </m:sSub>
              </m:num>
              <m:den>
                <m:sSub>
                  <m:sSubPr/>
                  <m:e>
                    <m:r>
                      <m:t>N</m:t>
                    </m:r>
                  </m:e>
                  <m:sub>
                    <m:r>
                      <m:t>t</m:t>
                    </m:r>
                  </m:sub>
                </m:sSub>
              </m:den>
            </m:f>
          </m:num>
          <m:den>
            <m:f>
              <m:num>
                <m:sSubSup>
                  <m:sSubSupPr/>
                  <m:e>
                    <m:r>
                      <m:t>P̄</m:t>
                    </m:r>
                  </m:e>
                  <m:sub>
                    <m:r>
                      <m:t>i</m:t>
                    </m:r>
                  </m:sub>
                  <m:sup>
                    <m:r>
                      <m:t>0</m:t>
                    </m:r>
                  </m:sup>
                </m:sSubSup>
              </m:num>
              <m:den>
                <m:sSup>
                  <m:sSupPr/>
                  <m:e>
                    <m:r>
                      <m:t>N̄</m:t>
                    </m:r>
                  </m:e>
                  <m:sup>
                    <m:r>
                      <m:t>0</m:t>
                    </m:r>
                  </m:sup>
                </m:sSup>
              </m:den>
            </m:f>
          </m:den>
        </m:f>
        <m:r>
          <m:t>×100</m:t>
        </m:r>
      </m:oMath>
      <w:r>
        <w:rPr>
          <w:rFonts w:ascii="Garamond" w:cs="Garamond" w:eastAsia="Garamond" w:hAnsi="Garamond"/>
          <w:color w:val="4A4A4A"/>
          <w:sz w:val="22"/>
          <w:szCs w:val="22"/>
        </w:rPr>
        <w:t xml:space="preserve">	(6)</w:t>
      </w:r>
    </w:p>
    <w:p>
      <w:pPr>
        <w:spacing w:after="140" w:before="0" w:line="276" w:lineRule="auto"/>
        <w:jc w:val="both"/>
      </w:pPr>
      <w:r>
        <w:rPr>
          <w:rFonts w:ascii="Garamond" w:cs="Garamond" w:eastAsia="Garamond" w:hAnsi="Garamond"/>
          <w:sz w:val="24"/>
          <w:szCs w:val="24"/>
        </w:rPr>
        <w:t xml:space="preserve">où N</w:t>
      </w:r>
      <w:r>
        <w:rPr>
          <w:rFonts w:ascii="Garamond" w:cs="Garamond" w:eastAsia="Garamond" w:hAnsi="Garamond"/>
          <w:sz w:val="24"/>
          <w:szCs w:val="24"/>
          <w:vertAlign w:val="subscript"/>
        </w:rPr>
        <w:t xml:space="preserve">t</w:t>
      </w:r>
      <w:r>
        <w:rPr>
          <w:rFonts w:ascii="Garamond" w:cs="Garamond" w:eastAsia="Garamond" w:hAnsi="Garamond"/>
          <w:sz w:val="24"/>
          <w:szCs w:val="24"/>
        </w:rPr>
        <w:t xml:space="preserve"> est la population totale de l’année </w:t>
      </w:r>
      <w:r>
        <w:rPr>
          <w:rFonts w:ascii="Garamond" w:cs="Garamond" w:eastAsia="Garamond" w:hAnsi="Garamond"/>
          <w:i/>
          <w:iCs/>
          <w:sz w:val="24"/>
          <w:szCs w:val="24"/>
        </w:rPr>
        <w:t xml:space="preserve">t</w:t>
      </w:r>
      <w:r>
        <w:rPr>
          <w:rFonts w:ascii="Garamond" w:cs="Garamond" w:eastAsia="Garamond" w:hAnsi="Garamond"/>
          <w:sz w:val="24"/>
          <w:szCs w:val="24"/>
        </w:rPr>
        <w:t xml:space="preserve">, et où les grandeurs surmontées d’une barre désignent les moyennes de la période de référence. L’indice agrégé applique les poids caloriques déjà définis.</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IPVH</m:t>
            </m:r>
          </m:e>
          <m:sub>
            <m:r>
              <m:t>t</m:t>
            </m:r>
          </m:sub>
        </m:sSub>
        <m:r>
          <m:t>=</m:t>
        </m:r>
        <m:nary>
          <m:naryPr>
            <m:chr m:val="∑"/>
            <m:limLoc m:val="undOvr"/>
            <m:supHide m:val="1"/>
          </m:naryPr>
          <m:sub>
            <m:r>
              <m:t>i</m:t>
            </m:r>
          </m:sub>
          <m:sup/>
          <m:e>
            <m:sSubSup>
              <m:sSubSupPr/>
              <m:e>
                <m:r>
                  <m:t>w</m:t>
                </m:r>
              </m:e>
              <m:sub>
                <m:r>
                  <m:t>i</m:t>
                </m:r>
              </m:sub>
              <m:sup>
                <m:r>
                  <m:t>0</m:t>
                </m:r>
              </m:sup>
            </m:sSubSup>
            <m:sSub>
              <m:sSubPr/>
              <m:e>
                <m:r>
                  <m:t>I</m:t>
                </m:r>
              </m:e>
              <m:sub>
                <m:r>
                  <m:t>i,t</m:t>
                </m:r>
              </m:sub>
            </m:sSub>
          </m:e>
        </m:nary>
      </m:oMath>
      <w:r>
        <w:rPr>
          <w:rFonts w:ascii="Garamond" w:cs="Garamond" w:eastAsia="Garamond" w:hAnsi="Garamond"/>
          <w:color w:val="4A4A4A"/>
          <w:sz w:val="22"/>
          <w:szCs w:val="22"/>
        </w:rPr>
        <w:t xml:space="preserve">	(7)</w:t>
      </w:r>
    </w:p>
    <w:p>
      <w:pPr>
        <w:spacing w:after="140" w:before="0" w:line="276" w:lineRule="auto"/>
        <w:jc w:val="both"/>
      </w:pPr>
      <w:r>
        <w:rPr>
          <w:rFonts w:ascii="Garamond" w:cs="Garamond" w:eastAsia="Garamond" w:hAnsi="Garamond"/>
          <w:sz w:val="24"/>
          <w:szCs w:val="24"/>
        </w:rPr>
        <w:t xml:space="preserve">L’indicateur permet de vérifier si la production alimentaire nationale augmente suffisamment vite relativement à la population. Un niveau supérieur à 100 traduit une amélioration par rapport à la période de référence ; un niveau inférieur signale que la croissance démographique a été plus rapide que celle de la production.</w:t>
      </w:r>
    </w:p>
    <w:p>
      <w:pPr>
        <w:spacing w:after="140" w:before="0" w:line="276" w:lineRule="auto"/>
        <w:jc w:val="both"/>
      </w:pPr>
      <w:r>
        <w:rPr>
          <w:rFonts w:ascii="Garamond" w:cs="Garamond" w:eastAsia="Garamond" w:hAnsi="Garamond"/>
          <w:sz w:val="24"/>
          <w:szCs w:val="24"/>
        </w:rPr>
        <w:t xml:space="preserve">La lecture conjointe avec le taux de couverture est instructive. Les deux indicateurs peuvent diverger : la production par habitant peut progresser alors que le taux de couverture recule, si la consommation par habitant croît plus vite, sous l’effet de la hausse des revenus ou de l’urbanisation. Le premier renseigne sur l’effort productif, le second sur son adéquation à la demande.</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Produits sans production nationale en période de référence : leur indice élémentaire n’est pas défini (division par zéro). Ils sont exclus de l’agrégat de l’IPVH et les poids des autres produits sont renormalisés, selon une règle documentée, tout en restant dans le panier du taux de couverture.</w:t>
      </w:r>
    </w:p>
    <w:p>
      <w:pPr>
        <w:pStyle w:val="ListParagraph"/>
        <w:numPr>
          <w:ilvl w:val="0"/>
          <w:numId w:val="2"/>
        </w:numPr>
        <w:spacing w:after="80" w:line="264" w:lineRule="auto"/>
        <w:jc w:val="both"/>
      </w:pPr>
      <w:r>
        <w:rPr>
          <w:rFonts w:ascii="Garamond" w:cs="Garamond" w:eastAsia="Garamond" w:hAnsi="Garamond"/>
          <w:sz w:val="22"/>
          <w:szCs w:val="22"/>
        </w:rPr>
        <w:t xml:space="preserve">Série de population : utiliser une série homogène, rétropolée après le recensement général de la population et de l’habitat de 2021, afin d’éviter une rupture artificielle de l’indice.</w:t>
      </w:r>
    </w:p>
    <w:p>
      <w:pPr>
        <w:pStyle w:val="ListParagraph"/>
        <w:numPr>
          <w:ilvl w:val="0"/>
          <w:numId w:val="2"/>
        </w:numPr>
        <w:spacing w:after="80" w:line="264" w:lineRule="auto"/>
        <w:jc w:val="both"/>
      </w:pPr>
      <w:r>
        <w:rPr>
          <w:rFonts w:ascii="Garamond" w:cs="Garamond" w:eastAsia="Garamond" w:hAnsi="Garamond"/>
          <w:sz w:val="22"/>
          <w:szCs w:val="22"/>
        </w:rPr>
        <w:t xml:space="preserve">Contrôle de cohérence avec l’indice FAOSTAT de production alimentaire nette par habitant, dont la pondération (prix internationaux) diffère mais dont la tendance doit être comparable.</w:t>
      </w:r>
    </w:p>
    <w:p>
      <w:pPr>
        <w:pStyle w:val="Heading2"/>
      </w:pPr>
      <w:r>
        <w:t xml:space="preserve">3.4. Indicateur 1.3 — Variabilité de la production vivrière par habitant</w:t>
      </w:r>
    </w:p>
    <w:p>
      <w:pPr>
        <w:spacing w:after="140" w:before="0" w:line="276" w:lineRule="auto"/>
        <w:jc w:val="both"/>
      </w:pPr>
      <w:r>
        <w:rPr>
          <w:rFonts w:ascii="Garamond" w:cs="Garamond" w:eastAsia="Garamond" w:hAnsi="Garamond"/>
          <w:sz w:val="24"/>
          <w:szCs w:val="24"/>
        </w:rPr>
        <w:t xml:space="preserve">Le troisième indicateur mesure la résilience du système productif. Il est construit à partir de la même série agrégée que l’indicateur 1.2, ce qui préserve la cohérence de l’ensemble : la variabilité mesurée est celle de la grandeur dont on suit par ailleurs le niveau. La procédure comporte trois étapes.</w:t>
      </w:r>
    </w:p>
    <w:p>
      <w:pPr>
        <w:pStyle w:val="ListParagraph"/>
        <w:numPr>
          <w:ilvl w:val="0"/>
          <w:numId w:val="3"/>
        </w:numPr>
        <w:spacing w:after="80" w:line="264" w:lineRule="auto"/>
        <w:jc w:val="both"/>
      </w:pPr>
      <w:r>
        <w:rPr>
          <w:rFonts w:ascii="Garamond" w:cs="Garamond" w:eastAsia="Garamond" w:hAnsi="Garamond"/>
          <w:sz w:val="24"/>
          <w:szCs w:val="24"/>
        </w:rPr>
        <w:t xml:space="preserve">Calculer la série annuelle de production vivrière par habitant, y</w:t>
      </w:r>
      <w:r>
        <w:rPr>
          <w:rFonts w:ascii="Garamond" w:cs="Garamond" w:eastAsia="Garamond" w:hAnsi="Garamond"/>
          <w:sz w:val="24"/>
          <w:szCs w:val="24"/>
          <w:vertAlign w:val="subscript"/>
        </w:rPr>
        <w:t xml:space="preserve">t</w:t>
      </w:r>
      <w:r>
        <w:rPr>
          <w:rFonts w:ascii="Garamond" w:cs="Garamond" w:eastAsia="Garamond" w:hAnsi="Garamond"/>
          <w:sz w:val="24"/>
          <w:szCs w:val="24"/>
        </w:rPr>
        <w:t xml:space="preserve"> = IPVH</w:t>
      </w:r>
      <w:r>
        <w:rPr>
          <w:rFonts w:ascii="Garamond" w:cs="Garamond" w:eastAsia="Garamond" w:hAnsi="Garamond"/>
          <w:sz w:val="24"/>
          <w:szCs w:val="24"/>
          <w:vertAlign w:val="subscript"/>
        </w:rPr>
        <w:t xml:space="preserve">t</w:t>
      </w:r>
      <w:r>
        <w:rPr>
          <w:rFonts w:ascii="Garamond" w:cs="Garamond" w:eastAsia="Garamond" w:hAnsi="Garamond"/>
          <w:sz w:val="24"/>
          <w:szCs w:val="24"/>
        </w:rPr>
        <w:t xml:space="preserve">.</w:t>
      </w:r>
    </w:p>
    <w:p>
      <w:pPr>
        <w:pStyle w:val="ListParagraph"/>
        <w:numPr>
          <w:ilvl w:val="0"/>
          <w:numId w:val="3"/>
        </w:numPr>
        <w:spacing w:after="80" w:line="264" w:lineRule="auto"/>
        <w:jc w:val="both"/>
      </w:pPr>
      <w:r>
        <w:rPr>
          <w:rFonts w:ascii="Garamond" w:cs="Garamond" w:eastAsia="Garamond" w:hAnsi="Garamond"/>
          <w:sz w:val="24"/>
          <w:szCs w:val="24"/>
        </w:rPr>
        <w:t xml:space="preserve">Identifier sa tendance, notée ŷ</w:t>
      </w:r>
      <w:r>
        <w:rPr>
          <w:rFonts w:ascii="Garamond" w:cs="Garamond" w:eastAsia="Garamond" w:hAnsi="Garamond"/>
          <w:sz w:val="24"/>
          <w:szCs w:val="24"/>
          <w:vertAlign w:val="subscript"/>
        </w:rPr>
        <w:t xml:space="preserve">t</w:t>
      </w:r>
      <w:r>
        <w:rPr>
          <w:rFonts w:ascii="Garamond" w:cs="Garamond" w:eastAsia="Garamond" w:hAnsi="Garamond"/>
          <w:sz w:val="24"/>
          <w:szCs w:val="24"/>
        </w:rPr>
        <w:t xml:space="preserve">, et calculer les écarts à la tendance.</w:t>
      </w:r>
    </w:p>
    <w:p>
      <w:pPr>
        <w:pStyle w:val="ListParagraph"/>
        <w:numPr>
          <w:ilvl w:val="0"/>
          <w:numId w:val="3"/>
        </w:numPr>
        <w:spacing w:after="80" w:line="264" w:lineRule="auto"/>
        <w:jc w:val="both"/>
      </w:pPr>
      <w:r>
        <w:rPr>
          <w:rFonts w:ascii="Garamond" w:cs="Garamond" w:eastAsia="Garamond" w:hAnsi="Garamond"/>
          <w:sz w:val="24"/>
          <w:szCs w:val="24"/>
        </w:rPr>
        <w:t xml:space="preserve">Calculer la dispersion de ces écarts sur une fenêtre mobile de cinq ans.</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e</m:t>
            </m:r>
          </m:e>
          <m:sub>
            <m:r>
              <m:t>t</m:t>
            </m:r>
          </m:sub>
        </m:sSub>
        <m:r>
          <m:t>=</m:t>
        </m:r>
        <m:sSub>
          <m:sSubPr/>
          <m:e>
            <m:r>
              <m:t>y</m:t>
            </m:r>
          </m:e>
          <m:sub>
            <m:r>
              <m:t>t</m:t>
            </m:r>
          </m:sub>
        </m:sSub>
        <m:r>
          <m:t>−</m:t>
        </m:r>
        <m:sSub>
          <m:sSubPr/>
          <m:e>
            <m:r>
              <m:t>ŷ</m:t>
            </m:r>
          </m:e>
          <m:sub>
            <m:r>
              <m:t>t</m:t>
            </m:r>
          </m:sub>
        </m:sSub>
      </m:oMath>
      <w:r>
        <w:rPr>
          <w:rFonts w:ascii="Garamond" w:cs="Garamond" w:eastAsia="Garamond" w:hAnsi="Garamond"/>
          <w:color w:val="4A4A4A"/>
          <w:sz w:val="22"/>
          <w:szCs w:val="22"/>
        </w:rPr>
        <w:t xml:space="preserve">	(8)</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VPROD</m:t>
            </m:r>
          </m:e>
          <m:sub>
            <m:r>
              <m:t>t</m:t>
            </m:r>
          </m:sub>
        </m:sSub>
        <m:r>
          <m:t>=SD</m:t>
        </m:r>
        <m:d>
          <m:dPr/>
          <m:e>
            <m:sSub>
              <m:sSubPr/>
              <m:e>
                <m:r>
                  <m:t>e</m:t>
                </m:r>
              </m:e>
              <m:sub>
                <m:r>
                  <m:t>t−4</m:t>
                </m:r>
              </m:sub>
            </m:sSub>
            <m:r>
              <m:t>,…,</m:t>
            </m:r>
            <m:sSub>
              <m:sSubPr/>
              <m:e>
                <m:r>
                  <m:t>e</m:t>
                </m:r>
              </m:e>
              <m:sub>
                <m:r>
                  <m:t>t</m:t>
                </m:r>
              </m:sub>
            </m:sSub>
          </m:e>
        </m:d>
      </m:oMath>
      <w:r>
        <w:rPr>
          <w:rFonts w:ascii="Garamond" w:cs="Garamond" w:eastAsia="Garamond" w:hAnsi="Garamond"/>
          <w:color w:val="4A4A4A"/>
          <w:sz w:val="22"/>
          <w:szCs w:val="22"/>
        </w:rPr>
        <w:t xml:space="preserve">	(9)</w:t>
      </w:r>
    </w:p>
    <w:p>
      <w:pPr>
        <w:spacing w:after="140" w:before="0" w:line="276" w:lineRule="auto"/>
        <w:jc w:val="both"/>
      </w:pPr>
      <w:r>
        <w:rPr>
          <w:rFonts w:ascii="Garamond" w:cs="Garamond" w:eastAsia="Garamond" w:hAnsi="Garamond"/>
          <w:sz w:val="24"/>
          <w:szCs w:val="24"/>
        </w:rPr>
        <w:t xml:space="preserve">Le retrait de la tendance est indispensable : une production en croissance régulière présenterait sinon un écart type élevé alors qu’elle est parfaitement stable autour de sa trajectoire. L’indicateur s’inscrit dans la logique de l’indicateur de variabilité de la production alimentaire par habitant publié par la FAO dans sa suite d’indicateurs de la sécurité alimentaire, qui porte sur la valeur nette de la production alimentaire par habitant à prix internationaux constants. Pour l’indicateur voisin de variabilité des disponibilités alimentaires, la FAO documente une élimination de la tendance puis un écart type sur cinq ans. La spécification exacte de la tendance utilisée par la FAO pour la série de production devra être vérifiée dans la fiche de métadonnées originale avant publication.</w:t>
      </w:r>
    </w:p>
    <w:p>
      <w:pPr>
        <w:spacing w:after="140" w:before="0" w:line="276" w:lineRule="auto"/>
        <w:jc w:val="both"/>
      </w:pPr>
      <w:r>
        <w:rPr>
          <w:rFonts w:ascii="Garamond" w:cs="Garamond" w:eastAsia="Garamond" w:hAnsi="Garamond"/>
          <w:sz w:val="24"/>
          <w:szCs w:val="24"/>
        </w:rPr>
        <w:t xml:space="preserve">Plus l’indicateur est faible, plus le système productif est stable. Il s’exprime en points d’indice, puisque la série de base est l’IPVH.</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Méthode d’estimation de la tendance : tendance linéaire, spline ou filtre, à arrêter une fois pour toutes. Une tendance estimée sur l’ensemble de la période est révisée à chaque nouvelle année ; la règle de réestimation doit donc être fixée pour éviter une révision permanente des valeurs passées.</w:t>
      </w:r>
    </w:p>
    <w:p>
      <w:pPr>
        <w:pStyle w:val="ListParagraph"/>
        <w:numPr>
          <w:ilvl w:val="0"/>
          <w:numId w:val="2"/>
        </w:numPr>
        <w:spacing w:after="80" w:line="264" w:lineRule="auto"/>
        <w:jc w:val="both"/>
      </w:pPr>
      <w:r>
        <w:rPr>
          <w:rFonts w:ascii="Garamond" w:cs="Garamond" w:eastAsia="Garamond" w:hAnsi="Garamond"/>
          <w:sz w:val="22"/>
          <w:szCs w:val="22"/>
        </w:rPr>
        <w:t xml:space="preserve">Profondeur de série : une valeur pour 2015 exige des données 2011-2015. La série de l’IPVH doit donc être reconstituée à partir de 2011 au moins.</w:t>
      </w:r>
    </w:p>
    <w:p>
      <w:pPr>
        <w:pStyle w:val="ListParagraph"/>
        <w:numPr>
          <w:ilvl w:val="0"/>
          <w:numId w:val="2"/>
        </w:numPr>
        <w:spacing w:after="80" w:line="264" w:lineRule="auto"/>
        <w:jc w:val="both"/>
      </w:pPr>
      <w:r>
        <w:rPr>
          <w:rFonts w:ascii="Garamond" w:cs="Garamond" w:eastAsia="Garamond" w:hAnsi="Garamond"/>
          <w:sz w:val="22"/>
          <w:szCs w:val="22"/>
        </w:rPr>
        <w:t xml:space="preserve">Une version relative (écart type rapporté à la moyenne de la fenêtre) peut être calculée à titre de contrôle, sans remplacer l’indicateur retenu.</w:t>
      </w:r>
    </w:p>
    <w:p>
      <w:pPr>
        <w:pStyle w:val="Heading3"/>
      </w:pPr>
      <w:r>
        <w:t xml:space="preserve">Indicateurs complémentaires (à titre secondaire)</w:t>
      </w:r>
    </w:p>
    <w:p>
      <w:pPr>
        <w:spacing w:after="140" w:before="0" w:line="276" w:lineRule="auto"/>
        <w:jc w:val="both"/>
      </w:pPr>
      <w:r>
        <w:rPr>
          <w:rFonts w:ascii="Garamond" w:cs="Garamond" w:eastAsia="Garamond" w:hAnsi="Garamond"/>
          <w:sz w:val="24"/>
          <w:szCs w:val="24"/>
        </w:rPr>
        <w:t xml:space="preserve">Les indicateurs suivants peuvent éclairer la lecture des indicateurs principaux. Ils ne font pas partie du tableau de bord principal et ne se substituent à aucun indicateur retenu.</w:t>
      </w:r>
    </w:p>
    <w:p>
      <w:pPr>
        <w:pStyle w:val="ListParagraph"/>
        <w:numPr>
          <w:ilvl w:val="0"/>
          <w:numId w:val="2"/>
        </w:numPr>
        <w:spacing w:after="80" w:line="264" w:lineRule="auto"/>
        <w:jc w:val="both"/>
      </w:pPr>
      <w:r>
        <w:rPr>
          <w:rFonts w:ascii="Garamond" w:cs="Garamond" w:eastAsia="Garamond" w:hAnsi="Garamond"/>
          <w:sz w:val="24"/>
          <w:szCs w:val="24"/>
        </w:rPr>
        <w:t xml:space="preserve">Prévalence de la sous-alimentation (ODD 2.1.1) et prévalence de l’insécurité alimentaire modérée ou grave mesurée par l’échelle FIES (ODD 2.1.2), pour la dimension d’accès.</w:t>
      </w:r>
    </w:p>
    <w:p>
      <w:pPr>
        <w:pStyle w:val="ListParagraph"/>
        <w:numPr>
          <w:ilvl w:val="0"/>
          <w:numId w:val="2"/>
        </w:numPr>
        <w:spacing w:after="80" w:line="264" w:lineRule="auto"/>
        <w:jc w:val="both"/>
      </w:pPr>
      <w:r>
        <w:rPr>
          <w:rFonts w:ascii="Garamond" w:cs="Garamond" w:eastAsia="Garamond" w:hAnsi="Garamond"/>
          <w:sz w:val="24"/>
          <w:szCs w:val="24"/>
        </w:rPr>
        <w:t xml:space="preserve">Taux de dépendance aux importations de céréales et part des importations alimentaires dans les exportations totales de marchandises (suite d’indicateurs de la FAO), pour la vulnérabilité extérieure.</w:t>
      </w:r>
    </w:p>
    <w:p>
      <w:pPr>
        <w:pStyle w:val="Heading1"/>
        <w:pageBreakBefore/>
      </w:pPr>
      <w:r>
        <w:t xml:space="preserve">4. Compétitivité de l’agriculture ivoirienne</w:t>
      </w:r>
    </w:p>
    <w:p>
      <w:pPr>
        <w:pStyle w:val="Heading2"/>
      </w:pPr>
      <w:r>
        <w:t xml:space="preserve">4.1. Définition retenue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1F4E3D" w:sz="24"/>
              <w:bottom w:val="none" w:color="FFFFFF" w:sz="0"/>
              <w:right w:val="none" w:color="FFFFFF" w:sz="0"/>
            </w:tcBorders>
            <w:shd w:fill="EDF3EF" w:color="auto" w:val="clear"/>
            <w:tcMar>
              <w:top w:type="dxa" w:w="140"/>
              <w:left w:type="dxa" w:w="220"/>
              <w:bottom w:type="dxa" w:w="100"/>
              <w:right w:type="dxa" w:w="220"/>
            </w:tcMar>
          </w:tcPr>
          <w:p>
            <w:pPr>
              <w:spacing w:after="40" w:line="276" w:lineRule="auto"/>
              <w:jc w:val="both"/>
            </w:pPr>
            <w:r>
              <w:rPr>
                <w:rFonts w:ascii="Garamond" w:cs="Garamond" w:eastAsia="Garamond" w:hAnsi="Garamond"/>
                <w:i/>
                <w:iCs/>
                <w:sz w:val="24"/>
                <w:szCs w:val="24"/>
              </w:rPr>
              <w:t xml:space="preserve">« La compétitivité de l’agriculture ivoirienne est la capacité durable de ses chaînes de valeur à produire, transformer et acheminer des produits agricoles répondant aux exigences des marchés, à des niveaux de productivité, de coût, de qualité et de valeur ajoutée permettant de maintenir ou d’accroître leur position sur les marchés nationaux, régionaux et internationaux face aux produits concurrents. »</w:t>
            </w:r>
          </w:p>
        </w:tc>
      </w:tr>
    </w:tbl>
    <w:p>
      <w:pPr>
        <w:spacing w:after="120"/>
      </w:pPr>
    </w:p>
    <w:p>
      <w:pPr>
        <w:spacing w:after="140" w:before="0" w:line="276" w:lineRule="auto"/>
        <w:jc w:val="both"/>
      </w:pPr>
      <w:r>
        <w:rPr>
          <w:rFonts w:ascii="Garamond" w:cs="Garamond" w:eastAsia="Garamond" w:hAnsi="Garamond"/>
          <w:sz w:val="24"/>
          <w:szCs w:val="24"/>
        </w:rPr>
        <w:t xml:space="preserve">La littérature distingue les mesures de compétitivité fondées sur les résultats commerciaux (parts de marché, avantages comparatifs révélés) et celles qui portent sur ses déterminants, au premier rang desquels la productivité et l’efficacité (Latruffe, 2010). Le dispositif retient la seconde approche : il suit des leviers sur lesquels la politique agricole a prise, le long de la chaîne de valeur, plutôt que des résultats de marché qui dépendent aussi des prix mondiaux et des taux de change.</w:t>
      </w:r>
    </w:p>
    <w:p>
      <w:pPr>
        <w:pBdr>
          <w:top w:val="single" w:color="B7C9BE" w:sz="4" w:space="6"/>
          <w:bottom w:val="single" w:color="B7C9BE" w:sz="4" w:space="6"/>
        </w:pBdr>
        <w:spacing w:after="200" w:before="120"/>
        <w:jc w:val="center"/>
      </w:pPr>
      <w:r>
        <w:rPr>
          <w:rFonts w:ascii="Garamond" w:cs="Garamond" w:eastAsia="Garamond" w:hAnsi="Garamond"/>
          <w:i/>
          <w:iCs/>
          <w:color w:val="1F4E3D"/>
          <w:sz w:val="24"/>
          <w:szCs w:val="24"/>
        </w:rPr>
        <w:t xml:space="preserve">Intrants et services  →  production  →  collecte et post-récolte  →  transformation  →  commercialisation</w:t>
      </w:r>
    </w:p>
    <w:p>
      <w:pPr>
        <w:spacing w:after="140" w:before="0" w:line="276" w:lineRule="auto"/>
        <w:jc w:val="both"/>
      </w:pPr>
      <w:r>
        <w:rPr>
          <w:rFonts w:ascii="Garamond" w:cs="Garamond" w:eastAsia="Garamond" w:hAnsi="Garamond"/>
          <w:sz w:val="24"/>
          <w:szCs w:val="24"/>
        </w:rPr>
        <w:t xml:space="preserve">Les trois indicateurs se placent aux maillons où se jouent principalement les gains de compétitivité : produire plus efficacement, perdre moins entre le champ et le marché, transformer davantage sur le territoire national.</w:t>
      </w:r>
    </w:p>
    <w:p>
      <w:pPr>
        <w:pBdr>
          <w:top w:val="single" w:color="B7C9BE" w:sz="4" w:space="6"/>
          <w:bottom w:val="single" w:color="B7C9BE" w:sz="4" w:space="6"/>
        </w:pBdr>
        <w:spacing w:after="200" w:before="120"/>
        <w:jc w:val="center"/>
      </w:pPr>
      <w:r>
        <w:rPr>
          <w:rFonts w:ascii="Garamond" w:cs="Garamond" w:eastAsia="Garamond" w:hAnsi="Garamond"/>
          <w:i/>
          <w:iCs/>
          <w:color w:val="1F4E3D"/>
          <w:sz w:val="24"/>
          <w:szCs w:val="24"/>
        </w:rPr>
        <w:t xml:space="preserve">Produire plus efficacement  →  perdre moins  →  transformer davantage</w:t>
      </w:r>
    </w:p>
    <w:p>
      <w:pPr>
        <w:pStyle w:val="Heading2"/>
      </w:pPr>
      <w:r>
        <w:t xml:space="preserve">4.2. Indicateur 2.1 — Indice de productivité des cultures à superficie constante</w:t>
      </w:r>
    </w:p>
    <w:p>
      <w:pPr>
        <w:spacing w:after="140" w:before="0" w:line="276" w:lineRule="auto"/>
        <w:jc w:val="both"/>
      </w:pPr>
      <w:r>
        <w:rPr>
          <w:rFonts w:ascii="Garamond" w:cs="Garamond" w:eastAsia="Garamond" w:hAnsi="Garamond"/>
          <w:sz w:val="24"/>
          <w:szCs w:val="24"/>
        </w:rPr>
        <w:t xml:space="preserve">Pour chaque culture </w:t>
      </w:r>
      <w:r>
        <w:rPr>
          <w:rFonts w:ascii="Garamond" w:cs="Garamond" w:eastAsia="Garamond" w:hAnsi="Garamond"/>
          <w:i/>
          <w:iCs/>
          <w:sz w:val="24"/>
          <w:szCs w:val="24"/>
        </w:rPr>
        <w:t xml:space="preserve">i</w:t>
      </w:r>
      <w:r>
        <w:rPr>
          <w:rFonts w:ascii="Garamond" w:cs="Garamond" w:eastAsia="Garamond" w:hAnsi="Garamond"/>
          <w:sz w:val="24"/>
          <w:szCs w:val="24"/>
        </w:rPr>
        <w:t xml:space="preserve">, le rendement rapporte la production à la superficie récoltée.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R</m:t>
            </m:r>
          </m:e>
          <m:sub>
            <m:r>
              <m:t>i,t</m:t>
            </m:r>
          </m:sub>
        </m:sSub>
        <m:r>
          <m:t>=</m:t>
        </m:r>
        <m:f>
          <m:num>
            <m:sSub>
              <m:sSubPr/>
              <m:e>
                <m:r>
                  <m:t>Q</m:t>
                </m:r>
              </m:e>
              <m:sub>
                <m:r>
                  <m:t>i,t</m:t>
                </m:r>
              </m:sub>
            </m:sSub>
          </m:num>
          <m:den>
            <m:sSub>
              <m:sSubPr/>
              <m:e>
                <m:r>
                  <m:t>S</m:t>
                </m:r>
              </m:e>
              <m:sub>
                <m:r>
                  <m:t>i,t</m:t>
                </m:r>
              </m:sub>
            </m:sSub>
          </m:den>
        </m:f>
      </m:oMath>
      <w:r>
        <w:rPr>
          <w:rFonts w:ascii="Garamond" w:cs="Garamond" w:eastAsia="Garamond" w:hAnsi="Garamond"/>
          <w:color w:val="4A4A4A"/>
          <w:sz w:val="22"/>
          <w:szCs w:val="22"/>
        </w:rPr>
        <w:t xml:space="preserve">	(10)</w:t>
      </w:r>
    </w:p>
    <w:p>
      <w:pPr>
        <w:spacing w:after="140" w:before="0" w:line="276" w:lineRule="auto"/>
        <w:jc w:val="both"/>
      </w:pPr>
      <w:r>
        <w:rPr>
          <w:rFonts w:ascii="Garamond" w:cs="Garamond" w:eastAsia="Garamond" w:hAnsi="Garamond"/>
          <w:sz w:val="24"/>
          <w:szCs w:val="24"/>
        </w:rPr>
        <w:t xml:space="preserve">où Q désigne la production et S la superficie récoltée. Un indice élémentaire est construit par rapport à la période de référence, puis les indices sont agrégés.</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IR</m:t>
            </m:r>
          </m:e>
          <m:sub>
            <m:r>
              <m:t>i,t</m:t>
            </m:r>
          </m:sub>
        </m:sSub>
        <m:r>
          <m:t>=</m:t>
        </m:r>
        <m:f>
          <m:num>
            <m:sSub>
              <m:sSubPr/>
              <m:e>
                <m:r>
                  <m:t>R</m:t>
                </m:r>
              </m:e>
              <m:sub>
                <m:r>
                  <m:t>i,t</m:t>
                </m:r>
              </m:sub>
            </m:sSub>
          </m:num>
          <m:den>
            <m:sSub>
              <m:sSubPr/>
              <m:e>
                <m:r>
                  <m:t>R</m:t>
                </m:r>
              </m:e>
              <m:sub>
                <m:r>
                  <m:t>i,0</m:t>
                </m:r>
              </m:sub>
            </m:sSub>
          </m:den>
        </m:f>
        <m:r>
          <m:t>×100</m:t>
        </m:r>
      </m:oMath>
      <w:r>
        <w:rPr>
          <w:rFonts w:ascii="Garamond" w:cs="Garamond" w:eastAsia="Garamond" w:hAnsi="Garamond"/>
          <w:color w:val="4A4A4A"/>
          <w:sz w:val="22"/>
          <w:szCs w:val="22"/>
        </w:rPr>
        <w:t xml:space="preserve">	(11)</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IP</m:t>
            </m:r>
          </m:e>
          <m:sub>
            <m:r>
              <m:t>t</m:t>
            </m:r>
          </m:sub>
        </m:sSub>
        <m:r>
          <m:t>=</m:t>
        </m:r>
        <m:nary>
          <m:naryPr>
            <m:chr m:val="∑"/>
            <m:limLoc m:val="undOvr"/>
            <m:supHide m:val="1"/>
          </m:naryPr>
          <m:sub>
            <m:r>
              <m:t>i</m:t>
            </m:r>
          </m:sub>
          <m:sup/>
          <m:e>
            <m:sSubSup>
              <m:sSubSupPr/>
              <m:e>
                <m:r>
                  <m:t>w</m:t>
                </m:r>
              </m:e>
              <m:sub>
                <m:r>
                  <m:t>i</m:t>
                </m:r>
              </m:sub>
              <m:sup>
                <m:r>
                  <m:t>0</m:t>
                </m:r>
              </m:sup>
            </m:sSubSup>
            <m:sSub>
              <m:sSubPr/>
              <m:e>
                <m:r>
                  <m:t>IR</m:t>
                </m:r>
              </m:e>
              <m:sub>
                <m:r>
                  <m:t>i,t</m:t>
                </m:r>
              </m:sub>
            </m:sSub>
          </m:e>
        </m:nary>
      </m:oMath>
      <w:r>
        <w:rPr>
          <w:rFonts w:ascii="Garamond" w:cs="Garamond" w:eastAsia="Garamond" w:hAnsi="Garamond"/>
          <w:color w:val="4A4A4A"/>
          <w:sz w:val="22"/>
          <w:szCs w:val="22"/>
        </w:rPr>
        <w:t xml:space="preserve">	(12)</w:t>
      </w:r>
    </w:p>
    <w:p>
      <w:pPr>
        <w:spacing w:after="140" w:before="0" w:line="276" w:lineRule="auto"/>
        <w:jc w:val="both"/>
      </w:pPr>
      <w:r>
        <w:rPr>
          <w:rFonts w:ascii="Garamond" w:cs="Garamond" w:eastAsia="Garamond" w:hAnsi="Garamond"/>
          <w:sz w:val="24"/>
          <w:szCs w:val="24"/>
        </w:rPr>
        <w:t xml:space="preserve">Les pondérations reflètent l’importance économique relative des cultures. Elles correspondent aux parts de chaque culture dans la valeur de la production végétale, calculées sur la période de référence à prix constants, puis maintenues fixes.</w:t>
      </w:r>
    </w:p>
    <w:p>
      <w:pPr>
        <w:keepLines/>
        <w:tabs>
          <w:tab w:val="center" w:pos="4535"/>
          <w:tab w:val="right" w:pos="9070"/>
        </w:tabs>
        <w:spacing w:after="160" w:before="120" w:line="240" w:lineRule="auto"/>
      </w:pPr>
      <w:r>
        <w:rPr>
          <w:rFonts w:ascii="Garamond" w:cs="Garamond" w:eastAsia="Garamond" w:hAnsi="Garamond"/>
        </w:rPr>
        <w:t xml:space="preserve">	</w:t>
      </w:r>
      <m:oMath>
        <m:sSubSup>
          <m:sSubSupPr/>
          <m:e>
            <m:r>
              <m:t>w</m:t>
            </m:r>
          </m:e>
          <m:sub>
            <m:r>
              <m:t>i</m:t>
            </m:r>
          </m:sub>
          <m:sup>
            <m:r>
              <m:t>0</m:t>
            </m:r>
          </m:sup>
        </m:sSubSup>
        <m:r>
          <m:t>=</m:t>
        </m:r>
        <m:f>
          <m:num>
            <m:sSubSup>
              <m:sSubSupPr/>
              <m:e>
                <m:r>
                  <m:t>p</m:t>
                </m:r>
              </m:e>
              <m:sub>
                <m:r>
                  <m:t>i</m:t>
                </m:r>
              </m:sub>
              <m:sup>
                <m:r>
                  <m:t>0</m:t>
                </m:r>
              </m:sup>
            </m:sSubSup>
            <m:sSubSup>
              <m:sSubSupPr/>
              <m:e>
                <m:r>
                  <m:t>Q</m:t>
                </m:r>
              </m:e>
              <m:sub>
                <m:r>
                  <m:t>i</m:t>
                </m:r>
              </m:sub>
              <m:sup>
                <m:r>
                  <m:t>0</m:t>
                </m:r>
              </m:sup>
            </m:sSubSup>
          </m:num>
          <m:den>
            <m:nary>
              <m:naryPr>
                <m:chr m:val="∑"/>
                <m:limLoc m:val="undOvr"/>
                <m:supHide m:val="1"/>
              </m:naryPr>
              <m:sub>
                <m:r>
                  <m:t>j</m:t>
                </m:r>
              </m:sub>
              <m:sup/>
              <m:e>
                <m:sSubSup>
                  <m:sSubSupPr/>
                  <m:e>
                    <m:r>
                      <m:t>p</m:t>
                    </m:r>
                  </m:e>
                  <m:sub>
                    <m:r>
                      <m:t>j</m:t>
                    </m:r>
                  </m:sub>
                  <m:sup>
                    <m:r>
                      <m:t>0</m:t>
                    </m:r>
                  </m:sup>
                </m:sSubSup>
                <m:sSubSup>
                  <m:sSubSupPr/>
                  <m:e>
                    <m:r>
                      <m:t>Q</m:t>
                    </m:r>
                  </m:e>
                  <m:sub>
                    <m:r>
                      <m:t>j</m:t>
                    </m:r>
                  </m:sub>
                  <m:sup>
                    <m:r>
                      <m:t>0</m:t>
                    </m:r>
                  </m:sup>
                </m:sSubSup>
              </m:e>
            </m:nary>
          </m:den>
        </m:f>
      </m:oMath>
      <w:r>
        <w:rPr>
          <w:rFonts w:ascii="Garamond" w:cs="Garamond" w:eastAsia="Garamond" w:hAnsi="Garamond"/>
          <w:color w:val="4A4A4A"/>
          <w:sz w:val="22"/>
          <w:szCs w:val="22"/>
        </w:rPr>
        <w:t xml:space="preserve">	(13)</w:t>
      </w:r>
    </w:p>
    <w:p>
      <w:pPr>
        <w:spacing w:after="140" w:before="0" w:line="276" w:lineRule="auto"/>
        <w:jc w:val="both"/>
      </w:pPr>
      <w:r>
        <w:rPr>
          <w:rFonts w:ascii="Garamond" w:cs="Garamond" w:eastAsia="Garamond" w:hAnsi="Garamond"/>
          <w:sz w:val="24"/>
          <w:szCs w:val="24"/>
        </w:rPr>
        <w:t xml:space="preserve">Cette pondération justifie l’intitulé de l’indicateur. En remplaçant les poids par leur expression et en notant que Q</w:t>
      </w:r>
      <w:r>
        <w:rPr>
          <w:rFonts w:ascii="Garamond" w:cs="Garamond" w:eastAsia="Garamond" w:hAnsi="Garamond"/>
          <w:sz w:val="24"/>
          <w:szCs w:val="24"/>
          <w:vertAlign w:val="subscript"/>
        </w:rPr>
        <w:t xml:space="preserve">i</w:t>
      </w:r>
      <w:r>
        <w:rPr>
          <w:rFonts w:ascii="Garamond" w:cs="Garamond" w:eastAsia="Garamond" w:hAnsi="Garamond"/>
          <w:sz w:val="24"/>
          <w:szCs w:val="24"/>
          <w:vertAlign w:val="superscript"/>
        </w:rPr>
        <w:t xml:space="preserve">0</w:t>
      </w:r>
      <w:r>
        <w:rPr>
          <w:rFonts w:ascii="Garamond" w:cs="Garamond" w:eastAsia="Garamond" w:hAnsi="Garamond"/>
          <w:sz w:val="24"/>
          <w:szCs w:val="24"/>
        </w:rPr>
        <w:t xml:space="preserve"> = S</w:t>
      </w:r>
      <w:r>
        <w:rPr>
          <w:rFonts w:ascii="Garamond" w:cs="Garamond" w:eastAsia="Garamond" w:hAnsi="Garamond"/>
          <w:sz w:val="24"/>
          <w:szCs w:val="24"/>
          <w:vertAlign w:val="subscript"/>
        </w:rPr>
        <w:t xml:space="preserve">i</w:t>
      </w:r>
      <w:r>
        <w:rPr>
          <w:rFonts w:ascii="Garamond" w:cs="Garamond" w:eastAsia="Garamond" w:hAnsi="Garamond"/>
          <w:sz w:val="24"/>
          <w:szCs w:val="24"/>
          <w:vertAlign w:val="superscript"/>
        </w:rPr>
        <w:t xml:space="preserve">0</w:t>
      </w:r>
      <w:r>
        <w:rPr>
          <w:rFonts w:ascii="Garamond" w:cs="Garamond" w:eastAsia="Garamond" w:hAnsi="Garamond"/>
          <w:sz w:val="24"/>
          <w:szCs w:val="24"/>
        </w:rPr>
        <w:t xml:space="preserve">·R</w:t>
      </w:r>
      <w:r>
        <w:rPr>
          <w:rFonts w:ascii="Garamond" w:cs="Garamond" w:eastAsia="Garamond" w:hAnsi="Garamond"/>
          <w:sz w:val="24"/>
          <w:szCs w:val="24"/>
          <w:vertAlign w:val="subscript"/>
        </w:rPr>
        <w:t xml:space="preserve">i</w:t>
      </w:r>
      <w:r>
        <w:rPr>
          <w:rFonts w:ascii="Garamond" w:cs="Garamond" w:eastAsia="Garamond" w:hAnsi="Garamond"/>
          <w:sz w:val="24"/>
          <w:szCs w:val="24"/>
          <w:vertAlign w:val="superscript"/>
        </w:rPr>
        <w:t xml:space="preserve">0</w:t>
      </w:r>
      <w:r>
        <w:rPr>
          <w:rFonts w:ascii="Garamond" w:cs="Garamond" w:eastAsia="Garamond" w:hAnsi="Garamond"/>
          <w:sz w:val="24"/>
          <w:szCs w:val="24"/>
        </w:rPr>
        <w:t xml:space="preserve">, on obtient l’égalité suivante.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IP</m:t>
            </m:r>
          </m:e>
          <m:sub>
            <m:r>
              <m:t>t</m:t>
            </m:r>
          </m:sub>
        </m:sSub>
        <m:r>
          <m:t>=</m:t>
        </m:r>
        <m:f>
          <m:num>
            <m:nary>
              <m:naryPr>
                <m:chr m:val="∑"/>
                <m:limLoc m:val="undOvr"/>
                <m:supHide m:val="1"/>
              </m:naryPr>
              <m:sub>
                <m:r>
                  <m:t>i</m:t>
                </m:r>
              </m:sub>
              <m:sup/>
              <m:e>
                <m:sSubSup>
                  <m:sSubSupPr/>
                  <m:e>
                    <m:r>
                      <m:t>p</m:t>
                    </m:r>
                  </m:e>
                  <m:sub>
                    <m:r>
                      <m:t>i</m:t>
                    </m:r>
                  </m:sub>
                  <m:sup>
                    <m:r>
                      <m:t>0</m:t>
                    </m:r>
                  </m:sup>
                </m:sSubSup>
                <m:sSubSup>
                  <m:sSubSupPr/>
                  <m:e>
                    <m:r>
                      <m:t>S</m:t>
                    </m:r>
                  </m:e>
                  <m:sub>
                    <m:r>
                      <m:t>i</m:t>
                    </m:r>
                  </m:sub>
                  <m:sup>
                    <m:r>
                      <m:t>0</m:t>
                    </m:r>
                  </m:sup>
                </m:sSubSup>
                <m:sSub>
                  <m:sSubPr/>
                  <m:e>
                    <m:r>
                      <m:t>R</m:t>
                    </m:r>
                  </m:e>
                  <m:sub>
                    <m:r>
                      <m:t>i,t</m:t>
                    </m:r>
                  </m:sub>
                </m:sSub>
              </m:e>
            </m:nary>
          </m:num>
          <m:den>
            <m:nary>
              <m:naryPr>
                <m:chr m:val="∑"/>
                <m:limLoc m:val="undOvr"/>
                <m:supHide m:val="1"/>
              </m:naryPr>
              <m:sub>
                <m:r>
                  <m:t>i</m:t>
                </m:r>
              </m:sub>
              <m:sup/>
              <m:e>
                <m:sSubSup>
                  <m:sSubSupPr/>
                  <m:e>
                    <m:r>
                      <m:t>p</m:t>
                    </m:r>
                  </m:e>
                  <m:sub>
                    <m:r>
                      <m:t>i</m:t>
                    </m:r>
                  </m:sub>
                  <m:sup>
                    <m:r>
                      <m:t>0</m:t>
                    </m:r>
                  </m:sup>
                </m:sSubSup>
                <m:sSubSup>
                  <m:sSubSupPr/>
                  <m:e>
                    <m:r>
                      <m:t>S</m:t>
                    </m:r>
                  </m:e>
                  <m:sub>
                    <m:r>
                      <m:t>i</m:t>
                    </m:r>
                  </m:sub>
                  <m:sup>
                    <m:r>
                      <m:t>0</m:t>
                    </m:r>
                  </m:sup>
                </m:sSubSup>
                <m:sSubSup>
                  <m:sSubSupPr/>
                  <m:e>
                    <m:r>
                      <m:t>R</m:t>
                    </m:r>
                  </m:e>
                  <m:sub>
                    <m:r>
                      <m:t>i</m:t>
                    </m:r>
                  </m:sub>
                  <m:sup>
                    <m:r>
                      <m:t>0</m:t>
                    </m:r>
                  </m:sup>
                </m:sSubSup>
              </m:e>
            </m:nary>
          </m:den>
        </m:f>
        <m:r>
          <m:t>×100</m:t>
        </m:r>
      </m:oMath>
      <w:r>
        <w:rPr>
          <w:rFonts w:ascii="Garamond" w:cs="Garamond" w:eastAsia="Garamond" w:hAnsi="Garamond"/>
          <w:color w:val="4A4A4A"/>
          <w:sz w:val="22"/>
          <w:szCs w:val="22"/>
        </w:rPr>
        <w:t xml:space="preserve">	(14)</w:t>
      </w:r>
    </w:p>
    <w:p>
      <w:pPr>
        <w:spacing w:after="140" w:before="0" w:line="276" w:lineRule="auto"/>
        <w:jc w:val="both"/>
      </w:pPr>
      <w:r>
        <w:rPr>
          <w:rFonts w:ascii="Garamond" w:cs="Garamond" w:eastAsia="Garamond" w:hAnsi="Garamond"/>
          <w:sz w:val="24"/>
          <w:szCs w:val="24"/>
        </w:rPr>
        <w:t xml:space="preserve">L’indice est donc le rapport entre la valeur de la production qui serait obtenue avec les superficies de la période de référence et les rendements de l’année, et la valeur de la production de référence. Les superficies étant figées, un accroissement de production résultant uniquement d’une extension des surfaces ne se traduit par aucun gain de l’indicateur. Cette propriété est importante pour la Côte d’Ivoire, où la croissance agricole a longtemps reposé sur l’extension des superficies, avec les conséquences forestières examinées au chapitre 7.</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Liste des cultures couvertes (cultures vivrières, d’exportation et maraîchères principales) et règle d’entrée ou de sortie en cas de rebasage.</w:t>
      </w:r>
    </w:p>
    <w:p>
      <w:pPr>
        <w:pStyle w:val="ListParagraph"/>
        <w:numPr>
          <w:ilvl w:val="0"/>
          <w:numId w:val="2"/>
        </w:numPr>
        <w:spacing w:after="80" w:line="264" w:lineRule="auto"/>
        <w:jc w:val="both"/>
      </w:pPr>
      <w:r>
        <w:rPr>
          <w:rFonts w:ascii="Garamond" w:cs="Garamond" w:eastAsia="Garamond" w:hAnsi="Garamond"/>
          <w:sz w:val="22"/>
          <w:szCs w:val="22"/>
        </w:rPr>
        <w:t xml:space="preserve">Système de prix : valeur de la production FAOSTAT à prix internationaux constants ou prix nationaux aux producteurs de la période de référence.</w:t>
      </w:r>
    </w:p>
    <w:p>
      <w:pPr>
        <w:pStyle w:val="ListParagraph"/>
        <w:numPr>
          <w:ilvl w:val="0"/>
          <w:numId w:val="2"/>
        </w:numPr>
        <w:spacing w:after="80" w:line="264" w:lineRule="auto"/>
        <w:jc w:val="both"/>
      </w:pPr>
      <w:r>
        <w:rPr>
          <w:rFonts w:ascii="Garamond" w:cs="Garamond" w:eastAsia="Garamond" w:hAnsi="Garamond"/>
          <w:sz w:val="22"/>
          <w:szCs w:val="22"/>
        </w:rPr>
        <w:t xml:space="preserve">Cultures pérennes (cacao, café, hévéa, palmier à huile, anacarde) : utiliser la superficie en production plutôt que la superficie plantée, faute de quoi le renouvellement des vergers ferait baisser artificiellement les rendements.</w:t>
      </w:r>
    </w:p>
    <w:p>
      <w:pPr>
        <w:pStyle w:val="ListParagraph"/>
        <w:numPr>
          <w:ilvl w:val="0"/>
          <w:numId w:val="2"/>
        </w:numPr>
        <w:spacing w:after="80" w:line="264" w:lineRule="auto"/>
        <w:jc w:val="both"/>
      </w:pPr>
      <w:r>
        <w:rPr>
          <w:rFonts w:ascii="Garamond" w:cs="Garamond" w:eastAsia="Garamond" w:hAnsi="Garamond"/>
          <w:sz w:val="22"/>
          <w:szCs w:val="22"/>
        </w:rPr>
        <w:t xml:space="preserve">Aléas climatiques : la série annuelle est publiée telle quelle ; une moyenne mobile peut être présentée pour l’analyse de tendance.</w:t>
      </w:r>
    </w:p>
    <w:p>
      <w:pPr>
        <w:pStyle w:val="Heading2"/>
      </w:pPr>
      <w:r>
        <w:t xml:space="preserve">4.3. Indicateur 2.2 — Taux de pertes post-récolte</w:t>
      </w:r>
    </w:p>
    <w:p>
      <w:pPr>
        <w:spacing w:after="140" w:before="0" w:line="276" w:lineRule="auto"/>
        <w:jc w:val="both"/>
      </w:pPr>
      <w:r>
        <w:rPr>
          <w:rFonts w:ascii="Garamond" w:cs="Garamond" w:eastAsia="Garamond" w:hAnsi="Garamond"/>
          <w:sz w:val="24"/>
          <w:szCs w:val="24"/>
        </w:rPr>
        <w:t xml:space="preserve">Pour un produit donné, le taux de pertes rapporte les quantités perdues après la récolte à la production.</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TPR</m:t>
            </m:r>
          </m:e>
          <m:sub>
            <m:r>
              <m:t>i,t</m:t>
            </m:r>
          </m:sub>
        </m:sSub>
        <m:r>
          <m:t>=</m:t>
        </m:r>
        <m:f>
          <m:num>
            <m:r>
              <m:t>Pertes post-récolte</m:t>
            </m:r>
            <m:sSub>
              <m:sSubPr/>
              <m:e>
                <m:r>
                  <m:t/>
                </m:r>
              </m:e>
              <m:sub>
                <m:r>
                  <m:t>i,t</m:t>
                </m:r>
              </m:sub>
            </m:sSub>
          </m:num>
          <m:den>
            <m:sSub>
              <m:sSubPr/>
              <m:e>
                <m:r>
                  <m:t>Production</m:t>
                </m:r>
              </m:e>
              <m:sub>
                <m:r>
                  <m:t>i,t</m:t>
                </m:r>
              </m:sub>
            </m:sSub>
          </m:den>
        </m:f>
        <m:r>
          <m:t>×100</m:t>
        </m:r>
      </m:oMath>
      <w:r>
        <w:rPr>
          <w:rFonts w:ascii="Garamond" w:cs="Garamond" w:eastAsia="Garamond" w:hAnsi="Garamond"/>
          <w:color w:val="4A4A4A"/>
          <w:sz w:val="22"/>
          <w:szCs w:val="22"/>
        </w:rPr>
        <w:t xml:space="preserve">	(15)</w:t>
      </w:r>
    </w:p>
    <w:p>
      <w:pPr>
        <w:spacing w:after="140" w:before="0" w:line="276" w:lineRule="auto"/>
        <w:jc w:val="both"/>
      </w:pPr>
      <w:r>
        <w:rPr>
          <w:rFonts w:ascii="Garamond" w:cs="Garamond" w:eastAsia="Garamond" w:hAnsi="Garamond"/>
          <w:sz w:val="24"/>
          <w:szCs w:val="24"/>
        </w:rPr>
        <w:t xml:space="preserve">Le périmètre couvre les pertes intervenant entre la récolte et l’entrée en transformation ou la mise sur le marché, c’est-à-dire lors de la manutention, du stockage et du transport.</w:t>
      </w:r>
    </w:p>
    <w:p>
      <w:pPr>
        <w:pBdr>
          <w:top w:val="single" w:color="B7C9BE" w:sz="4" w:space="6"/>
          <w:bottom w:val="single" w:color="B7C9BE" w:sz="4" w:space="6"/>
        </w:pBdr>
        <w:spacing w:after="200" w:before="120"/>
        <w:jc w:val="center"/>
      </w:pPr>
      <w:r>
        <w:rPr>
          <w:rFonts w:ascii="Garamond" w:cs="Garamond" w:eastAsia="Garamond" w:hAnsi="Garamond"/>
          <w:i/>
          <w:iCs/>
          <w:color w:val="1F4E3D"/>
          <w:sz w:val="24"/>
          <w:szCs w:val="24"/>
        </w:rPr>
        <w:t xml:space="preserve">Récolte  →  manutention  →  stockage  →  transport  →  entrée en transformation ou mise sur le marché</w:t>
      </w:r>
    </w:p>
    <w:p>
      <w:pPr>
        <w:spacing w:after="140" w:before="0" w:line="276" w:lineRule="auto"/>
        <w:jc w:val="both"/>
      </w:pPr>
      <w:r>
        <w:rPr>
          <w:rFonts w:ascii="Garamond" w:cs="Garamond" w:eastAsia="Garamond" w:hAnsi="Garamond"/>
          <w:sz w:val="24"/>
          <w:szCs w:val="24"/>
        </w:rPr>
        <w:t xml:space="preserve">Ce périmètre est cohérent avec celui de l’indice des pertes alimentaires de la FAO (indicateur ODD 12.3.1a), qui couvre les pertes de la production jusqu’au commerce de détail exclu (FAO, 2019). L’agrégation nationale s’effectue par moyenne pondérée.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TPR</m:t>
            </m:r>
          </m:e>
          <m:sub>
            <m:r>
              <m:t>t</m:t>
            </m:r>
          </m:sub>
        </m:sSub>
        <m:r>
          <m:t>=</m:t>
        </m:r>
        <m:nary>
          <m:naryPr>
            <m:chr m:val="∑"/>
            <m:limLoc m:val="undOvr"/>
            <m:supHide m:val="1"/>
          </m:naryPr>
          <m:sub>
            <m:r>
              <m:t>i</m:t>
            </m:r>
          </m:sub>
          <m:sup/>
          <m:e>
            <m:sSubSup>
              <m:sSubSupPr/>
              <m:e>
                <m:r>
                  <m:t>w</m:t>
                </m:r>
              </m:e>
              <m:sub>
                <m:r>
                  <m:t>i</m:t>
                </m:r>
              </m:sub>
              <m:sup>
                <m:r>
                  <m:t>0</m:t>
                </m:r>
              </m:sup>
            </m:sSubSup>
            <m:sSub>
              <m:sSubPr/>
              <m:e>
                <m:r>
                  <m:t>TPR</m:t>
                </m:r>
              </m:e>
              <m:sub>
                <m:r>
                  <m:t>i,t</m:t>
                </m:r>
              </m:sub>
            </m:sSub>
          </m:e>
        </m:nary>
      </m:oMath>
      <w:r>
        <w:rPr>
          <w:rFonts w:ascii="Garamond" w:cs="Garamond" w:eastAsia="Garamond" w:hAnsi="Garamond"/>
          <w:color w:val="4A4A4A"/>
          <w:sz w:val="22"/>
          <w:szCs w:val="22"/>
        </w:rPr>
        <w:t xml:space="preserve">	(16)</w:t>
      </w:r>
    </w:p>
    <w:p>
      <w:pPr>
        <w:spacing w:after="140" w:before="0" w:line="276" w:lineRule="auto"/>
        <w:jc w:val="both"/>
      </w:pPr>
      <w:r>
        <w:rPr>
          <w:rFonts w:ascii="Garamond" w:cs="Garamond" w:eastAsia="Garamond" w:hAnsi="Garamond"/>
          <w:sz w:val="24"/>
          <w:szCs w:val="24"/>
        </w:rPr>
        <w:t xml:space="preserve">Le choix de la pondération appelle un examen particulier, car il détermine ce que l’indicateur représente. Trois options ont été comparées, sans modifier le principe de l’indicateur.</w:t>
      </w:r>
    </w:p>
    <w:p>
      <w:pPr>
        <w:keepNext/>
        <w:spacing w:after="80" w:before="200"/>
      </w:pPr>
      <w:r>
        <w:rPr>
          <w:rFonts w:ascii="Garamond" w:cs="Garamond" w:eastAsia="Garamond" w:hAnsi="Garamond"/>
          <w:b/>
          <w:bCs/>
          <w:color w:val="1F4E3D"/>
          <w:sz w:val="21"/>
          <w:szCs w:val="21"/>
        </w:rPr>
        <w:t xml:space="preserve">Tableau 2. </w:t>
      </w:r>
      <w:r>
        <w:rPr>
          <w:rFonts w:ascii="Garamond" w:cs="Garamond" w:eastAsia="Garamond" w:hAnsi="Garamond"/>
          <w:i/>
          <w:iCs/>
          <w:color w:val="4A4A4A"/>
          <w:sz w:val="21"/>
          <w:szCs w:val="21"/>
        </w:rPr>
        <w:t xml:space="preserve">Options de pondération du taux de pertes post-récolte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585"/>
        <w:gridCol w:w="3585"/>
      </w:tblGrid>
      <w:tr>
        <w:trPr>
          <w:cantSplit/>
          <w:tblHeader/>
        </w:trPr>
        <w:tc>
          <w:tcPr>
            <w:tcW w:type="dxa" w:w="19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Pondération</w:t>
            </w:r>
          </w:p>
        </w:tc>
        <w:tc>
          <w:tcPr>
            <w:tcW w:type="dxa" w:w="3585"/>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Ce que mesure l’agrégat</w:t>
            </w:r>
          </w:p>
        </w:tc>
        <w:tc>
          <w:tcPr>
            <w:tcW w:type="dxa" w:w="3585"/>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Appréciation</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Quantités produites (tonnes)</w:t>
            </w:r>
          </w:p>
        </w:tc>
        <w:tc>
          <w:tcPr>
            <w:tcW w:type="dxa" w:w="35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Part des tonnages perdus.</w:t>
            </w:r>
          </w:p>
        </w:tc>
        <w:tc>
          <w:tcPr>
            <w:tcW w:type="dxa" w:w="35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À écarter : elle donne un poids excessif aux produits pondéreux et riches en eau (tubercules, plantain) et additionne des grandeurs non homogènes.</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Calories</w:t>
            </w:r>
          </w:p>
        </w:tc>
        <w:tc>
          <w:tcPr>
            <w:tcW w:type="dxa" w:w="35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Part de l’énergie alimentaire perdue.</w:t>
            </w:r>
          </w:p>
        </w:tc>
        <w:tc>
          <w:tcPr>
            <w:tcW w:type="dxa" w:w="35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Pertinente pour une lecture de sécurité alimentaire, mais elle ignore les produits non alimentaires ou peu caloriques à forte valeur (cacao, anacarde).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Valeur de la production de référence, à prix constants</w:t>
            </w:r>
          </w:p>
        </w:tc>
        <w:tc>
          <w:tcPr>
            <w:tcW w:type="dxa" w:w="35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Part de la valeur économique perdue.</w:t>
            </w:r>
          </w:p>
        </w:tc>
        <w:tc>
          <w:tcPr>
            <w:tcW w:type="dxa" w:w="35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Recommandée. Cohérente avec l’objet de l’axe (compétitivité) et avec la méthode de la FAO pour l’ODD 12.3.1a, qui pondère par la valeur de la production à prix constants fixée sur une année de base.</w:t>
            </w:r>
          </w:p>
        </w:tc>
      </w:tr>
    </w:tbl>
    <w:p>
      <w:pPr>
        <w:spacing w:after="200" w:before="60"/>
      </w:pPr>
      <w:r>
        <w:rPr>
          <w:rFonts w:ascii="Garamond" w:cs="Garamond" w:eastAsia="Garamond" w:hAnsi="Garamond"/>
          <w:i/>
          <w:iCs/>
          <w:color w:val="4A4A4A"/>
          <w:sz w:val="18"/>
          <w:szCs w:val="18"/>
        </w:rPr>
        <w:t xml:space="preserve">Source : analyse des auteurs ; FAO, métadonnées de l’indicateur ODD 12.3.1a.</w:t>
      </w:r>
    </w:p>
    <w:p>
      <w:pPr>
        <w:spacing w:after="140" w:before="0" w:line="276" w:lineRule="auto"/>
        <w:jc w:val="both"/>
      </w:pPr>
      <w:r>
        <w:rPr>
          <w:rFonts w:ascii="Garamond" w:cs="Garamond" w:eastAsia="Garamond" w:hAnsi="Garamond"/>
          <w:sz w:val="24"/>
          <w:szCs w:val="24"/>
        </w:rPr>
        <w:t xml:space="preserve">La pondération par la valeur de la production de la période de référence est donc recommandée ; une variante calorique peut être publiée en complément pour la lecture de sécurité alimentaire. La mesure elle-même impose trois distinctions. Les pertes quantitatives, qui correspondent à une disparition physique du produit, constituent l’objet de l’indicateur. Les pertes qualitatives, qui se traduisent par une dépréciation (moisissures, contamination, déclassement) sans perte de poids, doivent être suivies séparément, en sous-indicateur, car elles ne s’additionnent pas aux tonnages. Le gaspillage alimentaire au stade de la distribution et de la consommation relève d’un autre indicateur (ODD 12.3.1b) et n’entre pas dans ce périmètre.</w:t>
      </w:r>
    </w:p>
    <w:p>
      <w:pPr>
        <w:spacing w:after="140" w:before="0" w:line="276" w:lineRule="auto"/>
        <w:jc w:val="both"/>
      </w:pPr>
      <w:r>
        <w:rPr>
          <w:rFonts w:ascii="Garamond" w:cs="Garamond" w:eastAsia="Garamond" w:hAnsi="Garamond"/>
          <w:sz w:val="24"/>
          <w:szCs w:val="24"/>
        </w:rPr>
        <w:t xml:space="preserve">Les travaux de synthèse sur l’Afrique subsaharienne montrent la forte variabilité des estimations selon les produits, les étapes et les méthodes de mesure (Affognon et al., 2015 ; Hodges et al., 2011). Pour les céréales, le système APHLIS fournit des estimations modélisées par étape ; pour les autres produits, un dispositif d’enquêtes périodiques est nécessaire.</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Liste des produits couverts, en cohérence avec les produits à forte valeur de production retenus pour l’ODD 12.3.1a.</w:t>
      </w:r>
    </w:p>
    <w:p>
      <w:pPr>
        <w:pStyle w:val="ListParagraph"/>
        <w:numPr>
          <w:ilvl w:val="0"/>
          <w:numId w:val="2"/>
        </w:numPr>
        <w:spacing w:after="80" w:line="264" w:lineRule="auto"/>
        <w:jc w:val="both"/>
      </w:pPr>
      <w:r>
        <w:rPr>
          <w:rFonts w:ascii="Garamond" w:cs="Garamond" w:eastAsia="Garamond" w:hAnsi="Garamond"/>
          <w:sz w:val="22"/>
          <w:szCs w:val="22"/>
        </w:rPr>
        <w:t xml:space="preserve">Méthode de mesure par produit (enquêtes, modélisation APHLIS, coefficients de filière) et fréquence des enquêtes approfondies.</w:t>
      </w:r>
    </w:p>
    <w:p>
      <w:pPr>
        <w:pStyle w:val="ListParagraph"/>
        <w:numPr>
          <w:ilvl w:val="0"/>
          <w:numId w:val="2"/>
        </w:numPr>
        <w:spacing w:after="80" w:line="264" w:lineRule="auto"/>
        <w:jc w:val="both"/>
      </w:pPr>
      <w:r>
        <w:rPr>
          <w:rFonts w:ascii="Garamond" w:cs="Garamond" w:eastAsia="Garamond" w:hAnsi="Garamond"/>
          <w:sz w:val="22"/>
          <w:szCs w:val="22"/>
        </w:rPr>
        <w:t xml:space="preserve">Définition opérationnelle des pertes qualitatives pour le sous-indicateur.</w:t>
      </w:r>
    </w:p>
    <w:p>
      <w:pPr>
        <w:pStyle w:val="Heading2"/>
      </w:pPr>
      <w:r>
        <w:t xml:space="preserve">4.4. Indicateur 2.3 — Taux de transformation nationale des produits agricoles</w:t>
      </w:r>
    </w:p>
    <w:p>
      <w:pPr>
        <w:spacing w:after="140" w:before="0" w:line="276" w:lineRule="auto"/>
        <w:jc w:val="both"/>
      </w:pPr>
      <w:r>
        <w:rPr>
          <w:rFonts w:ascii="Garamond" w:cs="Garamond" w:eastAsia="Garamond" w:hAnsi="Garamond"/>
          <w:sz w:val="24"/>
          <w:szCs w:val="24"/>
        </w:rPr>
        <w:t xml:space="preserve">Pour chaque produit, le taux de transformation rapporte la quantité transformée en Côte d’Ivoire à la production nationale disponible pour la transformation.</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TT</m:t>
            </m:r>
          </m:e>
          <m:sub>
            <m:r>
              <m:t>i,t</m:t>
            </m:r>
          </m:sub>
        </m:sSub>
        <m:r>
          <m:t>=</m:t>
        </m:r>
        <m:f>
          <m:num>
            <m:r>
              <m:t xml:space="preserve">Quantité du produit </m:t>
            </m:r>
            <m:r>
              <m:t>i</m:t>
            </m:r>
            <m:r>
              <m:t xml:space="preserve"> transformée en Côte d'Ivoire</m:t>
            </m:r>
          </m:num>
          <m:den>
            <m:r>
              <m:t xml:space="preserve">Production nationale du produit </m:t>
            </m:r>
            <m:r>
              <m:t>i</m:t>
            </m:r>
            <m:r>
              <m:t xml:space="preserve"> disponible pour transformation</m:t>
            </m:r>
          </m:den>
        </m:f>
        <m:r>
          <m:t>×100</m:t>
        </m:r>
      </m:oMath>
      <w:r>
        <w:rPr>
          <w:rFonts w:ascii="Garamond" w:cs="Garamond" w:eastAsia="Garamond" w:hAnsi="Garamond"/>
          <w:color w:val="4A4A4A"/>
          <w:sz w:val="22"/>
          <w:szCs w:val="22"/>
        </w:rPr>
        <w:t xml:space="preserve">	(17)</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TT</m:t>
            </m:r>
          </m:e>
          <m:sub>
            <m:r>
              <m:t>t</m:t>
            </m:r>
          </m:sub>
        </m:sSub>
        <m:r>
          <m:t>=</m:t>
        </m:r>
        <m:nary>
          <m:naryPr>
            <m:chr m:val="∑"/>
            <m:limLoc m:val="undOvr"/>
            <m:supHide m:val="1"/>
          </m:naryPr>
          <m:sub>
            <m:r>
              <m:t>i</m:t>
            </m:r>
          </m:sub>
          <m:sup/>
          <m:e>
            <m:sSubSup>
              <m:sSubSupPr/>
              <m:e>
                <m:r>
                  <m:t>w</m:t>
                </m:r>
              </m:e>
              <m:sub>
                <m:r>
                  <m:t>i</m:t>
                </m:r>
              </m:sub>
              <m:sup>
                <m:r>
                  <m:t>0</m:t>
                </m:r>
              </m:sup>
            </m:sSubSup>
            <m:sSub>
              <m:sSubPr/>
              <m:e>
                <m:r>
                  <m:t>TT</m:t>
                </m:r>
              </m:e>
              <m:sub>
                <m:r>
                  <m:t>i,t</m:t>
                </m:r>
              </m:sub>
            </m:sSub>
          </m:e>
        </m:nary>
      </m:oMath>
      <w:r>
        <w:rPr>
          <w:rFonts w:ascii="Garamond" w:cs="Garamond" w:eastAsia="Garamond" w:hAnsi="Garamond"/>
          <w:color w:val="4A4A4A"/>
          <w:sz w:val="22"/>
          <w:szCs w:val="22"/>
        </w:rPr>
        <w:t xml:space="preserve">	(18)</w:t>
      </w:r>
    </w:p>
    <w:p>
      <w:pPr>
        <w:spacing w:after="140" w:before="0" w:line="276" w:lineRule="auto"/>
        <w:jc w:val="both"/>
      </w:pPr>
      <w:r>
        <w:rPr>
          <w:rFonts w:ascii="Garamond" w:cs="Garamond" w:eastAsia="Garamond" w:hAnsi="Garamond"/>
          <w:sz w:val="24"/>
          <w:szCs w:val="24"/>
        </w:rPr>
        <w:t xml:space="preserve">La pondération retenue est la part de chaque filière dans la valeur de la production agricole de la période de référence. Elle permet de représenter à la fois les filières d’exportation, qui dominent la valeur de la production, et les filières tournées vers le marché intérieur, qui pèsent dans l’emploi et la sécurité alimentaire. Une pondération par les exportations ferait disparaître ces dernières ; une pondération par les tonnages surreprésenterait les produits pondéreux.</w:t>
      </w:r>
    </w:p>
    <w:p>
      <w:pPr>
        <w:spacing w:after="140" w:before="0" w:line="276" w:lineRule="auto"/>
        <w:jc w:val="both"/>
      </w:pPr>
      <w:r>
        <w:rPr>
          <w:rFonts w:ascii="Garamond" w:cs="Garamond" w:eastAsia="Garamond" w:hAnsi="Garamond"/>
          <w:sz w:val="24"/>
          <w:szCs w:val="24"/>
        </w:rPr>
        <w:t xml:space="preserve">Le numérateur doit se rapporter à un stade de transformation de référence défini à l’avance pour chaque filière. Sans cette précaution, l’indicateur mêlerait des opérations de conditionnement primaire, presque systématiques, et des transformations créatrices de valeur. Le tableau suivant propose une première grille, à valider avec les organes de régulation des filières.</w:t>
      </w:r>
    </w:p>
    <w:p>
      <w:pPr>
        <w:keepNext/>
        <w:spacing w:after="80" w:before="200"/>
      </w:pPr>
      <w:r>
        <w:rPr>
          <w:rFonts w:ascii="Garamond" w:cs="Garamond" w:eastAsia="Garamond" w:hAnsi="Garamond"/>
          <w:b/>
          <w:bCs/>
          <w:color w:val="1F4E3D"/>
          <w:sz w:val="21"/>
          <w:szCs w:val="21"/>
        </w:rPr>
        <w:t xml:space="preserve">Tableau 3. </w:t>
      </w:r>
      <w:r>
        <w:rPr>
          <w:rFonts w:ascii="Garamond" w:cs="Garamond" w:eastAsia="Garamond" w:hAnsi="Garamond"/>
          <w:i/>
          <w:iCs/>
          <w:color w:val="4A4A4A"/>
          <w:sz w:val="21"/>
          <w:szCs w:val="21"/>
        </w:rPr>
        <w:t xml:space="preserve">Stades de transformation de référence proposés par filière (à valider)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3935"/>
        <w:gridCol w:w="3435"/>
      </w:tblGrid>
      <w:tr>
        <w:trPr>
          <w:cantSplit/>
          <w:tblHeader/>
        </w:trPr>
        <w:tc>
          <w:tcPr>
            <w:tcW w:type="dxa" w:w="17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Filière</w:t>
            </w:r>
          </w:p>
        </w:tc>
        <w:tc>
          <w:tcPr>
            <w:tcW w:type="dxa" w:w="3935"/>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Stade de référence proposé</w:t>
            </w:r>
          </w:p>
        </w:tc>
        <w:tc>
          <w:tcPr>
            <w:tcW w:type="dxa" w:w="3435"/>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Point d’attention</w:t>
            </w:r>
          </w:p>
        </w:tc>
      </w:tr>
      <w:tr>
        <w:trPr>
          <w:cantSplit/>
        </w:trPr>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Cacao</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Broyage des fèves (production de liqueur, beurre, tourteau ou poudre)</w:t>
            </w:r>
          </w:p>
        </w:tc>
        <w:tc>
          <w:tcPr>
            <w:tcW w:type="dxa" w:w="34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Aligner campagne et année civile ; exclure les fèves d’origine étrangère.</w:t>
            </w:r>
          </w:p>
        </w:tc>
      </w:tr>
      <w:tr>
        <w:trPr>
          <w:cantSplit/>
        </w:trPr>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Anacarde</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Décorticage des noix brutes en amandes</w:t>
            </w:r>
          </w:p>
        </w:tc>
        <w:tc>
          <w:tcPr>
            <w:tcW w:type="dxa" w:w="34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Exprimer le numérateur en équivalent noix brutes.</w:t>
            </w:r>
          </w:p>
        </w:tc>
      </w:tr>
      <w:tr>
        <w:trPr>
          <w:cantSplit/>
        </w:trPr>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Hévéa</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Usinage du caoutchouc naturel</w:t>
            </w:r>
          </w:p>
        </w:tc>
        <w:tc>
          <w:tcPr>
            <w:tcW w:type="dxa" w:w="34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Exclure le caoutchouc importé des pays voisins.</w:t>
            </w:r>
          </w:p>
        </w:tc>
      </w:tr>
      <w:tr>
        <w:trPr>
          <w:cantSplit/>
        </w:trPr>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Palmier à huile</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Extraction de l’huile brute, puis raffinage (deux sous-taux)</w:t>
            </w:r>
          </w:p>
        </w:tc>
        <w:tc>
          <w:tcPr>
            <w:tcW w:type="dxa" w:w="34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Distinguer extraction industrielle et artisanale.</w:t>
            </w:r>
          </w:p>
        </w:tc>
      </w:tr>
      <w:tr>
        <w:trPr>
          <w:cantSplit/>
        </w:trPr>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Coton</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Stade postérieur à l’égrenage (filature, transformation de la fibre)</w:t>
            </w:r>
          </w:p>
        </w:tc>
        <w:tc>
          <w:tcPr>
            <w:tcW w:type="dxa" w:w="34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L’égrenage, quasi systématique, n’est pas discriminant.</w:t>
            </w:r>
          </w:p>
        </w:tc>
      </w:tr>
      <w:tr>
        <w:trPr>
          <w:cantSplit/>
        </w:trPr>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Café</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Torréfaction ou solubilisation</w:t>
            </w:r>
          </w:p>
        </w:tc>
        <w:tc>
          <w:tcPr>
            <w:tcW w:type="dxa" w:w="34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Faibles volumes ; forte valeur unitaire.</w:t>
            </w:r>
          </w:p>
        </w:tc>
      </w:tr>
      <w:tr>
        <w:trPr>
          <w:cantSplit/>
        </w:trPr>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Produits vivriers (manioc, riz, maïs, etc.)</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Transformation semi-industrielle ou industrielle</w:t>
            </w:r>
          </w:p>
        </w:tc>
        <w:tc>
          <w:tcPr>
            <w:tcW w:type="dxa" w:w="34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Données dispersées ; périmètre à arrêter.</w:t>
            </w:r>
          </w:p>
        </w:tc>
      </w:tr>
    </w:tbl>
    <w:p>
      <w:pPr>
        <w:spacing w:after="200" w:before="60"/>
      </w:pPr>
      <w:r>
        <w:rPr>
          <w:rFonts w:ascii="Garamond" w:cs="Garamond" w:eastAsia="Garamond" w:hAnsi="Garamond"/>
          <w:i/>
          <w:iCs/>
          <w:color w:val="4A4A4A"/>
          <w:sz w:val="18"/>
          <w:szCs w:val="18"/>
        </w:rPr>
        <w:t xml:space="preserve">Source : proposition méthodologique à valider ; aucun taux n’est avancé à ce stade.</w:t>
      </w:r>
    </w:p>
    <w:p>
      <w:pPr>
        <w:spacing w:after="140" w:before="0" w:line="276" w:lineRule="auto"/>
        <w:jc w:val="both"/>
      </w:pPr>
      <w:r>
        <w:rPr>
          <w:rFonts w:ascii="Garamond" w:cs="Garamond" w:eastAsia="Garamond" w:hAnsi="Garamond"/>
          <w:sz w:val="24"/>
          <w:szCs w:val="24"/>
        </w:rPr>
        <w:t xml:space="preserve">Le dénominateur doit, lui aussi, être défini par filière. La « production disponible pour transformation » exclut l’autoconsommation et les ventes en frais lorsque la filière n’a pas vocation à les transformer. Les matières premières importées pour transformation doivent être exclues du numérateur, faute de quoi le taux pourrait dépasser 100 % sans refléter la transformation de la production nationale. Les résultats sont présentés séparément par grande filière dès qu’ils sont disponibles, l’agrégat national n’ayant de sens qu’accompagné de sa décomposition.</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Liste des filières couvertes et stade de référence de chacune.</w:t>
      </w:r>
    </w:p>
    <w:p>
      <w:pPr>
        <w:pStyle w:val="ListParagraph"/>
        <w:numPr>
          <w:ilvl w:val="0"/>
          <w:numId w:val="2"/>
        </w:numPr>
        <w:spacing w:after="80" w:line="264" w:lineRule="auto"/>
        <w:jc w:val="both"/>
      </w:pPr>
      <w:r>
        <w:rPr>
          <w:rFonts w:ascii="Garamond" w:cs="Garamond" w:eastAsia="Garamond" w:hAnsi="Garamond"/>
          <w:sz w:val="22"/>
          <w:szCs w:val="22"/>
        </w:rPr>
        <w:t xml:space="preserve">Coefficients de conversion en équivalent matière première.</w:t>
      </w:r>
    </w:p>
    <w:p>
      <w:pPr>
        <w:pStyle w:val="ListParagraph"/>
        <w:numPr>
          <w:ilvl w:val="0"/>
          <w:numId w:val="2"/>
        </w:numPr>
        <w:spacing w:after="80" w:line="264" w:lineRule="auto"/>
        <w:jc w:val="both"/>
      </w:pPr>
      <w:r>
        <w:rPr>
          <w:rFonts w:ascii="Garamond" w:cs="Garamond" w:eastAsia="Garamond" w:hAnsi="Garamond"/>
          <w:sz w:val="22"/>
          <w:szCs w:val="22"/>
        </w:rPr>
        <w:t xml:space="preserve">Méthode d’identification de l’origine nationale de la matière première transformée.</w:t>
      </w:r>
    </w:p>
    <w:p>
      <w:pPr>
        <w:pStyle w:val="Heading3"/>
      </w:pPr>
      <w:r>
        <w:t xml:space="preserve">Indicateurs complémentaires (à titre secondaire)</w:t>
      </w:r>
    </w:p>
    <w:p>
      <w:pPr>
        <w:spacing w:after="140" w:before="0" w:line="276" w:lineRule="auto"/>
        <w:jc w:val="both"/>
      </w:pPr>
      <w:r>
        <w:rPr>
          <w:rFonts w:ascii="Garamond" w:cs="Garamond" w:eastAsia="Garamond" w:hAnsi="Garamond"/>
          <w:sz w:val="24"/>
          <w:szCs w:val="24"/>
        </w:rPr>
        <w:t xml:space="preserve">Les indicateurs suivants peuvent éclairer la lecture des indicateurs principaux. Ils ne font pas partie du tableau de bord principal et ne se substituent à aucun indicateur retenu.</w:t>
      </w:r>
    </w:p>
    <w:p>
      <w:pPr>
        <w:pStyle w:val="ListParagraph"/>
        <w:numPr>
          <w:ilvl w:val="0"/>
          <w:numId w:val="2"/>
        </w:numPr>
        <w:spacing w:after="80" w:line="264" w:lineRule="auto"/>
        <w:jc w:val="both"/>
      </w:pPr>
      <w:r>
        <w:rPr>
          <w:rFonts w:ascii="Garamond" w:cs="Garamond" w:eastAsia="Garamond" w:hAnsi="Garamond"/>
          <w:sz w:val="24"/>
          <w:szCs w:val="24"/>
        </w:rPr>
        <w:t xml:space="preserve">Parts de marché mondiales des principaux produits exportés et indice d’avantage comparatif révélé (Balassa), qui mesurent le résultat commercial.</w:t>
      </w:r>
    </w:p>
    <w:p>
      <w:pPr>
        <w:pStyle w:val="ListParagraph"/>
        <w:numPr>
          <w:ilvl w:val="0"/>
          <w:numId w:val="2"/>
        </w:numPr>
        <w:spacing w:after="80" w:line="264" w:lineRule="auto"/>
        <w:jc w:val="both"/>
      </w:pPr>
      <w:r>
        <w:rPr>
          <w:rFonts w:ascii="Garamond" w:cs="Garamond" w:eastAsia="Garamond" w:hAnsi="Garamond"/>
          <w:sz w:val="24"/>
          <w:szCs w:val="24"/>
        </w:rPr>
        <w:t xml:space="preserve">Productivité totale des facteurs agricoles (USDA ERS, International Agricultural Productivity) et valeur ajoutée agricole par actif.</w:t>
      </w:r>
    </w:p>
    <w:p>
      <w:pPr>
        <w:pStyle w:val="ListParagraph"/>
        <w:numPr>
          <w:ilvl w:val="0"/>
          <w:numId w:val="2"/>
        </w:numPr>
        <w:spacing w:after="80" w:line="264" w:lineRule="auto"/>
        <w:jc w:val="both"/>
      </w:pPr>
      <w:r>
        <w:rPr>
          <w:rFonts w:ascii="Garamond" w:cs="Garamond" w:eastAsia="Garamond" w:hAnsi="Garamond"/>
          <w:sz w:val="24"/>
          <w:szCs w:val="24"/>
        </w:rPr>
        <w:t xml:space="preserve">Part des produits transformés dans la valeur des exportations agricoles.</w:t>
      </w:r>
    </w:p>
    <w:p>
      <w:pPr>
        <w:pStyle w:val="Heading1"/>
        <w:pageBreakBefore/>
      </w:pPr>
      <w:r>
        <w:t xml:space="preserve">5. Accès au financement agricole</w:t>
      </w:r>
    </w:p>
    <w:p>
      <w:pPr>
        <w:pStyle w:val="Heading2"/>
      </w:pPr>
      <w:r>
        <w:t xml:space="preserve">5.1. Définition retenue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1F4E3D" w:sz="24"/>
              <w:bottom w:val="none" w:color="FFFFFF" w:sz="0"/>
              <w:right w:val="none" w:color="FFFFFF" w:sz="0"/>
            </w:tcBorders>
            <w:shd w:fill="EDF3EF" w:color="auto" w:val="clear"/>
            <w:tcMar>
              <w:top w:type="dxa" w:w="140"/>
              <w:left w:type="dxa" w:w="220"/>
              <w:bottom w:type="dxa" w:w="100"/>
              <w:right w:type="dxa" w:w="220"/>
            </w:tcMar>
          </w:tcPr>
          <w:p>
            <w:pPr>
              <w:spacing w:after="40" w:line="276" w:lineRule="auto"/>
              <w:jc w:val="both"/>
            </w:pPr>
            <w:r>
              <w:rPr>
                <w:rFonts w:ascii="Garamond" w:cs="Garamond" w:eastAsia="Garamond" w:hAnsi="Garamond"/>
                <w:i/>
                <w:iCs/>
                <w:sz w:val="24"/>
                <w:szCs w:val="24"/>
              </w:rPr>
              <w:t xml:space="preserve">« L’accès au financement agricole est la capacité effective des producteurs et des entreprises agricoles à mobiliser, au moment où ils en ont besoin, des ressources financières suffisantes et adaptées aux cycles, aux risques et aux besoins de leur activité, afin de financer la production, la trésorerie et les investissements agricoles. »</w:t>
            </w:r>
          </w:p>
        </w:tc>
      </w:tr>
    </w:tbl>
    <w:p>
      <w:pPr>
        <w:spacing w:after="120"/>
      </w:pPr>
    </w:p>
    <w:p>
      <w:pPr>
        <w:spacing w:after="140" w:before="0" w:line="276" w:lineRule="auto"/>
        <w:jc w:val="both"/>
      </w:pPr>
      <w:r>
        <w:rPr>
          <w:rFonts w:ascii="Garamond" w:cs="Garamond" w:eastAsia="Garamond" w:hAnsi="Garamond"/>
          <w:sz w:val="24"/>
          <w:szCs w:val="24"/>
        </w:rPr>
        <w:t xml:space="preserve">La définition insiste sur le caractère effectif de l’accès. Elle s’appuie sur un acquis ancien de l’économie du crédit : en présence d’asymétries d’information, le marché du crédit peut rationner durablement des emprunteurs solvables (Stiglitz et Weiss, 1981). En agriculture, ce rationnement prend plusieurs formes. Il peut porter sur les quantités, lorsque la demande est refusée ou partiellement servie ; il peut aussi résulter du risque, lorsque les emprunteurs renoncent à solliciter un crédit dont les garanties exigées leur feraient courir un risque excessif (Boucher, Carter et Guirkinger, 2008). Les travaux du CGAP montrent en outre que les besoins financiers des ménages agricoles diffèrent selon leur degré d’insertion dans des chaînes de valeur structurées (Christen et Anderson, 2013).</w:t>
      </w:r>
    </w:p>
    <w:p>
      <w:pPr>
        <w:spacing w:after="140" w:before="0" w:line="276" w:lineRule="auto"/>
        <w:jc w:val="both"/>
      </w:pPr>
      <w:r>
        <w:rPr>
          <w:rFonts w:ascii="Garamond" w:cs="Garamond" w:eastAsia="Garamond" w:hAnsi="Garamond"/>
          <w:sz w:val="24"/>
          <w:szCs w:val="24"/>
        </w:rPr>
        <w:t xml:space="preserve">Les trois indicateurs retenus saisissent trois facettes complémentaires : l’intensité de la satisfaction de la demande, mesurée en montants ; l’étendue de l’accès, mesurée en nombre d’acteurs ; la qualité du financement, appréciée par sa maturité.</w:t>
      </w:r>
    </w:p>
    <w:p>
      <w:pPr>
        <w:pBdr>
          <w:top w:val="single" w:color="B7C9BE" w:sz="4" w:space="6"/>
          <w:bottom w:val="single" w:color="B7C9BE" w:sz="4" w:space="6"/>
        </w:pBdr>
        <w:spacing w:after="200" w:before="120"/>
        <w:jc w:val="center"/>
      </w:pPr>
      <w:r>
        <w:rPr>
          <w:rFonts w:ascii="Garamond" w:cs="Garamond" w:eastAsia="Garamond" w:hAnsi="Garamond"/>
          <w:i/>
          <w:iCs/>
          <w:color w:val="1F4E3D"/>
          <w:sz w:val="24"/>
          <w:szCs w:val="24"/>
        </w:rPr>
        <w:t xml:space="preserve">Demande satisfaite  →  acteurs effectivement financés  →  financement adapté à l’investissement</w:t>
      </w:r>
    </w:p>
    <w:p>
      <w:pPr>
        <w:pStyle w:val="Heading2"/>
      </w:pPr>
      <w:r>
        <w:t xml:space="preserve">5.2. Indicateur 3.1 — Taux de couverture de la demande de financement agricole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TCF</m:t>
            </m:r>
          </m:e>
          <m:sub>
            <m:r>
              <m:t>t</m:t>
            </m:r>
          </m:sub>
        </m:sSub>
        <m:r>
          <m:t>=</m:t>
        </m:r>
        <m:f>
          <m:num>
            <m:r>
              <m:t>Montant des financements agricoles effectivement accordés</m:t>
            </m:r>
            <m:sSub>
              <m:sSubPr/>
              <m:e>
                <m:r>
                  <m:t/>
                </m:r>
              </m:e>
              <m:sub>
                <m:r>
                  <m:t>t</m:t>
                </m:r>
              </m:sub>
            </m:sSub>
          </m:num>
          <m:den>
            <m:r>
              <m:t>Montant total des financements agricoles formellement demandés</m:t>
            </m:r>
            <m:sSub>
              <m:sSubPr/>
              <m:e>
                <m:r>
                  <m:t/>
                </m:r>
              </m:e>
              <m:sub>
                <m:r>
                  <m:t>t</m:t>
                </m:r>
              </m:sub>
            </m:sSub>
          </m:den>
        </m:f>
        <m:r>
          <m:t>×100</m:t>
        </m:r>
      </m:oMath>
      <w:r>
        <w:rPr>
          <w:rFonts w:ascii="Garamond" w:cs="Garamond" w:eastAsia="Garamond" w:hAnsi="Garamond"/>
          <w:color w:val="4A4A4A"/>
          <w:sz w:val="22"/>
          <w:szCs w:val="22"/>
        </w:rPr>
        <w:t xml:space="preserve">	(19)</w:t>
      </w:r>
    </w:p>
    <w:p>
      <w:pPr>
        <w:spacing w:after="140" w:before="0" w:line="276" w:lineRule="auto"/>
        <w:jc w:val="both"/>
      </w:pPr>
      <w:r>
        <w:rPr>
          <w:rFonts w:ascii="Garamond" w:cs="Garamond" w:eastAsia="Garamond" w:hAnsi="Garamond"/>
          <w:sz w:val="24"/>
          <w:szCs w:val="24"/>
        </w:rPr>
        <w:t xml:space="preserve">L’indicateur rapporte des montants et non des nombres de dossiers, afin de saisir aussi le rationnement partiel, lorsque le crédit accordé est inférieur au crédit demandé. Il suppose de distinguer clairement trois notions de demande, dont l’emboîtement est présenté ci-dessous.</w:t>
      </w:r>
    </w:p>
    <w:p>
      <w:pPr>
        <w:keepNext/>
        <w:spacing w:after="80" w:before="200"/>
      </w:pPr>
      <w:r>
        <w:rPr>
          <w:rFonts w:ascii="Garamond" w:cs="Garamond" w:eastAsia="Garamond" w:hAnsi="Garamond"/>
          <w:b/>
          <w:bCs/>
          <w:color w:val="1F4E3D"/>
          <w:sz w:val="21"/>
          <w:szCs w:val="21"/>
        </w:rPr>
        <w:t xml:space="preserve">Tableau 4. </w:t>
      </w:r>
      <w:r>
        <w:rPr>
          <w:rFonts w:ascii="Garamond" w:cs="Garamond" w:eastAsia="Garamond" w:hAnsi="Garamond"/>
          <w:i/>
          <w:iCs/>
          <w:color w:val="4A4A4A"/>
          <w:sz w:val="21"/>
          <w:szCs w:val="21"/>
        </w:rPr>
        <w:t xml:space="preserve">Trois notions de demande de financement agricole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935"/>
        <w:gridCol w:w="3135"/>
      </w:tblGrid>
      <w:tr>
        <w:trPr>
          <w:cantSplit/>
          <w:tblHeader/>
        </w:trPr>
        <w:tc>
          <w:tcPr>
            <w:tcW w:type="dxa" w:w="20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Notion</w:t>
            </w:r>
          </w:p>
        </w:tc>
        <w:tc>
          <w:tcPr>
            <w:tcW w:type="dxa" w:w="3935"/>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Contenu</w:t>
            </w:r>
          </w:p>
        </w:tc>
        <w:tc>
          <w:tcPr>
            <w:tcW w:type="dxa" w:w="3135"/>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Usage dans le dispositif</w:t>
            </w:r>
          </w:p>
        </w:tc>
      </w:tr>
      <w:tr>
        <w:trPr>
          <w:cantSplit/>
        </w:trPr>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Besoin total de financement</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Ensemble des ressources nécessaires au financement de la production, de la trésorerie et de l’investissement, qu’une demande soit exprimée ou non.</w:t>
            </w:r>
          </w:p>
        </w:tc>
        <w:tc>
          <w:tcPr>
            <w:tcW w:type="dxa" w:w="31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Non observable de façon routinière ; estimations ponctuelles par enquête ou modélisation.</w:t>
            </w:r>
          </w:p>
        </w:tc>
      </w:tr>
      <w:tr>
        <w:trPr>
          <w:cantSplit/>
        </w:trPr>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Demande formellement exprimée</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Montants sollicités par un dossier déposé auprès d’une institution financière formelle.</w:t>
            </w:r>
          </w:p>
        </w:tc>
        <w:tc>
          <w:tcPr>
            <w:tcW w:type="dxa" w:w="31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Dénominateur opérationnel retenu pour le tableau de bord.</w:t>
            </w:r>
          </w:p>
        </w:tc>
      </w:tr>
      <w:tr>
        <w:trPr>
          <w:cantSplit/>
        </w:trPr>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Demande éligible ou solvable</w:t>
            </w:r>
          </w:p>
        </w:tc>
        <w:tc>
          <w:tcPr>
            <w:tcW w:type="dxa" w:w="39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Part de la demande exprimée qui satisfait les critères d’éligibilité de l’institution.</w:t>
            </w:r>
          </w:p>
        </w:tc>
        <w:tc>
          <w:tcPr>
            <w:tcW w:type="dxa" w:w="313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Analyse complémentaire des motifs de refus.</w:t>
            </w:r>
          </w:p>
        </w:tc>
      </w:tr>
    </w:tbl>
    <w:p>
      <w:pPr>
        <w:spacing w:after="200" w:before="60"/>
      </w:pPr>
      <w:r>
        <w:rPr>
          <w:rFonts w:ascii="Garamond" w:cs="Garamond" w:eastAsia="Garamond" w:hAnsi="Garamond"/>
          <w:i/>
          <w:iCs/>
          <w:color w:val="4A4A4A"/>
          <w:sz w:val="18"/>
          <w:szCs w:val="18"/>
        </w:rPr>
        <w:t xml:space="preserve">Source : analyse des auteurs.</w:t>
      </w:r>
    </w:p>
    <w:p>
      <w:pPr>
        <w:spacing w:after="140" w:before="0" w:line="276" w:lineRule="auto"/>
        <w:jc w:val="both"/>
      </w:pPr>
      <w:r>
        <w:rPr>
          <w:rFonts w:ascii="Garamond" w:cs="Garamond" w:eastAsia="Garamond" w:hAnsi="Garamond"/>
          <w:sz w:val="24"/>
          <w:szCs w:val="24"/>
        </w:rPr>
        <w:t xml:space="preserve">Le choix de la demande formellement exprimée comme dénominateur répond à une exigence de mesurabilité : c’est la seule notion enregistrée par les institutions financières. Il comporte une limite connue, celle des « emprunteurs découragés », c’est-à-dire des acteurs qui ont un besoin de financement mais ne déposent pas de demande parce qu’ils anticipent un refus (Kon et Storey, 2003). Si le découragement augmente, le dénominateur diminue et l’indicateur peut s’améliorer sans que l’accès réel progresse. Ce biais justifie la lecture conjointe avec l’indicateur 3.2, qui porte sur l’ensemble des acteurs, et l’introduction dans les enquêtes d’un module sur les motifs de non-demande.</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Définition du « financement agricole » : activités de production végétale, animale et halieutique, et, le cas échéant, première transformation.</w:t>
      </w:r>
    </w:p>
    <w:p>
      <w:pPr>
        <w:pStyle w:val="ListParagraph"/>
        <w:numPr>
          <w:ilvl w:val="0"/>
          <w:numId w:val="2"/>
        </w:numPr>
        <w:spacing w:after="80" w:line="264" w:lineRule="auto"/>
        <w:jc w:val="both"/>
      </w:pPr>
      <w:r>
        <w:rPr>
          <w:rFonts w:ascii="Garamond" w:cs="Garamond" w:eastAsia="Garamond" w:hAnsi="Garamond"/>
          <w:sz w:val="22"/>
          <w:szCs w:val="22"/>
        </w:rPr>
        <w:t xml:space="preserve">Dispositif de collecte : aucune série publique des montants demandés n’a été identifiée ; une déclaration périodique harmonisée des banques et des SFD doit être organisée.</w:t>
      </w:r>
    </w:p>
    <w:p>
      <w:pPr>
        <w:pStyle w:val="ListParagraph"/>
        <w:numPr>
          <w:ilvl w:val="0"/>
          <w:numId w:val="2"/>
        </w:numPr>
        <w:spacing w:after="80" w:line="264" w:lineRule="auto"/>
        <w:jc w:val="both"/>
      </w:pPr>
      <w:r>
        <w:rPr>
          <w:rFonts w:ascii="Garamond" w:cs="Garamond" w:eastAsia="Garamond" w:hAnsi="Garamond"/>
          <w:sz w:val="22"/>
          <w:szCs w:val="22"/>
        </w:rPr>
        <w:t xml:space="preserve">Règle de rattachement temporel : une demande déposée en fin d’année et accordée l’année suivante est rattachée à l’année de la demande.</w:t>
      </w:r>
    </w:p>
    <w:p>
      <w:pPr>
        <w:pStyle w:val="Heading2"/>
      </w:pPr>
      <w:r>
        <w:t xml:space="preserve">5.3. Indicateur 3.2 — Taux d’accès effectif des acteurs agricoles au financement formel</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TAF</m:t>
            </m:r>
          </m:e>
          <m:sub>
            <m:r>
              <m:t>t</m:t>
            </m:r>
          </m:sub>
        </m:sSub>
        <m:r>
          <m:t>=</m:t>
        </m:r>
        <m:f>
          <m:num>
            <m:r>
              <m:t>Nombre d'acteurs agricoles ayant obtenu un financement formel</m:t>
            </m:r>
          </m:num>
          <m:den>
            <m:r>
              <m:t>Nombre total d'acteurs agricoles</m:t>
            </m:r>
          </m:den>
        </m:f>
        <m:r>
          <m:t>×100</m:t>
        </m:r>
      </m:oMath>
      <w:r>
        <w:rPr>
          <w:rFonts w:ascii="Garamond" w:cs="Garamond" w:eastAsia="Garamond" w:hAnsi="Garamond"/>
          <w:color w:val="4A4A4A"/>
          <w:sz w:val="22"/>
          <w:szCs w:val="22"/>
        </w:rPr>
        <w:t xml:space="preserve">	(20)</w:t>
      </w:r>
    </w:p>
    <w:p>
      <w:pPr>
        <w:spacing w:after="140" w:before="0" w:line="276" w:lineRule="auto"/>
        <w:jc w:val="both"/>
      </w:pPr>
      <w:r>
        <w:rPr>
          <w:rFonts w:ascii="Garamond" w:cs="Garamond" w:eastAsia="Garamond" w:hAnsi="Garamond"/>
          <w:sz w:val="24"/>
          <w:szCs w:val="24"/>
        </w:rPr>
        <w:t xml:space="preserve">Le numérateur dénombre, sans double compte, les acteurs ayant obtenu au moins un financement au cours des douze derniers mois auprès d’une institution formelle réglementée. Sont inclus les financements provenant des banques, des systèmes financiers décentralisés (SFD) et des institutions de microfinance, des dispositifs publics formels et des autres institutions financières réglementées. La période de douze mois est celle du Global Findex de la Banque mondiale, ce qui facilite les rapprochements.</w:t>
      </w:r>
    </w:p>
    <w:p>
      <w:pPr>
        <w:spacing w:after="140" w:before="0" w:line="276" w:lineRule="auto"/>
        <w:jc w:val="both"/>
      </w:pPr>
      <w:r>
        <w:rPr>
          <w:rFonts w:ascii="Garamond" w:cs="Garamond" w:eastAsia="Garamond" w:hAnsi="Garamond"/>
          <w:sz w:val="24"/>
          <w:szCs w:val="24"/>
        </w:rPr>
        <w:t xml:space="preserve">La possession d’un compte, l’utilisation du mobile money ou les indicateurs généraux d’inclusion financière ne sont pas assimilés à un accès effectif au financement agricole. Ces indicateurs mesurent la détention d’un instrument ou l’usage de services de paiement, non l’obtention d’un financement destiné à l’activité agricole. De même, le crédit fournisseur, les avances des acheteurs et le crédit informel, pour importants qu’ils soient, ne relèvent pas du financement formel réglementé ; ils peuvent être suivis à titre complémentaire.</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Unité statistique : exploitation agricole, ménage agricole ou entreprise agricole ; le recensement des exploitants et exploitations agricoles (REEA) 2015-2016 fournit un dénominateur de référence, à actualiser.</w:t>
      </w:r>
    </w:p>
    <w:p>
      <w:pPr>
        <w:pStyle w:val="ListParagraph"/>
        <w:numPr>
          <w:ilvl w:val="0"/>
          <w:numId w:val="2"/>
        </w:numPr>
        <w:spacing w:after="80" w:line="264" w:lineRule="auto"/>
        <w:jc w:val="both"/>
      </w:pPr>
      <w:r>
        <w:rPr>
          <w:rFonts w:ascii="Garamond" w:cs="Garamond" w:eastAsia="Garamond" w:hAnsi="Garamond"/>
          <w:sz w:val="22"/>
          <w:szCs w:val="22"/>
        </w:rPr>
        <w:t xml:space="preserve">Source du numérateur : module harmonisé dans les enquêtes nationales auprès des ménages et des exploitations, à défaut de registre administratif consolidé des emprunteurs.</w:t>
      </w:r>
    </w:p>
    <w:p>
      <w:pPr>
        <w:pStyle w:val="ListParagraph"/>
        <w:numPr>
          <w:ilvl w:val="0"/>
          <w:numId w:val="2"/>
        </w:numPr>
        <w:spacing w:after="80" w:line="264" w:lineRule="auto"/>
        <w:jc w:val="both"/>
      </w:pPr>
      <w:r>
        <w:rPr>
          <w:rFonts w:ascii="Garamond" w:cs="Garamond" w:eastAsia="Garamond" w:hAnsi="Garamond"/>
          <w:sz w:val="22"/>
          <w:szCs w:val="22"/>
        </w:rPr>
        <w:t xml:space="preserve">Ventilations minimales : sexe du responsable, taille de l’exploitation, filière principale, région.</w:t>
      </w:r>
    </w:p>
    <w:p>
      <w:pPr>
        <w:pStyle w:val="Heading2"/>
      </w:pPr>
      <w:r>
        <w:t xml:space="preserve">5.4. Indicateur 3.3 — Part des financements agricoles à moyen et long terme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PMLT</m:t>
            </m:r>
          </m:e>
          <m:sub>
            <m:r>
              <m:t>t</m:t>
            </m:r>
          </m:sub>
        </m:sSub>
        <m:r>
          <m:t>=</m:t>
        </m:r>
        <m:f>
          <m:num>
            <m:r>
              <m:t>Crédits agricoles à moyen et long terme</m:t>
            </m:r>
            <m:sSub>
              <m:sSubPr/>
              <m:e>
                <m:r>
                  <m:t/>
                </m:r>
              </m:e>
              <m:sub>
                <m:r>
                  <m:t>t</m:t>
                </m:r>
              </m:sub>
            </m:sSub>
          </m:num>
          <m:den>
            <m:r>
              <m:t>Crédits agricoles totaux</m:t>
            </m:r>
            <m:sSub>
              <m:sSubPr/>
              <m:e>
                <m:r>
                  <m:t/>
                </m:r>
              </m:e>
              <m:sub>
                <m:r>
                  <m:t>t</m:t>
                </m:r>
              </m:sub>
            </m:sSub>
          </m:den>
        </m:f>
        <m:r>
          <m:t>×100</m:t>
        </m:r>
      </m:oMath>
      <w:r>
        <w:rPr>
          <w:rFonts w:ascii="Garamond" w:cs="Garamond" w:eastAsia="Garamond" w:hAnsi="Garamond"/>
          <w:color w:val="4A4A4A"/>
          <w:sz w:val="22"/>
          <w:szCs w:val="22"/>
        </w:rPr>
        <w:t xml:space="preserve">	(21)</w:t>
      </w:r>
    </w:p>
    <w:p>
      <w:pPr>
        <w:spacing w:after="140" w:before="0" w:line="276" w:lineRule="auto"/>
        <w:jc w:val="both"/>
      </w:pPr>
      <w:r>
        <w:rPr>
          <w:rFonts w:ascii="Garamond" w:cs="Garamond" w:eastAsia="Garamond" w:hAnsi="Garamond"/>
          <w:sz w:val="24"/>
          <w:szCs w:val="24"/>
        </w:rPr>
        <w:t xml:space="preserve">Cet indicateur distingue le financement de campagne et de trésorerie, principalement à court terme, du financement qui permet la mécanisation, l’irrigation, le renouvellement des plantations, le stockage et les autres investissements productifs. La transformation structurelle visée par la vision agricole suppose que la part du second progresse ; un système financier qui ne finance que les campagnes entretient une agriculture à faible capital.</w:t>
      </w:r>
    </w:p>
    <w:p>
      <w:pPr>
        <w:spacing w:after="140" w:before="0" w:line="276" w:lineRule="auto"/>
        <w:jc w:val="both"/>
      </w:pPr>
      <w:r>
        <w:rPr>
          <w:rFonts w:ascii="Garamond" w:cs="Garamond" w:eastAsia="Garamond" w:hAnsi="Garamond"/>
          <w:sz w:val="24"/>
          <w:szCs w:val="24"/>
        </w:rPr>
        <w:t xml:space="preserve">Les séries de la BCEAO sont examinées en priorité. La Centrale des risques publie, pour la Côte d’Ivoire, les utilisations de crédits déclarées ventilées par secteur d’activité (dont la branche « agriculture et chasse » et la branche « sylviculture, exploitation forestière et pêche ») et par terme, dans le Bulletin mensuel des statistiques. Ces données présentent trois limites à documenter. Elles portent sur des encours et non sur des mises en place, et les deux notions ne doivent pas être mélangées dans une même série. Elles ne couvrent que les crédits supérieurs au seuil de déclaration, ce qui sous-représente les petits crédits, notamment ceux des SFD. Enfin, le crédit aux exportateurs et aux agro-industries peut être classé dans le commerce ou l’industrie et échapper ainsi à la branche agricole.</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Seuils de durée définissant le court, le moyen et le long terme, à reprendre de la documentation de la BCEAO.</w:t>
      </w:r>
    </w:p>
    <w:p>
      <w:pPr>
        <w:pStyle w:val="ListParagraph"/>
        <w:numPr>
          <w:ilvl w:val="0"/>
          <w:numId w:val="2"/>
        </w:numPr>
        <w:spacing w:after="80" w:line="264" w:lineRule="auto"/>
        <w:jc w:val="both"/>
      </w:pPr>
      <w:r>
        <w:rPr>
          <w:rFonts w:ascii="Garamond" w:cs="Garamond" w:eastAsia="Garamond" w:hAnsi="Garamond"/>
          <w:sz w:val="22"/>
          <w:szCs w:val="22"/>
        </w:rPr>
        <w:t xml:space="preserve">Branches de la nomenclature sectorielle incluses dans le « crédit agricole ».</w:t>
      </w:r>
    </w:p>
    <w:p>
      <w:pPr>
        <w:pStyle w:val="ListParagraph"/>
        <w:numPr>
          <w:ilvl w:val="0"/>
          <w:numId w:val="2"/>
        </w:numPr>
        <w:spacing w:after="80" w:line="264" w:lineRule="auto"/>
        <w:jc w:val="both"/>
      </w:pPr>
      <w:r>
        <w:rPr>
          <w:rFonts w:ascii="Garamond" w:cs="Garamond" w:eastAsia="Garamond" w:hAnsi="Garamond"/>
          <w:sz w:val="22"/>
          <w:szCs w:val="22"/>
        </w:rPr>
        <w:t xml:space="preserve">Intégration des données des SFD, par le biais des statistiques de supervision.</w:t>
      </w:r>
    </w:p>
    <w:p>
      <w:pPr>
        <w:pStyle w:val="ListParagraph"/>
        <w:numPr>
          <w:ilvl w:val="0"/>
          <w:numId w:val="2"/>
        </w:numPr>
        <w:spacing w:after="80" w:line="264" w:lineRule="auto"/>
        <w:jc w:val="both"/>
      </w:pPr>
      <w:r>
        <w:rPr>
          <w:rFonts w:ascii="Garamond" w:cs="Garamond" w:eastAsia="Garamond" w:hAnsi="Garamond"/>
          <w:sz w:val="22"/>
          <w:szCs w:val="22"/>
        </w:rPr>
        <w:t xml:space="preserve">Profondeur historique homogène de la série 2015-2025 : disponibilité de la série à vérifier.</w:t>
      </w:r>
    </w:p>
    <w:p>
      <w:pPr>
        <w:pStyle w:val="Heading3"/>
      </w:pPr>
      <w:r>
        <w:t xml:space="preserve">Indicateurs complémentaires (à titre secondaire)</w:t>
      </w:r>
    </w:p>
    <w:p>
      <w:pPr>
        <w:spacing w:after="140" w:before="0" w:line="276" w:lineRule="auto"/>
        <w:jc w:val="both"/>
      </w:pPr>
      <w:r>
        <w:rPr>
          <w:rFonts w:ascii="Garamond" w:cs="Garamond" w:eastAsia="Garamond" w:hAnsi="Garamond"/>
          <w:sz w:val="24"/>
          <w:szCs w:val="24"/>
        </w:rPr>
        <w:t xml:space="preserve">Les indicateurs suivants peuvent éclairer la lecture des indicateurs principaux. Ils ne font pas partie du tableau de bord principal et ne se substituent à aucun indicateur retenu.</w:t>
      </w:r>
    </w:p>
    <w:p>
      <w:pPr>
        <w:pStyle w:val="ListParagraph"/>
        <w:numPr>
          <w:ilvl w:val="0"/>
          <w:numId w:val="2"/>
        </w:numPr>
        <w:spacing w:after="80" w:line="264" w:lineRule="auto"/>
        <w:jc w:val="both"/>
      </w:pPr>
      <w:r>
        <w:rPr>
          <w:rFonts w:ascii="Garamond" w:cs="Garamond" w:eastAsia="Garamond" w:hAnsi="Garamond"/>
          <w:sz w:val="24"/>
          <w:szCs w:val="24"/>
        </w:rPr>
        <w:t xml:space="preserve">Part du secteur agricole dans l’encours total des crédits déclarés à la Centrale des risques (BCEAO).</w:t>
      </w:r>
    </w:p>
    <w:p>
      <w:pPr>
        <w:pStyle w:val="ListParagraph"/>
        <w:numPr>
          <w:ilvl w:val="0"/>
          <w:numId w:val="2"/>
        </w:numPr>
        <w:spacing w:after="80" w:line="264" w:lineRule="auto"/>
        <w:jc w:val="both"/>
      </w:pPr>
      <w:r>
        <w:rPr>
          <w:rFonts w:ascii="Garamond" w:cs="Garamond" w:eastAsia="Garamond" w:hAnsi="Garamond"/>
          <w:sz w:val="24"/>
          <w:szCs w:val="24"/>
        </w:rPr>
        <w:t xml:space="preserve">Proportion d’adultes ayant emprunté auprès d’une institution financière formelle, en milieu rural (Global Findex), à titre de contexte.</w:t>
      </w:r>
    </w:p>
    <w:p>
      <w:pPr>
        <w:pStyle w:val="ListParagraph"/>
        <w:numPr>
          <w:ilvl w:val="0"/>
          <w:numId w:val="2"/>
        </w:numPr>
        <w:spacing w:after="80" w:line="264" w:lineRule="auto"/>
        <w:jc w:val="both"/>
      </w:pPr>
      <w:r>
        <w:rPr>
          <w:rFonts w:ascii="Garamond" w:cs="Garamond" w:eastAsia="Garamond" w:hAnsi="Garamond"/>
          <w:sz w:val="24"/>
          <w:szCs w:val="24"/>
        </w:rPr>
        <w:t xml:space="preserve">Financements de filière non réglementés (avances des acheteurs, crédit intrants), pour mesurer les substituts au crédit formel.</w:t>
      </w:r>
    </w:p>
    <w:p>
      <w:pPr>
        <w:pStyle w:val="Heading1"/>
        <w:pageBreakBefore/>
      </w:pPr>
      <w:r>
        <w:t xml:space="preserve">6. Sécurisation du foncier rural</w:t>
      </w:r>
    </w:p>
    <w:p>
      <w:pPr>
        <w:pStyle w:val="Heading2"/>
      </w:pPr>
      <w:r>
        <w:t xml:space="preserve">6.1. Définition retenue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1F4E3D" w:sz="24"/>
              <w:bottom w:val="none" w:color="FFFFFF" w:sz="0"/>
              <w:right w:val="none" w:color="FFFFFF" w:sz="0"/>
            </w:tcBorders>
            <w:shd w:fill="EDF3EF" w:color="auto" w:val="clear"/>
            <w:tcMar>
              <w:top w:type="dxa" w:w="140"/>
              <w:left w:type="dxa" w:w="220"/>
              <w:bottom w:type="dxa" w:w="100"/>
              <w:right w:type="dxa" w:w="220"/>
            </w:tcMar>
          </w:tcPr>
          <w:p>
            <w:pPr>
              <w:spacing w:after="40" w:line="276" w:lineRule="auto"/>
              <w:jc w:val="both"/>
            </w:pPr>
            <w:r>
              <w:rPr>
                <w:rFonts w:ascii="Garamond" w:cs="Garamond" w:eastAsia="Garamond" w:hAnsi="Garamond"/>
                <w:i/>
                <w:iCs/>
                <w:sz w:val="24"/>
                <w:szCs w:val="24"/>
              </w:rPr>
              <w:t xml:space="preserve">« La sécurisation du foncier rural est le processus par lequel les droits légitimes de propriété, de détention et d’usage des terres rurales sont clairement identifiés, délimités, formalisés, enregistrés et protégés, de manière à garantir aux propriétaires comme aux exploitants la stabilité de leurs droits et à prévenir les conflits fonciers. »</w:t>
            </w:r>
          </w:p>
        </w:tc>
      </w:tr>
    </w:tbl>
    <w:p>
      <w:pPr>
        <w:spacing w:after="120"/>
      </w:pPr>
    </w:p>
    <w:p>
      <w:pPr>
        <w:spacing w:after="140" w:before="0" w:line="276" w:lineRule="auto"/>
        <w:jc w:val="both"/>
      </w:pPr>
      <w:r>
        <w:rPr>
          <w:rFonts w:ascii="Garamond" w:cs="Garamond" w:eastAsia="Garamond" w:hAnsi="Garamond"/>
          <w:sz w:val="24"/>
          <w:szCs w:val="24"/>
        </w:rPr>
        <w:t xml:space="preserve">Cette définition s’inscrit dans le cadre juridique et institutionnel ivoirien. La loi n° 98-750 du 23 décembre 1998 relative au domaine foncier rural, modifiée par les lois n° 2004-412 du 14 août 2004, n° 2013-655 du 13 septembre 2013 et n° 2019-868 du 14 octobre 2019, organise la constatation des droits coutumiers par le certificat foncier et leur consolidation par l’immatriculation. L’Agence foncière rurale (AFOR), créée par le décret n° 2016-590 du 3 août 2016, est chargée de sa mise en œuvre. La Stratégie nationale de sécurisation foncière rurale (SNSFR) et le Programme national de sécurisation foncière rurale (PNSFR) 2023-2033, adoptés par le Gouvernement le 15 juin 2023, fixent le cadre programmatique. Le Système d’information foncière rurale (SIFOR), institué par l’ordonnance n° 2025-85 du 12 février 2025, constitue le registre numérique des opérations et des droits.</w:t>
      </w:r>
    </w:p>
    <w:p>
      <w:pPr>
        <w:spacing w:after="140" w:before="0" w:line="276" w:lineRule="auto"/>
        <w:jc w:val="both"/>
      </w:pPr>
      <w:r>
        <w:rPr>
          <w:rFonts w:ascii="Garamond" w:cs="Garamond" w:eastAsia="Garamond" w:hAnsi="Garamond"/>
          <w:sz w:val="24"/>
          <w:szCs w:val="24"/>
        </w:rPr>
        <w:t xml:space="preserve">Sur le plan international, la définition est cohérente avec le Cadre et lignes directrices sur les politiques foncières en Afrique (Commission de l’Union africaine, Commission économique pour l’Afrique et Banque africaine de développement, 2010) et avec les Directives volontaires pour une gouvernance responsable des régimes fonciers (FAO, 2012), qui insistent sur la reconnaissance de l’ensemble des droits légitimes, y compris coutumiers et secondaires.</w:t>
      </w:r>
    </w:p>
    <w:p>
      <w:pPr>
        <w:spacing w:after="140" w:before="0" w:line="276" w:lineRule="auto"/>
        <w:jc w:val="both"/>
      </w:pPr>
      <w:r>
        <w:rPr>
          <w:rFonts w:ascii="Garamond" w:cs="Garamond" w:eastAsia="Garamond" w:hAnsi="Garamond"/>
          <w:sz w:val="24"/>
          <w:szCs w:val="24"/>
        </w:rPr>
        <w:t xml:space="preserve">Le lien entre sécurisation foncière et investissement est bien établi sur le plan théorique (Besley, 1995), mais les résultats empiriques sont plus nuancés en Afrique. La revue systématique de Lawry et al. (2017) conclut à des gains de productivité liés à la reconnaissance des droits, plus limités en Afrique qu’en Asie ou en Amérique latine, et ne trouve pas de preuve d’un effet passant par le crédit. C’est l’une des raisons pour lesquelles le dispositif mesure la sécurisation à trois échelles complémentaires.</w:t>
      </w:r>
    </w:p>
    <w:p>
      <w:pPr>
        <w:pBdr>
          <w:top w:val="single" w:color="B7C9BE" w:sz="4" w:space="6"/>
          <w:bottom w:val="single" w:color="B7C9BE" w:sz="4" w:space="6"/>
        </w:pBdr>
        <w:spacing w:after="200" w:before="120"/>
        <w:jc w:val="center"/>
      </w:pPr>
      <w:r>
        <w:rPr>
          <w:rFonts w:ascii="Garamond" w:cs="Garamond" w:eastAsia="Garamond" w:hAnsi="Garamond"/>
          <w:i/>
          <w:iCs/>
          <w:color w:val="1F4E3D"/>
          <w:sz w:val="24"/>
          <w:szCs w:val="24"/>
        </w:rPr>
        <w:t xml:space="preserve">Sécuriser les parcelles  →  sécuriser les territoires  →  sécuriser les relations d’exploitation</w:t>
      </w:r>
    </w:p>
    <w:p>
      <w:pPr>
        <w:pStyle w:val="Heading2"/>
      </w:pPr>
      <w:r>
        <w:t xml:space="preserve">6.2. Indicateur 4.1 — Taux de couverture du domaine foncier rural par des droits fonciers formalisés</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TCDF</m:t>
            </m:r>
          </m:e>
          <m:sub>
            <m:r>
              <m:t>t</m:t>
            </m:r>
          </m:sub>
        </m:sSub>
        <m:r>
          <m:t>=</m:t>
        </m:r>
        <m:f>
          <m:num>
            <m:r>
              <m:t>Superficie cumulée couverte par des droits fonciers formalisés</m:t>
            </m:r>
          </m:num>
          <m:den>
            <m:r>
              <m:t>Superficie totale du domaine foncier rural</m:t>
            </m:r>
          </m:den>
        </m:f>
        <m:r>
          <m:t>×100</m:t>
        </m:r>
      </m:oMath>
      <w:r>
        <w:rPr>
          <w:rFonts w:ascii="Garamond" w:cs="Garamond" w:eastAsia="Garamond" w:hAnsi="Garamond"/>
          <w:color w:val="4A4A4A"/>
          <w:sz w:val="22"/>
          <w:szCs w:val="22"/>
        </w:rPr>
        <w:t xml:space="preserve">	(22)</w:t>
      </w:r>
    </w:p>
    <w:p>
      <w:pPr>
        <w:spacing w:after="140" w:before="0" w:line="276" w:lineRule="auto"/>
        <w:jc w:val="both"/>
      </w:pPr>
      <w:r>
        <w:rPr>
          <w:rFonts w:ascii="Garamond" w:cs="Garamond" w:eastAsia="Garamond" w:hAnsi="Garamond"/>
          <w:sz w:val="24"/>
          <w:szCs w:val="24"/>
        </w:rPr>
        <w:t xml:space="preserve">La superficie est privilégiée par rapport au nombre de certificats. Un certificat collectif peut couvrir plusieurs centaines d’hectares, un certificat individuel quelques hectares : compter les actes reviendrait à additionner des objets de taille très différente et ne dirait rien de la part du territoire effectivement sécurisée. Les actes admissibles doivent être définis de façon limitative.</w:t>
      </w:r>
    </w:p>
    <w:p>
      <w:pPr>
        <w:keepNext/>
        <w:spacing w:after="80" w:before="200"/>
      </w:pPr>
      <w:r>
        <w:rPr>
          <w:rFonts w:ascii="Garamond" w:cs="Garamond" w:eastAsia="Garamond" w:hAnsi="Garamond"/>
          <w:b/>
          <w:bCs/>
          <w:color w:val="1F4E3D"/>
          <w:sz w:val="21"/>
          <w:szCs w:val="21"/>
        </w:rPr>
        <w:t xml:space="preserve">Tableau 5. </w:t>
      </w:r>
      <w:r>
        <w:rPr>
          <w:rFonts w:ascii="Garamond" w:cs="Garamond" w:eastAsia="Garamond" w:hAnsi="Garamond"/>
          <w:i/>
          <w:iCs/>
          <w:color w:val="4A4A4A"/>
          <w:sz w:val="21"/>
          <w:szCs w:val="21"/>
        </w:rPr>
        <w:t xml:space="preserve">Actes admissibles au numérateur de l’indicateur 4.1 (à confirmer)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870"/>
      </w:tblGrid>
      <w:tr>
        <w:trPr>
          <w:cantSplit/>
          <w:tblHeader/>
        </w:trPr>
        <w:tc>
          <w:tcPr>
            <w:tcW w:type="dxa" w:w="29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Acte</w:t>
            </w:r>
          </w:p>
        </w:tc>
        <w:tc>
          <w:tcPr>
            <w:tcW w:type="dxa" w:w="13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Statut proposé</w:t>
            </w:r>
          </w:p>
        </w:tc>
        <w:tc>
          <w:tcPr>
            <w:tcW w:type="dxa" w:w="487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Observation</w:t>
            </w:r>
          </w:p>
        </w:tc>
      </w:tr>
      <w:tr>
        <w:trPr>
          <w:cantSplit/>
        </w:trPr>
        <w:tc>
          <w:tcPr>
            <w:tcW w:type="dxa" w:w="2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Certificat foncier individuel</w:t>
            </w: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Admis</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Acte de constatation des droits coutumiers au sens de la loi n° 98-750.</w:t>
            </w:r>
          </w:p>
        </w:tc>
      </w:tr>
      <w:tr>
        <w:trPr>
          <w:cantSplit/>
        </w:trPr>
        <w:tc>
          <w:tcPr>
            <w:tcW w:type="dxa" w:w="2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Certificat foncier collectif</w:t>
            </w: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Admis</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Superficie totale comptée une fois ; ventilation distincte recommandée.</w:t>
            </w:r>
          </w:p>
        </w:tc>
      </w:tr>
      <w:tr>
        <w:trPr>
          <w:cantSplit/>
        </w:trPr>
        <w:tc>
          <w:tcPr>
            <w:tcW w:type="dxa" w:w="2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Titre foncier issu de l’immatriculation d’une terre du domaine rural</w:t>
            </w: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Admis</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Se substitue au certificat lorsqu’il en est issu : la parcelle n’est pas comptée deux fois.</w:t>
            </w:r>
          </w:p>
        </w:tc>
      </w:tr>
      <w:tr>
        <w:trPr>
          <w:cantSplit/>
        </w:trPr>
        <w:tc>
          <w:tcPr>
            <w:tcW w:type="dxa" w:w="2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Contrats d’exploitation (location, prêt, planter-partager)</w:t>
            </w: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Non admis</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Relèvent de l’indicateur 4.3.</w:t>
            </w:r>
          </w:p>
        </w:tc>
      </w:tr>
      <w:tr>
        <w:trPr>
          <w:cantSplit/>
        </w:trPr>
        <w:tc>
          <w:tcPr>
            <w:tcW w:type="dxa" w:w="2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Attestations et documents non prévus par la loi</w:t>
            </w: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Non admis</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Peuvent faire l’objet d’un suivi descriptif distinct.</w:t>
            </w:r>
          </w:p>
        </w:tc>
      </w:tr>
    </w:tbl>
    <w:p>
      <w:pPr>
        <w:spacing w:after="200" w:before="60"/>
      </w:pPr>
      <w:r>
        <w:rPr>
          <w:rFonts w:ascii="Garamond" w:cs="Garamond" w:eastAsia="Garamond" w:hAnsi="Garamond"/>
          <w:i/>
          <w:iCs/>
          <w:color w:val="4A4A4A"/>
          <w:sz w:val="18"/>
          <w:szCs w:val="18"/>
        </w:rPr>
        <w:t xml:space="preserve">Source : proposition établie à partir de la loi n° 98-750 modifiée ; statut définitif à arrêter avec l’AFOR.</w:t>
      </w:r>
    </w:p>
    <w:p>
      <w:pPr>
        <w:spacing w:after="140" w:before="0" w:line="276" w:lineRule="auto"/>
        <w:jc w:val="both"/>
      </w:pPr>
      <w:r>
        <w:rPr>
          <w:rFonts w:ascii="Garamond" w:cs="Garamond" w:eastAsia="Garamond" w:hAnsi="Garamond"/>
          <w:sz w:val="24"/>
          <w:szCs w:val="24"/>
        </w:rPr>
        <w:t xml:space="preserve">Le double comptage est évité en raisonnant par parcelle et non par acte. Chaque parcelle dispose d’un identifiant unique dans le SIFOR ; elle est comptée une seule fois dès lors qu’elle est couverte par au moins un acte admissible, quel que soit le nombre d’actes successifs qui la concernent. Le numérateur s’écrit alors comme une somme de superficies de parcelles.</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SDF</m:t>
            </m:r>
          </m:e>
          <m:sub>
            <m:r>
              <m:t>t</m:t>
            </m:r>
          </m:sub>
        </m:sSub>
        <m:r>
          <m:t>=</m:t>
        </m:r>
        <m:nary>
          <m:naryPr>
            <m:chr m:val="∑"/>
            <m:limLoc m:val="undOvr"/>
            <m:supHide m:val="1"/>
          </m:naryPr>
          <m:sub>
            <m:r>
              <m:t>p</m:t>
            </m:r>
          </m:sub>
          <m:sup/>
          <m:e>
            <m:sSub>
              <m:sSubPr/>
              <m:e>
                <m:r>
                  <m:t>a</m:t>
                </m:r>
              </m:e>
              <m:sub>
                <m:r>
                  <m:t>p</m:t>
                </m:r>
              </m:sub>
            </m:sSub>
            <m:r>
              <m:t>·</m:t>
            </m:r>
            <m:sSub>
              <m:sSubPr/>
              <m:e>
                <m:r>
                  <m:t>𝟙</m:t>
                </m:r>
              </m:e>
              <m:sub>
                <m:r>
                  <m:t>p,t</m:t>
                </m:r>
              </m:sub>
            </m:sSub>
          </m:e>
        </m:nary>
      </m:oMath>
      <w:r>
        <w:rPr>
          <w:rFonts w:ascii="Garamond" w:cs="Garamond" w:eastAsia="Garamond" w:hAnsi="Garamond"/>
          <w:color w:val="4A4A4A"/>
          <w:sz w:val="22"/>
          <w:szCs w:val="22"/>
        </w:rPr>
        <w:t xml:space="preserve">	(23)</w:t>
      </w:r>
    </w:p>
    <w:p>
      <w:pPr>
        <w:spacing w:after="140" w:before="0" w:line="276" w:lineRule="auto"/>
        <w:jc w:val="both"/>
      </w:pPr>
      <w:r>
        <w:rPr>
          <w:rFonts w:ascii="Garamond" w:cs="Garamond" w:eastAsia="Garamond" w:hAnsi="Garamond"/>
          <w:sz w:val="24"/>
          <w:szCs w:val="24"/>
        </w:rPr>
        <w:t xml:space="preserve">où a</w:t>
      </w:r>
      <w:r>
        <w:rPr>
          <w:rFonts w:ascii="Garamond" w:cs="Garamond" w:eastAsia="Garamond" w:hAnsi="Garamond"/>
          <w:sz w:val="24"/>
          <w:szCs w:val="24"/>
          <w:vertAlign w:val="subscript"/>
        </w:rPr>
        <w:t xml:space="preserve">p</w:t>
      </w:r>
      <w:r>
        <w:rPr>
          <w:rFonts w:ascii="Garamond" w:cs="Garamond" w:eastAsia="Garamond" w:hAnsi="Garamond"/>
          <w:sz w:val="24"/>
          <w:szCs w:val="24"/>
        </w:rPr>
        <w:t xml:space="preserve"> est la superficie de la parcelle </w:t>
      </w:r>
      <w:r>
        <w:rPr>
          <w:rFonts w:ascii="Garamond" w:cs="Garamond" w:eastAsia="Garamond" w:hAnsi="Garamond"/>
          <w:i/>
          <w:iCs/>
          <w:sz w:val="24"/>
          <w:szCs w:val="24"/>
        </w:rPr>
        <w:t xml:space="preserve">p</w:t>
      </w:r>
      <w:r>
        <w:rPr>
          <w:rFonts w:ascii="Garamond" w:cs="Garamond" w:eastAsia="Garamond" w:hAnsi="Garamond"/>
          <w:sz w:val="24"/>
          <w:szCs w:val="24"/>
        </w:rPr>
        <w:t xml:space="preserve"> et où l’indicatrice vaut 1 si la parcelle est couverte par au moins un acte admissible à la date </w:t>
      </w:r>
      <w:r>
        <w:rPr>
          <w:rFonts w:ascii="Garamond" w:cs="Garamond" w:eastAsia="Garamond" w:hAnsi="Garamond"/>
          <w:i/>
          <w:iCs/>
          <w:sz w:val="24"/>
          <w:szCs w:val="24"/>
        </w:rPr>
        <w:t xml:space="preserve">t</w:t>
      </w:r>
      <w:r>
        <w:rPr>
          <w:rFonts w:ascii="Garamond" w:cs="Garamond" w:eastAsia="Garamond" w:hAnsi="Garamond"/>
          <w:sz w:val="24"/>
          <w:szCs w:val="24"/>
        </w:rPr>
        <w:t xml:space="preserve">, 0 sinon.</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Superficie de référence du domaine foncier rural : le PNSFR 2023-2033 retient un ordre de grandeur de 23 millions d’hectares à sécuriser ; la valeur officielle doit être confirmée dans le document adopté et maintenue fixe.</w:t>
      </w:r>
    </w:p>
    <w:p>
      <w:pPr>
        <w:pStyle w:val="ListParagraph"/>
        <w:numPr>
          <w:ilvl w:val="0"/>
          <w:numId w:val="2"/>
        </w:numPr>
        <w:spacing w:after="80" w:line="264" w:lineRule="auto"/>
        <w:jc w:val="both"/>
      </w:pPr>
      <w:r>
        <w:rPr>
          <w:rFonts w:ascii="Garamond" w:cs="Garamond" w:eastAsia="Garamond" w:hAnsi="Garamond"/>
          <w:sz w:val="22"/>
          <w:szCs w:val="22"/>
        </w:rPr>
        <w:t xml:space="preserve">Situation des certificats fonciers dont le délai de demande d’immatriculation serait échu : règle de maintien ou de retrait du numérateur à arrêter au regard de la loi modifiée.</w:t>
      </w:r>
    </w:p>
    <w:p>
      <w:pPr>
        <w:pStyle w:val="ListParagraph"/>
        <w:numPr>
          <w:ilvl w:val="0"/>
          <w:numId w:val="2"/>
        </w:numPr>
        <w:spacing w:after="80" w:line="264" w:lineRule="auto"/>
        <w:jc w:val="both"/>
      </w:pPr>
      <w:r>
        <w:rPr>
          <w:rFonts w:ascii="Garamond" w:cs="Garamond" w:eastAsia="Garamond" w:hAnsi="Garamond"/>
          <w:sz w:val="22"/>
          <w:szCs w:val="22"/>
        </w:rPr>
        <w:t xml:space="preserve">Ventilation par sexe des titulaires, conformément aux Directives volontaires.</w:t>
      </w:r>
    </w:p>
    <w:p>
      <w:pPr>
        <w:pStyle w:val="Heading2"/>
      </w:pPr>
      <w:r>
        <w:t xml:space="preserve">6.3. Indicateur 4.2 — Taux de délimitation juridiquement achevée des territoires villageois</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TDV</m:t>
            </m:r>
          </m:e>
          <m:sub>
            <m:r>
              <m:t>t</m:t>
            </m:r>
          </m:sub>
        </m:sSub>
        <m:r>
          <m:t>=</m:t>
        </m:r>
        <m:f>
          <m:num>
            <m:r>
              <m:t>Nombre de territoires villageois dont la délimitation est juridiquement achevée</m:t>
            </m:r>
          </m:num>
          <m:den>
            <m:r>
              <m:t>Nombre total de villages officiels</m:t>
            </m:r>
          </m:den>
        </m:f>
        <m:r>
          <m:t>×100</m:t>
        </m:r>
      </m:oMath>
      <w:r>
        <w:rPr>
          <w:rFonts w:ascii="Garamond" w:cs="Garamond" w:eastAsia="Garamond" w:hAnsi="Garamond"/>
          <w:color w:val="4A4A4A"/>
          <w:sz w:val="22"/>
          <w:szCs w:val="22"/>
        </w:rPr>
        <w:t xml:space="preserve">	(24)</w:t>
      </w:r>
    </w:p>
    <w:p>
      <w:pPr>
        <w:spacing w:after="140" w:before="0" w:line="276" w:lineRule="auto"/>
        <w:jc w:val="both"/>
      </w:pPr>
      <w:r>
        <w:rPr>
          <w:rFonts w:ascii="Garamond" w:cs="Garamond" w:eastAsia="Garamond" w:hAnsi="Garamond"/>
          <w:sz w:val="24"/>
          <w:szCs w:val="24"/>
        </w:rPr>
        <w:t xml:space="preserve">La délimitation des territoires villageois fixe les limites à l’intérieur desquelles s’opèrent ensuite la reconnaissance des droits et la certification des parcelles. Sa procédure a été définie par le décret n° 2013-296 du 2 mai 2013, abrogé et remplacé par le décret n° 2019-263 du 27 mars 2019, qui a confié un rôle central à l’AFOR. Le décret n° 2024-850 du 30 septembre 2024 a ensuite institué une opération intégrée de sécurisation foncière rurale, qui enchaîne la délimitation des territoires et la reconnaissance des parcelles coutumières.</w:t>
      </w:r>
    </w:p>
    <w:p>
      <w:pPr>
        <w:spacing w:after="140" w:before="0" w:line="276" w:lineRule="auto"/>
        <w:jc w:val="both"/>
      </w:pPr>
      <w:r>
        <w:rPr>
          <w:rFonts w:ascii="Garamond" w:cs="Garamond" w:eastAsia="Garamond" w:hAnsi="Garamond"/>
          <w:sz w:val="24"/>
          <w:szCs w:val="24"/>
        </w:rPr>
        <w:t xml:space="preserve">Un territoire « bouclé-borné » n’est pas automatiquement un territoire dont la délimitation est juridiquement achevée. Le bornage matérialise les limites sur le terrain ; la délimitation n’acquiert sa portée juridique qu’avec l’acte administratif définitif qui la consacre. Les bilans publiés par l’AFOR distinguent d’ailleurs les villages délimités et bornés de ceux dont la délimitation a été consacrée par arrêté. L’indicateur retient ce niveau juridiquement achevé. Les étapes intermédiaires sont suivies comme sous-indicateurs opérationnels, sous la forme d’un entonnoir.</w:t>
      </w:r>
    </w:p>
    <w:p>
      <w:pPr>
        <w:keepNext/>
        <w:spacing w:after="80" w:before="200"/>
      </w:pPr>
      <w:r>
        <w:rPr>
          <w:rFonts w:ascii="Garamond" w:cs="Garamond" w:eastAsia="Garamond" w:hAnsi="Garamond"/>
          <w:b/>
          <w:bCs/>
          <w:color w:val="1F4E3D"/>
          <w:sz w:val="21"/>
          <w:szCs w:val="21"/>
        </w:rPr>
        <w:t xml:space="preserve">Tableau 6. </w:t>
      </w:r>
      <w:r>
        <w:rPr>
          <w:rFonts w:ascii="Garamond" w:cs="Garamond" w:eastAsia="Garamond" w:hAnsi="Garamond"/>
          <w:i/>
          <w:iCs/>
          <w:color w:val="4A4A4A"/>
          <w:sz w:val="21"/>
          <w:szCs w:val="21"/>
        </w:rPr>
        <w:t xml:space="preserve">Sous-indicateurs opérationnels de la délimitation (entonnoir)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4185"/>
        <w:gridCol w:w="4185"/>
      </w:tblGrid>
      <w:tr>
        <w:trPr>
          <w:cantSplit/>
          <w:tblHeader/>
        </w:trPr>
        <w:tc>
          <w:tcPr>
            <w:tcW w:type="dxa" w:w="7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Étape</w:t>
            </w:r>
          </w:p>
        </w:tc>
        <w:tc>
          <w:tcPr>
            <w:tcW w:type="dxa" w:w="4185"/>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Sous-indicateur</w:t>
            </w:r>
          </w:p>
        </w:tc>
        <w:tc>
          <w:tcPr>
            <w:tcW w:type="dxa" w:w="4185"/>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Usage</w:t>
            </w:r>
          </w:p>
        </w:tc>
      </w:tr>
      <w:tr>
        <w:trPr>
          <w:cantSplit/>
        </w:trPr>
        <w:tc>
          <w:tcPr>
            <w:tcW w:type="dxa" w:w="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1</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Villages dont l’opération de délimitation est ouverte</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Mesure l’engagement des opérations.</w:t>
            </w:r>
          </w:p>
        </w:tc>
      </w:tr>
      <w:tr>
        <w:trPr>
          <w:cantSplit/>
        </w:trPr>
        <w:tc>
          <w:tcPr>
            <w:tcW w:type="dxa" w:w="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2</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Villages dont les limites ont été identifiées contradictoirement et levées</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Mesure l’avancement technique.</w:t>
            </w:r>
          </w:p>
        </w:tc>
      </w:tr>
      <w:tr>
        <w:trPr>
          <w:cantSplit/>
        </w:trPr>
        <w:tc>
          <w:tcPr>
            <w:tcW w:type="dxa" w:w="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3</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Villages bouclés-bornés</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Mesure la matérialisation des limites.</w:t>
            </w:r>
          </w:p>
        </w:tc>
      </w:tr>
      <w:tr>
        <w:trPr>
          <w:cantSplit/>
        </w:trPr>
        <w:tc>
          <w:tcPr>
            <w:tcW w:type="dxa" w:w="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4</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Villages dont le dossier de délimitation est validé et transmis</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Mesure l’instruction administrative.</w:t>
            </w:r>
          </w:p>
        </w:tc>
      </w:tr>
      <w:tr>
        <w:trPr>
          <w:cantSplit/>
        </w:trPr>
        <w:tc>
          <w:tcPr>
            <w:tcW w:type="dxa" w:w="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5</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Villages dont la délimitation est consacrée par l’acte définitif</w:t>
            </w:r>
          </w:p>
        </w:tc>
        <w:tc>
          <w:tcPr>
            <w:tcW w:type="dxa" w:w="4185"/>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Numérateur de l’indicateur principal.</w:t>
            </w:r>
          </w:p>
        </w:tc>
      </w:tr>
    </w:tbl>
    <w:p>
      <w:pPr>
        <w:spacing w:after="200" w:before="60"/>
      </w:pPr>
      <w:r>
        <w:rPr>
          <w:rFonts w:ascii="Garamond" w:cs="Garamond" w:eastAsia="Garamond" w:hAnsi="Garamond"/>
          <w:i/>
          <w:iCs/>
          <w:color w:val="4A4A4A"/>
          <w:sz w:val="18"/>
          <w:szCs w:val="18"/>
        </w:rPr>
        <w:t xml:space="preserve">Source : proposition à aligner sur la dénomination et l’ordre exacts des étapes de la procédure en vigueur.</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Nature exacte de l’acte définitif dans la procédure issue du décret n° 2024-850 et articulation avec le décret n° 2019-263.</w:t>
      </w:r>
    </w:p>
    <w:p>
      <w:pPr>
        <w:pStyle w:val="ListParagraph"/>
        <w:numPr>
          <w:ilvl w:val="0"/>
          <w:numId w:val="2"/>
        </w:numPr>
        <w:spacing w:after="80" w:line="264" w:lineRule="auto"/>
        <w:jc w:val="both"/>
      </w:pPr>
      <w:r>
        <w:rPr>
          <w:rFonts w:ascii="Garamond" w:cs="Garamond" w:eastAsia="Garamond" w:hAnsi="Garamond"/>
          <w:sz w:val="22"/>
          <w:szCs w:val="22"/>
        </w:rPr>
        <w:t xml:space="preserve">Liste officielle des villages servant de dénominateur, arrêtée à une date de référence avec le ministère chargé de l’Intérieur et l’AFOR ; règle de mise à jour en cas de création de villages.</w:t>
      </w:r>
    </w:p>
    <w:p>
      <w:pPr>
        <w:pStyle w:val="Heading2"/>
      </w:pPr>
      <w:r>
        <w:t xml:space="preserve">6.4. Indicateur 4.3 — Taux de formalisation des relations foncières d’exploitation</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TFR</m:t>
            </m:r>
          </m:e>
          <m:sub>
            <m:r>
              <m:t>t</m:t>
            </m:r>
          </m:sub>
        </m:sSub>
        <m:r>
          <m:t>=</m:t>
        </m:r>
        <m:f>
          <m:num>
            <m:r>
              <m:t>Nombre de relations d'exploitation non-propriétaire couvertes par un contrat écrit enregistré</m:t>
            </m:r>
          </m:num>
          <m:den>
            <m:r>
              <m:t>Nombre total de relations d'exploitation non-propriétaire identifiées</m:t>
            </m:r>
          </m:den>
        </m:f>
        <m:r>
          <m:t>×100</m:t>
        </m:r>
      </m:oMath>
      <w:r>
        <w:rPr>
          <w:rFonts w:ascii="Garamond" w:cs="Garamond" w:eastAsia="Garamond" w:hAnsi="Garamond"/>
          <w:color w:val="4A4A4A"/>
          <w:sz w:val="22"/>
          <w:szCs w:val="22"/>
        </w:rPr>
        <w:t xml:space="preserve">	(25)</w:t>
      </w:r>
    </w:p>
    <w:p>
      <w:pPr>
        <w:spacing w:after="140" w:before="0" w:line="276" w:lineRule="auto"/>
        <w:jc w:val="both"/>
      </w:pPr>
      <w:r>
        <w:rPr>
          <w:rFonts w:ascii="Garamond" w:cs="Garamond" w:eastAsia="Garamond" w:hAnsi="Garamond"/>
          <w:sz w:val="24"/>
          <w:szCs w:val="24"/>
        </w:rPr>
        <w:t xml:space="preserve">En Côte d’Ivoire, une part importante des terres est exploitée par des personnes qui n’en détiennent pas les droits coutumiers, dans le cadre d’arrangements souvent oraux. Les travaux de Colin (2013) ont montré que ces transactions constituent une source majeure d’insécurité et de conflits, lorsque leur contenu ou leur durée sont contestés. Sécuriser les parcelles sans sécuriser ces relations laisserait sans protection une large partie des exploitants.</w:t>
      </w:r>
    </w:p>
    <w:p>
      <w:pPr>
        <w:spacing w:after="140" w:before="0" w:line="276" w:lineRule="auto"/>
        <w:jc w:val="both"/>
      </w:pPr>
      <w:r>
        <w:rPr>
          <w:rFonts w:ascii="Garamond" w:cs="Garamond" w:eastAsia="Garamond" w:hAnsi="Garamond"/>
          <w:sz w:val="24"/>
          <w:szCs w:val="24"/>
        </w:rPr>
        <w:t xml:space="preserve">Les relations pertinentes comprennent la location, le prêt, les droits d’usage, le planter-partager et les autres formes reconnues. L’unité de compte est la relation, c’est-à-dire le couple formé par une parcelle et un exploitant non propriétaire ; un renouvellement de contrat n’est pas compté comme une nouvelle relation.</w:t>
      </w:r>
    </w:p>
    <w:p>
      <w:pPr>
        <w:spacing w:after="140" w:before="0" w:line="276" w:lineRule="auto"/>
        <w:jc w:val="both"/>
      </w:pPr>
      <w:r>
        <w:rPr>
          <w:rFonts w:ascii="Garamond" w:cs="Garamond" w:eastAsia="Garamond" w:hAnsi="Garamond"/>
          <w:sz w:val="24"/>
          <w:szCs w:val="24"/>
        </w:rPr>
        <w:t xml:space="preserve">Le dénominateur n’est vraisemblablement pas disponible en série historique. Dans ce cas, un indicateur transitoire peut être suivi, le nombre cumulé de contrats enregistrés. Cet indicateur transitoire ne remplace pas l’indicateur principal : il mesure l’activité de formalisation mais non la part des relations couvertes, et il pourrait progresser alors même que le nombre de relations informelles augmente plus vite. Le dénominateur peut être estimé à partir des enquêtes foncières réalisées lors des opérations de sécurisation, qui identifient les occupants des parcelles, et des enquêtes agricoles renseignant le mode de faire-valoir.</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Définition de « enregistré » : inscription dans le SIFOR, visa du comité villageois de gestion foncière rurale ou enregistrement fiscal.</w:t>
      </w:r>
    </w:p>
    <w:p>
      <w:pPr>
        <w:pStyle w:val="ListParagraph"/>
        <w:numPr>
          <w:ilvl w:val="0"/>
          <w:numId w:val="2"/>
        </w:numPr>
        <w:spacing w:after="80" w:line="264" w:lineRule="auto"/>
        <w:jc w:val="both"/>
      </w:pPr>
      <w:r>
        <w:rPr>
          <w:rFonts w:ascii="Garamond" w:cs="Garamond" w:eastAsia="Garamond" w:hAnsi="Garamond"/>
          <w:sz w:val="22"/>
          <w:szCs w:val="22"/>
        </w:rPr>
        <w:t xml:space="preserve">Typologie des relations et correspondance avec les modèles de contrats mis à disposition par l’AFOR.</w:t>
      </w:r>
    </w:p>
    <w:p>
      <w:pPr>
        <w:pStyle w:val="ListParagraph"/>
        <w:numPr>
          <w:ilvl w:val="0"/>
          <w:numId w:val="2"/>
        </w:numPr>
        <w:spacing w:after="80" w:line="264" w:lineRule="auto"/>
        <w:jc w:val="both"/>
      </w:pPr>
      <w:r>
        <w:rPr>
          <w:rFonts w:ascii="Garamond" w:cs="Garamond" w:eastAsia="Garamond" w:hAnsi="Garamond"/>
          <w:sz w:val="22"/>
          <w:szCs w:val="22"/>
        </w:rPr>
        <w:t xml:space="preserve">Méthode d’estimation du dénominateur et périodicité des enquêtes.</w:t>
      </w:r>
    </w:p>
    <w:p>
      <w:pPr>
        <w:pStyle w:val="Heading3"/>
      </w:pPr>
      <w:r>
        <w:t xml:space="preserve">Indicateurs complémentaires (à titre secondaire)</w:t>
      </w:r>
    </w:p>
    <w:p>
      <w:pPr>
        <w:spacing w:after="140" w:before="0" w:line="276" w:lineRule="auto"/>
        <w:jc w:val="both"/>
      </w:pPr>
      <w:r>
        <w:rPr>
          <w:rFonts w:ascii="Garamond" w:cs="Garamond" w:eastAsia="Garamond" w:hAnsi="Garamond"/>
          <w:sz w:val="24"/>
          <w:szCs w:val="24"/>
        </w:rPr>
        <w:t xml:space="preserve">Les indicateurs suivants peuvent éclairer la lecture des indicateurs principaux. Ils ne font pas partie du tableau de bord principal et ne se substituent à aucun indicateur retenu.</w:t>
      </w:r>
    </w:p>
    <w:p>
      <w:pPr>
        <w:pStyle w:val="ListParagraph"/>
        <w:numPr>
          <w:ilvl w:val="0"/>
          <w:numId w:val="2"/>
        </w:numPr>
        <w:spacing w:after="80" w:line="264" w:lineRule="auto"/>
        <w:jc w:val="both"/>
      </w:pPr>
      <w:r>
        <w:rPr>
          <w:rFonts w:ascii="Garamond" w:cs="Garamond" w:eastAsia="Garamond" w:hAnsi="Garamond"/>
          <w:sz w:val="24"/>
          <w:szCs w:val="24"/>
        </w:rPr>
        <w:t xml:space="preserve">Proportion de la population adulte disposant de droits fonciers documentés et percevant ses droits comme sûrs (ODD 1.4.2).</w:t>
      </w:r>
    </w:p>
    <w:p>
      <w:pPr>
        <w:pStyle w:val="ListParagraph"/>
        <w:numPr>
          <w:ilvl w:val="0"/>
          <w:numId w:val="2"/>
        </w:numPr>
        <w:spacing w:after="80" w:line="264" w:lineRule="auto"/>
        <w:jc w:val="both"/>
      </w:pPr>
      <w:r>
        <w:rPr>
          <w:rFonts w:ascii="Garamond" w:cs="Garamond" w:eastAsia="Garamond" w:hAnsi="Garamond"/>
          <w:sz w:val="24"/>
          <w:szCs w:val="24"/>
        </w:rPr>
        <w:t xml:space="preserve">Part des femmes parmi les titulaires de certificats fonciers (ODD 5.a.1, en partie).</w:t>
      </w:r>
    </w:p>
    <w:p>
      <w:pPr>
        <w:pStyle w:val="ListParagraph"/>
        <w:numPr>
          <w:ilvl w:val="0"/>
          <w:numId w:val="2"/>
        </w:numPr>
        <w:spacing w:after="80" w:line="264" w:lineRule="auto"/>
        <w:jc w:val="both"/>
      </w:pPr>
      <w:r>
        <w:rPr>
          <w:rFonts w:ascii="Garamond" w:cs="Garamond" w:eastAsia="Garamond" w:hAnsi="Garamond"/>
          <w:sz w:val="24"/>
          <w:szCs w:val="24"/>
        </w:rPr>
        <w:t xml:space="preserve">Nombre de conflits fonciers enregistrés par les instances de règlement.</w:t>
      </w:r>
    </w:p>
    <w:p>
      <w:pPr>
        <w:pStyle w:val="Heading1"/>
        <w:pageBreakBefore/>
      </w:pPr>
      <w:r>
        <w:t xml:space="preserve">7. Durabilité des systèmes de production</w:t>
      </w:r>
    </w:p>
    <w:p>
      <w:pPr>
        <w:pStyle w:val="Heading2"/>
      </w:pPr>
      <w:r>
        <w:t xml:space="preserve">7.1. Définition retenue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1F4E3D" w:sz="24"/>
              <w:bottom w:val="none" w:color="FFFFFF" w:sz="0"/>
              <w:right w:val="none" w:color="FFFFFF" w:sz="0"/>
            </w:tcBorders>
            <w:shd w:fill="EDF3EF" w:color="auto" w:val="clear"/>
            <w:tcMar>
              <w:top w:type="dxa" w:w="140"/>
              <w:left w:type="dxa" w:w="220"/>
              <w:bottom w:type="dxa" w:w="100"/>
              <w:right w:type="dxa" w:w="220"/>
            </w:tcMar>
          </w:tcPr>
          <w:p>
            <w:pPr>
              <w:spacing w:after="40" w:line="276" w:lineRule="auto"/>
              <w:jc w:val="both"/>
            </w:pPr>
            <w:r>
              <w:rPr>
                <w:rFonts w:ascii="Garamond" w:cs="Garamond" w:eastAsia="Garamond" w:hAnsi="Garamond"/>
                <w:i/>
                <w:iCs/>
                <w:sz w:val="24"/>
                <w:szCs w:val="24"/>
              </w:rPr>
              <w:t xml:space="preserve">« La durabilité des systèmes de production agricole est la capacité de l’agriculture à maintenir durablement sa production et les services qu’elle procure, tout en préservant les sols, les forêts, l’eau, la biodiversité et le climat, et en renforçant sa capacité à résister aux changements climatiques et aux autres pressions environnementales. »</w:t>
            </w:r>
          </w:p>
        </w:tc>
      </w:tr>
    </w:tbl>
    <w:p>
      <w:pPr>
        <w:spacing w:after="120"/>
      </w:pPr>
    </w:p>
    <w:p>
      <w:pPr>
        <w:spacing w:after="140" w:before="0" w:line="276" w:lineRule="auto"/>
        <w:jc w:val="both"/>
      </w:pPr>
      <w:r>
        <w:rPr>
          <w:rFonts w:ascii="Garamond" w:cs="Garamond" w:eastAsia="Garamond" w:hAnsi="Garamond"/>
          <w:sz w:val="24"/>
          <w:szCs w:val="24"/>
        </w:rPr>
        <w:t xml:space="preserve">La durabilité comporte, dans son acception habituelle, des dimensions économique, sociale et environnementale ; c’est le cas de l’indicateur ODD 2.4.1 de la FAO, qui combine onze sous-indicateurs relevant de ces trois dimensions. Pour éviter les doubles comptes avec les autres axes, qui couvrent déjà la productivité, les revenus, le financement et le foncier, le tableau de bord se concentre ici principalement sur la dimension environnementale et climatique.</w:t>
      </w:r>
    </w:p>
    <w:p>
      <w:pPr>
        <w:spacing w:after="140" w:before="0" w:line="276" w:lineRule="auto"/>
        <w:jc w:val="both"/>
      </w:pPr>
      <w:r>
        <w:rPr>
          <w:rFonts w:ascii="Garamond" w:cs="Garamond" w:eastAsia="Garamond" w:hAnsi="Garamond"/>
          <w:sz w:val="24"/>
          <w:szCs w:val="24"/>
        </w:rPr>
        <w:t xml:space="preserve">Les références principales sont les travaux de la FAO sur l’agriculture durable et l’indicateur ODD 2.4.1, la Stratégie et le Plan d’action du PDDAA 2026-2035 adoptés avec la Déclaration de Kampala en janvier 2025, la Contribution déterminée au niveau national (CDN) de la Côte d’Ivoire révisée en 2022, ainsi que les politiques forestières et climatiques nationales, dont le Code forestier et la stratégie REDD+.</w:t>
      </w:r>
    </w:p>
    <w:p>
      <w:pPr>
        <w:pBdr>
          <w:top w:val="single" w:color="B7C9BE" w:sz="4" w:space="6"/>
          <w:bottom w:val="single" w:color="B7C9BE" w:sz="4" w:space="6"/>
        </w:pBdr>
        <w:spacing w:after="200" w:before="120"/>
        <w:jc w:val="center"/>
      </w:pPr>
      <w:r>
        <w:rPr>
          <w:rFonts w:ascii="Garamond" w:cs="Garamond" w:eastAsia="Garamond" w:hAnsi="Garamond"/>
          <w:i/>
          <w:iCs/>
          <w:color w:val="1F4E3D"/>
          <w:sz w:val="24"/>
          <w:szCs w:val="24"/>
        </w:rPr>
        <w:t xml:space="preserve">Produire autrement  →  préserver les écosystèmes  →  réduire l’empreinte climatique</w:t>
      </w:r>
    </w:p>
    <w:p>
      <w:pPr>
        <w:pStyle w:val="Heading2"/>
      </w:pPr>
      <w:r>
        <w:t xml:space="preserve">7.2. Indicateur 5.1 — Part de la superficie agricole sous pratiques de production durable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PAD</m:t>
            </m:r>
          </m:e>
          <m:sub>
            <m:r>
              <m:t>t</m:t>
            </m:r>
          </m:sub>
        </m:sSub>
        <m:r>
          <m:t>=</m:t>
        </m:r>
        <m:f>
          <m:num>
            <m:r>
              <m:t>Superficie agricole sous pratiques de production durable</m:t>
            </m:r>
            <m:sSub>
              <m:sSubPr/>
              <m:e>
                <m:r>
                  <m:t/>
                </m:r>
              </m:e>
              <m:sub>
                <m:r>
                  <m:t>t</m:t>
                </m:r>
              </m:sub>
            </m:sSub>
          </m:num>
          <m:den>
            <m:r>
              <m:t>Superficie agricole totale</m:t>
            </m:r>
            <m:sSub>
              <m:sSubPr/>
              <m:e>
                <m:r>
                  <m:t/>
                </m:r>
              </m:e>
              <m:sub>
                <m:r>
                  <m:t>t</m:t>
                </m:r>
              </m:sub>
            </m:sSub>
          </m:den>
        </m:f>
        <m:r>
          <m:t>×100</m:t>
        </m:r>
      </m:oMath>
      <w:r>
        <w:rPr>
          <w:rFonts w:ascii="Garamond" w:cs="Garamond" w:eastAsia="Garamond" w:hAnsi="Garamond"/>
          <w:color w:val="4A4A4A"/>
          <w:sz w:val="22"/>
          <w:szCs w:val="22"/>
        </w:rPr>
        <w:t xml:space="preserve">	(26)</w:t>
      </w:r>
    </w:p>
    <w:p>
      <w:pPr>
        <w:spacing w:after="140" w:before="0" w:line="276" w:lineRule="auto"/>
        <w:jc w:val="both"/>
      </w:pPr>
      <w:r>
        <w:rPr>
          <w:rFonts w:ascii="Garamond" w:cs="Garamond" w:eastAsia="Garamond" w:hAnsi="Garamond"/>
          <w:sz w:val="24"/>
          <w:szCs w:val="24"/>
        </w:rPr>
        <w:t xml:space="preserve">L’indicateur repose sur une liste nationale harmonisée de pratiques reconnues, établie à partir du cadre de la FAO et des documents ivoiriens, notamment la norme africaine ARS 1000 sur le cacao durable, rendue obligatoire en Côte d’Ivoire. Le tableau suivant présente les pratiques à examiner ; les critères minimaux d’application doivent être arrêtés pour chacune.</w:t>
      </w:r>
    </w:p>
    <w:p>
      <w:pPr>
        <w:keepNext/>
        <w:spacing w:after="80" w:before="200"/>
      </w:pPr>
      <w:r>
        <w:rPr>
          <w:rFonts w:ascii="Garamond" w:cs="Garamond" w:eastAsia="Garamond" w:hAnsi="Garamond"/>
          <w:b/>
          <w:bCs/>
          <w:color w:val="1F4E3D"/>
          <w:sz w:val="21"/>
          <w:szCs w:val="21"/>
        </w:rPr>
        <w:t xml:space="preserve">Tableau 7. </w:t>
      </w:r>
      <w:r>
        <w:rPr>
          <w:rFonts w:ascii="Garamond" w:cs="Garamond" w:eastAsia="Garamond" w:hAnsi="Garamond"/>
          <w:i/>
          <w:iCs/>
          <w:color w:val="4A4A4A"/>
          <w:sz w:val="21"/>
          <w:szCs w:val="21"/>
        </w:rPr>
        <w:t xml:space="preserve">Pratiques à examiner pour la liste nationale harmonisée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Pratique</w:t>
            </w:r>
          </w:p>
        </w:tc>
        <w:tc>
          <w:tcPr>
            <w:tcW w:type="dxa" w:w="647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Critère d’application à préciser</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Agroforesterie</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Densité minimale d’arbres d’ombrage ou d’essences associées par hectare.</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Rotations culturales</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Succession de cultures de familles différentes sur une période définie.</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Associations culturales</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Présence simultanée de cultures complémentaires sur la parcelle.</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Couverture des sols</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Part minimale de sol couverte (paillage, plantes de couverture) hors période de culture.</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Agriculture de conservation</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Travail minimal du sol, couverture permanente et diversification.</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Gestion raisonnée des engrais</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Doses fondées sur une recommandation ou une analyse de sol.</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Lutte intégrée contre les ravageurs</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Recours prioritaire aux méthodes non chimiques et traitement sur seuil.</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Restauration des sols</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Apport organique, amendements, aménagements antiérosifs.</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Irrigation économe</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Techniques d’irrigation à faible consommation d’eau.</w:t>
            </w:r>
          </w:p>
        </w:tc>
      </w:tr>
      <w:tr>
        <w:trPr>
          <w:cantSplit/>
        </w:trPr>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Autres pratiques reconnues</w:t>
            </w:r>
          </w:p>
        </w:tc>
        <w:tc>
          <w:tcPr>
            <w:tcW w:type="dxa" w:w="64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Pratiques certifiées (ARS 1000, agriculture biologique, autres référentiels), après examen.</w:t>
            </w:r>
          </w:p>
        </w:tc>
      </w:tr>
    </w:tbl>
    <w:p>
      <w:pPr>
        <w:spacing w:after="200" w:before="60"/>
      </w:pPr>
      <w:r>
        <w:rPr>
          <w:rFonts w:ascii="Garamond" w:cs="Garamond" w:eastAsia="Garamond" w:hAnsi="Garamond"/>
          <w:i/>
          <w:iCs/>
          <w:color w:val="4A4A4A"/>
          <w:sz w:val="18"/>
          <w:szCs w:val="18"/>
        </w:rPr>
        <w:t xml:space="preserve">Source : liste indicative à valider ; critères à définir avec les services techniques et l’ANADER.</w:t>
      </w:r>
    </w:p>
    <w:p>
      <w:pPr>
        <w:spacing w:after="140" w:before="0" w:line="276" w:lineRule="auto"/>
        <w:jc w:val="both"/>
      </w:pPr>
      <w:r>
        <w:rPr>
          <w:rFonts w:ascii="Garamond" w:cs="Garamond" w:eastAsia="Garamond" w:hAnsi="Garamond"/>
          <w:sz w:val="24"/>
          <w:szCs w:val="24"/>
        </w:rPr>
        <w:t xml:space="preserve">Une même parcelle peut appliquer plusieurs pratiques. Le numérateur est donc calculé comme l’union des superficies concernées et non comme la somme des superficies par pratique, qui pourrait dépasser la superficie agricole totale. Les hectares couverts sont privilégiés par rapport au nombre d’exploitations, car une exploitation peut n’appliquer une pratique que sur une fraction de ses parcelles.</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SPD</m:t>
            </m:r>
          </m:e>
          <m:sub>
            <m:r>
              <m:t>t</m:t>
            </m:r>
          </m:sub>
        </m:sSub>
        <m:r>
          <m:t>=</m:t>
        </m:r>
        <m:nary>
          <m:naryPr>
            <m:chr m:val="∑"/>
            <m:limLoc m:val="undOvr"/>
            <m:supHide m:val="1"/>
          </m:naryPr>
          <m:sub>
            <m:r>
              <m:t>p</m:t>
            </m:r>
          </m:sub>
          <m:sup/>
          <m:e>
            <m:sSub>
              <m:sSubPr/>
              <m:e>
                <m:r>
                  <m:t>a</m:t>
                </m:r>
              </m:e>
              <m:sub>
                <m:r>
                  <m:t>p</m:t>
                </m:r>
              </m:sub>
            </m:sSub>
            <m:r>
              <m:t>·</m:t>
            </m:r>
            <m:sSub>
              <m:sSubPr/>
              <m:e>
                <m:r>
                  <m:t>𝟙</m:t>
                </m:r>
              </m:e>
              <m:sub>
                <m:r>
                  <m:t>p,t</m:t>
                </m:r>
              </m:sub>
            </m:sSub>
          </m:e>
        </m:nary>
      </m:oMath>
      <w:r>
        <w:rPr>
          <w:rFonts w:ascii="Garamond" w:cs="Garamond" w:eastAsia="Garamond" w:hAnsi="Garamond"/>
          <w:color w:val="4A4A4A"/>
          <w:sz w:val="22"/>
          <w:szCs w:val="22"/>
        </w:rPr>
        <w:t xml:space="preserve">	(27)</w:t>
      </w:r>
    </w:p>
    <w:p>
      <w:pPr>
        <w:spacing w:after="140" w:before="0" w:line="276" w:lineRule="auto"/>
        <w:jc w:val="both"/>
      </w:pPr>
      <w:r>
        <w:rPr>
          <w:rFonts w:ascii="Garamond" w:cs="Garamond" w:eastAsia="Garamond" w:hAnsi="Garamond"/>
          <w:sz w:val="24"/>
          <w:szCs w:val="24"/>
        </w:rPr>
        <w:t xml:space="preserve">où l’indicatrice vaut 1 si au moins une pratique reconnue est appliquée sur la parcelle </w:t>
      </w:r>
      <w:r>
        <w:rPr>
          <w:rFonts w:ascii="Garamond" w:cs="Garamond" w:eastAsia="Garamond" w:hAnsi="Garamond"/>
          <w:i/>
          <w:iCs/>
          <w:sz w:val="24"/>
          <w:szCs w:val="24"/>
        </w:rPr>
        <w:t xml:space="preserve">p</w:t>
      </w:r>
      <w:r>
        <w:rPr>
          <w:rFonts w:ascii="Garamond" w:cs="Garamond" w:eastAsia="Garamond" w:hAnsi="Garamond"/>
          <w:sz w:val="24"/>
          <w:szCs w:val="24"/>
        </w:rPr>
        <w:t xml:space="preserve"> au cours de l’année </w:t>
      </w:r>
      <w:r>
        <w:rPr>
          <w:rFonts w:ascii="Garamond" w:cs="Garamond" w:eastAsia="Garamond" w:hAnsi="Garamond"/>
          <w:i/>
          <w:iCs/>
          <w:sz w:val="24"/>
          <w:szCs w:val="24"/>
        </w:rPr>
        <w:t xml:space="preserve">t</w:t>
      </w:r>
      <w:r>
        <w:rPr>
          <w:rFonts w:ascii="Garamond" w:cs="Garamond" w:eastAsia="Garamond" w:hAnsi="Garamond"/>
          <w:sz w:val="24"/>
          <w:szCs w:val="24"/>
        </w:rPr>
        <w:t xml:space="preserve">. Les superficies par pratique, y compris leurs recouvrements, sont suivies comme sous-indicateurs.</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Liste nationale harmonisée et critères minimaux d’application.</w:t>
      </w:r>
    </w:p>
    <w:p>
      <w:pPr>
        <w:pStyle w:val="ListParagraph"/>
        <w:numPr>
          <w:ilvl w:val="0"/>
          <w:numId w:val="2"/>
        </w:numPr>
        <w:spacing w:after="80" w:line="264" w:lineRule="auto"/>
        <w:jc w:val="both"/>
      </w:pPr>
      <w:r>
        <w:rPr>
          <w:rFonts w:ascii="Garamond" w:cs="Garamond" w:eastAsia="Garamond" w:hAnsi="Garamond"/>
          <w:sz w:val="22"/>
          <w:szCs w:val="22"/>
        </w:rPr>
        <w:t xml:space="preserve">Périmètre du dénominateur : superficie cultivée (terres arables et cultures permanentes) ou superficie agricole incluant les pâturages, en cohérence avec le champ du numérateur.</w:t>
      </w:r>
    </w:p>
    <w:p>
      <w:pPr>
        <w:pStyle w:val="ListParagraph"/>
        <w:numPr>
          <w:ilvl w:val="0"/>
          <w:numId w:val="2"/>
        </w:numPr>
        <w:spacing w:after="80" w:line="264" w:lineRule="auto"/>
        <w:jc w:val="both"/>
      </w:pPr>
      <w:r>
        <w:rPr>
          <w:rFonts w:ascii="Garamond" w:cs="Garamond" w:eastAsia="Garamond" w:hAnsi="Garamond"/>
          <w:sz w:val="22"/>
          <w:szCs w:val="22"/>
        </w:rPr>
        <w:t xml:space="preserve">Articulation avec l’ODD 2.4.1, qui évalue la durabilité par exploitation à partir de seuils et pourrait fournir un contrôle externe.</w:t>
      </w:r>
    </w:p>
    <w:p>
      <w:pPr>
        <w:pStyle w:val="Heading2"/>
      </w:pPr>
      <w:r>
        <w:t xml:space="preserve">7.3. Indicateur 5.2 — Taux de déforestation imputable à l’expansion agricole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TDA</m:t>
            </m:r>
          </m:e>
          <m:sub>
            <m:r>
              <m:t>t</m:t>
            </m:r>
          </m:sub>
        </m:sSub>
        <m:r>
          <m:t>=</m:t>
        </m:r>
        <m:f>
          <m:num>
            <m:r>
              <m:t>Superficie forestière convertie en terres agricoles</m:t>
            </m:r>
            <m:sSub>
              <m:sSubPr/>
              <m:e>
                <m:r>
                  <m:t/>
                </m:r>
              </m:e>
              <m:sub>
                <m:r>
                  <m:t>t</m:t>
                </m:r>
              </m:sub>
            </m:sSub>
          </m:num>
          <m:den>
            <m:r>
              <m:t>Superficie forestière au début de la période</m:t>
            </m:r>
            <m:sSub>
              <m:sSubPr/>
              <m:e>
                <m:r>
                  <m:t/>
                </m:r>
              </m:e>
              <m:sub>
                <m:r>
                  <m:t>t</m:t>
                </m:r>
              </m:sub>
            </m:sSub>
          </m:den>
        </m:f>
        <m:r>
          <m:t>×100</m:t>
        </m:r>
      </m:oMath>
      <w:r>
        <w:rPr>
          <w:rFonts w:ascii="Garamond" w:cs="Garamond" w:eastAsia="Garamond" w:hAnsi="Garamond"/>
          <w:color w:val="4A4A4A"/>
          <w:sz w:val="22"/>
          <w:szCs w:val="22"/>
        </w:rPr>
        <w:t xml:space="preserve">	(28)</w:t>
      </w:r>
    </w:p>
    <w:p>
      <w:pPr>
        <w:spacing w:after="140" w:before="0" w:line="276" w:lineRule="auto"/>
        <w:jc w:val="both"/>
      </w:pPr>
      <w:r>
        <w:rPr>
          <w:rFonts w:ascii="Garamond" w:cs="Garamond" w:eastAsia="Garamond" w:hAnsi="Garamond"/>
          <w:sz w:val="24"/>
          <w:szCs w:val="24"/>
        </w:rPr>
        <w:t xml:space="preserve">Seule est retenue la déforestation dont le changement d’usage final est agricole. La conversion des forêts résulte aussi de l’urbanisation, des infrastructures, de l’exploitation forestière, des incendies ou d’autres causes ; ces causes doivent être distinguées dans la matrice de changement d’occupation des terres. La mesure porte sur la déforestation brute : les reboisements ne viennent pas en déduction, car ils ne compensent ni la perte de biodiversité ni le carbone des forêts anciennes.</w:t>
      </w:r>
    </w:p>
    <w:p>
      <w:pPr>
        <w:spacing w:after="140" w:before="0" w:line="276" w:lineRule="auto"/>
        <w:jc w:val="both"/>
      </w:pPr>
      <w:r>
        <w:rPr>
          <w:rFonts w:ascii="Garamond" w:cs="Garamond" w:eastAsia="Garamond" w:hAnsi="Garamond"/>
          <w:sz w:val="24"/>
          <w:szCs w:val="24"/>
        </w:rPr>
        <w:t xml:space="preserve">Les travaux récents confirment la pertinence de l’indicateur. À l’échelle mondiale, l’agriculture est le principal moteur de la déforestation tropicale (Curtis et al., 2018 ; Pendrill et al., 2022). En Côte d’Ivoire, la cartographie des plantations de cacao par imagerie satellitaire a mis en évidence l’association entre cacaoculture et perte forestière, y compris dans les aires protégées (Kalischek et al., 2023). Le règlement (UE) 2023/1115 relatif aux produits sans déforestation confère en outre à cette mesure une portée commerciale directe.</w:t>
      </w:r>
    </w:p>
    <w:p>
      <w:pPr>
        <w:spacing w:after="140" w:before="0" w:line="276" w:lineRule="auto"/>
        <w:jc w:val="both"/>
      </w:pPr>
      <w:r>
        <w:rPr>
          <w:rFonts w:ascii="Garamond" w:cs="Garamond" w:eastAsia="Garamond" w:hAnsi="Garamond"/>
          <w:sz w:val="24"/>
          <w:szCs w:val="24"/>
        </w:rPr>
        <w:t xml:space="preserve">Lorsque les cartes d’occupation des terres ne sont disponibles qu’à des dates espacées, le taux doit être annualisé. Pour une période allant de t</w:t>
      </w:r>
      <w:r>
        <w:rPr>
          <w:rFonts w:ascii="Garamond" w:cs="Garamond" w:eastAsia="Garamond" w:hAnsi="Garamond"/>
          <w:sz w:val="24"/>
          <w:szCs w:val="24"/>
          <w:vertAlign w:val="subscript"/>
        </w:rPr>
        <w:t xml:space="preserve">1</w:t>
      </w:r>
      <w:r>
        <w:rPr>
          <w:rFonts w:ascii="Garamond" w:cs="Garamond" w:eastAsia="Garamond" w:hAnsi="Garamond"/>
          <w:sz w:val="24"/>
          <w:szCs w:val="24"/>
        </w:rPr>
        <w:t xml:space="preserve"> à t</w:t>
      </w:r>
      <w:r>
        <w:rPr>
          <w:rFonts w:ascii="Garamond" w:cs="Garamond" w:eastAsia="Garamond" w:hAnsi="Garamond"/>
          <w:sz w:val="24"/>
          <w:szCs w:val="24"/>
          <w:vertAlign w:val="subscript"/>
        </w:rPr>
        <w:t xml:space="preserve">2</w:t>
      </w:r>
      <w:r>
        <w:rPr>
          <w:rFonts w:ascii="Garamond" w:cs="Garamond" w:eastAsia="Garamond" w:hAnsi="Garamond"/>
          <w:sz w:val="24"/>
          <w:szCs w:val="24"/>
        </w:rPr>
        <w:t xml:space="preserve">, le taux annuel moyen s’écrit comme suit ; la formule de Puyravaud (2003), fondée sur un taux composé, peut être utilisée en contrôle.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TDA</m:t>
            </m:r>
          </m:e>
          <m:sub>
            <m:r>
              <m:t>annuel</m:t>
            </m:r>
          </m:sub>
        </m:sSub>
        <m:r>
          <m:t>=</m:t>
        </m:r>
        <m:f>
          <m:num>
            <m:sSub>
              <m:sSubPr/>
              <m:e>
                <m:r>
                  <m:t>SFA</m:t>
                </m:r>
              </m:e>
              <m:sub>
                <m:sSub>
                  <m:sSubPr/>
                  <m:e>
                    <m:r>
                      <m:t>t</m:t>
                    </m:r>
                  </m:e>
                  <m:sub>
                    <m:r>
                      <m:t>1</m:t>
                    </m:r>
                  </m:sub>
                </m:sSub>
                <m:r>
                  <m:t>→</m:t>
                </m:r>
                <m:sSub>
                  <m:sSubPr/>
                  <m:e>
                    <m:r>
                      <m:t>t</m:t>
                    </m:r>
                  </m:e>
                  <m:sub>
                    <m:r>
                      <m:t>2</m:t>
                    </m:r>
                  </m:sub>
                </m:sSub>
              </m:sub>
            </m:sSub>
          </m:num>
          <m:den>
            <m:sSub>
              <m:sSubPr/>
              <m:e>
                <m:r>
                  <m:t>SF</m:t>
                </m:r>
              </m:e>
              <m:sub>
                <m:sSub>
                  <m:sSubPr/>
                  <m:e>
                    <m:r>
                      <m:t>t</m:t>
                    </m:r>
                  </m:e>
                  <m:sub>
                    <m:r>
                      <m:t>1</m:t>
                    </m:r>
                  </m:sub>
                </m:sSub>
              </m:sub>
            </m:sSub>
            <m:r>
              <m:t>×</m:t>
            </m:r>
            <m:d>
              <m:dPr/>
              <m:e>
                <m:sSub>
                  <m:sSubPr/>
                  <m:e>
                    <m:r>
                      <m:t>t</m:t>
                    </m:r>
                  </m:e>
                  <m:sub>
                    <m:r>
                      <m:t>2</m:t>
                    </m:r>
                  </m:sub>
                </m:sSub>
                <m:r>
                  <m:t>−</m:t>
                </m:r>
                <m:sSub>
                  <m:sSubPr/>
                  <m:e>
                    <m:r>
                      <m:t>t</m:t>
                    </m:r>
                  </m:e>
                  <m:sub>
                    <m:r>
                      <m:t>1</m:t>
                    </m:r>
                  </m:sub>
                </m:sSub>
              </m:e>
            </m:d>
          </m:den>
        </m:f>
        <m:r>
          <m:t>×100</m:t>
        </m:r>
      </m:oMath>
      <w:r>
        <w:rPr>
          <w:rFonts w:ascii="Garamond" w:cs="Garamond" w:eastAsia="Garamond" w:hAnsi="Garamond"/>
          <w:color w:val="4A4A4A"/>
          <w:sz w:val="22"/>
          <w:szCs w:val="22"/>
        </w:rPr>
        <w:t xml:space="preserve">	(29)</w:t>
      </w:r>
    </w:p>
    <w:p>
      <w:pPr>
        <w:spacing w:after="140" w:before="0" w:line="276" w:lineRule="auto"/>
        <w:jc w:val="both"/>
      </w:pPr>
      <w:r>
        <w:rPr>
          <w:rFonts w:ascii="Garamond" w:cs="Garamond" w:eastAsia="Garamond" w:hAnsi="Garamond"/>
          <w:sz w:val="24"/>
          <w:szCs w:val="24"/>
        </w:rPr>
        <w:t xml:space="preserve">L’objectif de long terme est un découplage entre la croissance de la production agricole et la conversion forestière. La lecture conjointe de cet indicateur et de l’indice de productivité à superficie constante (indicateur 2.1) permet de vérifier si la croissance provient de gains de rendement plutôt que de nouvelles surfaces.</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Définition de la forêt : définition nationale retenue pour les rapports REDD+ ou définition de la FAO, à fixer et à conserver.</w:t>
      </w:r>
    </w:p>
    <w:p>
      <w:pPr>
        <w:pStyle w:val="ListParagraph"/>
        <w:numPr>
          <w:ilvl w:val="0"/>
          <w:numId w:val="2"/>
        </w:numPr>
        <w:spacing w:after="80" w:line="264" w:lineRule="auto"/>
        <w:jc w:val="both"/>
      </w:pPr>
      <w:r>
        <w:rPr>
          <w:rFonts w:ascii="Garamond" w:cs="Garamond" w:eastAsia="Garamond" w:hAnsi="Garamond"/>
          <w:sz w:val="22"/>
          <w:szCs w:val="22"/>
        </w:rPr>
        <w:t xml:space="preserve">Classement de l’agroforesterie cacaoyère, qui peut être confondue avec la forêt dans certains produits satellitaires.</w:t>
      </w:r>
    </w:p>
    <w:p>
      <w:pPr>
        <w:pStyle w:val="ListParagraph"/>
        <w:numPr>
          <w:ilvl w:val="0"/>
          <w:numId w:val="2"/>
        </w:numPr>
        <w:spacing w:after="80" w:line="264" w:lineRule="auto"/>
        <w:jc w:val="both"/>
      </w:pPr>
      <w:r>
        <w:rPr>
          <w:rFonts w:ascii="Garamond" w:cs="Garamond" w:eastAsia="Garamond" w:hAnsi="Garamond"/>
          <w:sz w:val="22"/>
          <w:szCs w:val="22"/>
        </w:rPr>
        <w:t xml:space="preserve">Source de référence : cartographie nationale ou produits mondiaux (Hansen et al., 2013 ; Vancutsem et al., 2021), avec méthode d’attribution de l’usage final.</w:t>
      </w:r>
    </w:p>
    <w:p>
      <w:pPr>
        <w:pStyle w:val="Heading2"/>
      </w:pPr>
      <w:r>
        <w:t xml:space="preserve">7.4. Indicateur 5.3 — Intensité des émissions de gaz à effet de serre de la production agricole</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IC</m:t>
            </m:r>
          </m:e>
          <m:sub>
            <m:r>
              <m:t>t</m:t>
            </m:r>
          </m:sub>
        </m:sSub>
        <m:r>
          <m:t>=</m:t>
        </m:r>
        <m:f>
          <m:num>
            <m:r>
              <m:t>Émissions agricoles</m:t>
            </m:r>
            <m:sSub>
              <m:sSubPr/>
              <m:e>
                <m:r>
                  <m:t/>
                </m:r>
              </m:e>
              <m:sub>
                <m:r>
                  <m:t>t</m:t>
                </m:r>
              </m:sub>
            </m:sSub>
          </m:num>
          <m:den>
            <m:r>
              <m:t>Valeur réelle de la production agricole</m:t>
            </m:r>
            <m:sSub>
              <m:sSubPr/>
              <m:e>
                <m:r>
                  <m:t/>
                </m:r>
              </m:e>
              <m:sub>
                <m:r>
                  <m:t>t</m:t>
                </m:r>
              </m:sub>
            </m:sSub>
          </m:den>
        </m:f>
      </m:oMath>
      <w:r>
        <w:rPr>
          <w:rFonts w:ascii="Garamond" w:cs="Garamond" w:eastAsia="Garamond" w:hAnsi="Garamond"/>
          <w:color w:val="4A4A4A"/>
          <w:sz w:val="22"/>
          <w:szCs w:val="22"/>
        </w:rPr>
        <w:t xml:space="preserve">	(30)</w:t>
      </w:r>
    </w:p>
    <w:p>
      <w:pPr>
        <w:spacing w:after="140" w:before="0" w:line="276" w:lineRule="auto"/>
        <w:jc w:val="both"/>
      </w:pPr>
      <w:r>
        <w:rPr>
          <w:rFonts w:ascii="Garamond" w:cs="Garamond" w:eastAsia="Garamond" w:hAnsi="Garamond"/>
          <w:sz w:val="24"/>
          <w:szCs w:val="24"/>
        </w:rPr>
        <w:t xml:space="preserve">ou, selon la série statistique la plus robuste :</w:t>
      </w:r>
    </w:p>
    <w:p>
      <w:pPr>
        <w:keepLines/>
        <w:tabs>
          <w:tab w:val="center" w:pos="4535"/>
          <w:tab w:val="right" w:pos="9070"/>
        </w:tabs>
        <w:spacing w:after="160" w:before="120" w:line="240" w:lineRule="auto"/>
      </w:pPr>
      <w:r>
        <w:rPr>
          <w:rFonts w:ascii="Garamond" w:cs="Garamond" w:eastAsia="Garamond" w:hAnsi="Garamond"/>
        </w:rPr>
        <w:t xml:space="preserve">	</w:t>
      </w:r>
      <m:oMath>
        <m:sSub>
          <m:sSubPr/>
          <m:e>
            <m:r>
              <m:t>IC</m:t>
            </m:r>
          </m:e>
          <m:sub>
            <m:r>
              <m:t>t</m:t>
            </m:r>
          </m:sub>
        </m:sSub>
        <m:r>
          <m:t>=</m:t>
        </m:r>
        <m:f>
          <m:num>
            <m:r>
              <m:t>Émissions agricoles</m:t>
            </m:r>
            <m:sSub>
              <m:sSubPr/>
              <m:e>
                <m:r>
                  <m:t/>
                </m:r>
              </m:e>
              <m:sub>
                <m:r>
                  <m:t>t</m:t>
                </m:r>
              </m:sub>
            </m:sSub>
          </m:num>
          <m:den>
            <m:r>
              <m:t>Valeur ajoutée agricole réelle</m:t>
            </m:r>
            <m:sSub>
              <m:sSubPr/>
              <m:e>
                <m:r>
                  <m:t/>
                </m:r>
              </m:e>
              <m:sub>
                <m:r>
                  <m:t>t</m:t>
                </m:r>
              </m:sub>
            </m:sSub>
          </m:den>
        </m:f>
      </m:oMath>
      <w:r>
        <w:rPr>
          <w:rFonts w:ascii="Garamond" w:cs="Garamond" w:eastAsia="Garamond" w:hAnsi="Garamond"/>
          <w:color w:val="4A4A4A"/>
          <w:sz w:val="22"/>
          <w:szCs w:val="22"/>
        </w:rPr>
        <w:t xml:space="preserve">	(31)</w:t>
      </w:r>
    </w:p>
    <w:p>
      <w:pPr>
        <w:spacing w:after="140" w:before="0" w:line="276" w:lineRule="auto"/>
        <w:jc w:val="both"/>
      </w:pPr>
      <w:r>
        <w:rPr>
          <w:rFonts w:ascii="Garamond" w:cs="Garamond" w:eastAsia="Garamond" w:hAnsi="Garamond"/>
          <w:sz w:val="24"/>
          <w:szCs w:val="24"/>
        </w:rPr>
        <w:t xml:space="preserve">L’unité est la tonne d’équivalent CO₂ par million de FCFA constants. Plus l’indicateur diminue, plus la production agricole devient sobre en carbone. Le dénominateur doit être exprimé à prix constants : à prix courants, une hausse des prix agricoles ferait baisser l’intensité sans aucun changement des pratiques.</w:t>
      </w:r>
    </w:p>
    <w:p>
      <w:pPr>
        <w:spacing w:after="140" w:before="0" w:line="276" w:lineRule="auto"/>
        <w:jc w:val="both"/>
      </w:pPr>
      <w:r>
        <w:rPr>
          <w:rFonts w:ascii="Garamond" w:cs="Garamond" w:eastAsia="Garamond" w:hAnsi="Garamond"/>
          <w:sz w:val="24"/>
          <w:szCs w:val="24"/>
        </w:rPr>
        <w:t xml:space="preserve">Pour éviter un double comptage avec l’indicateur 5.2, les émissions directement associées au changement d’affectation des terres et à la déforestation sont exclues, lorsque cela est méthodologiquement possible. Le numérateur correspond ainsi à la catégorie des émissions « à la ferme » (farm gate) de FAOSTAT, qui distingue ces émissions de celles liées au changement d’affectation des terres et de celles des étapes situées en amont et en aval de la production. Il comprend notamment les émissions des sols agricoles, la fertilisation, la fermentation entérique de l’élevage, la riziculture, la gestion des déjections, le brûlage des résidus agricoles et les autres sources comprises dans les inventaires agricoles établis selon les lignes directrices du GIEC.</w:t>
      </w:r>
    </w:p>
    <w:p>
      <w:pPr>
        <w:spacing w:after="140" w:before="0" w:line="276" w:lineRule="auto"/>
        <w:jc w:val="both"/>
      </w:pPr>
      <w:r>
        <w:rPr>
          <w:rFonts w:ascii="Garamond" w:cs="Garamond" w:eastAsia="Garamond" w:hAnsi="Garamond"/>
          <w:sz w:val="24"/>
          <w:szCs w:val="24"/>
        </w:rPr>
        <w:t xml:space="preserve">FAOSTAT publie une intensité d’émissions par valeur de la production agricole, qui fournit une base de comparaison internationale. L’inventaire national, établi pour les rapports à la Convention-cadre des Nations unies sur les changements climatiques, reste la source de référence dès lors qu’il est disponible sous forme de série annuelle homogène.</w:t>
      </w:r>
    </w:p>
    <w:p>
      <w:pPr>
        <w:keepNext/>
        <w:spacing w:after="80" w:before="120"/>
      </w:pPr>
      <w:r>
        <w:rPr>
          <w:rFonts w:ascii="Garamond" w:cs="Garamond" w:eastAsia="Garamond" w:hAnsi="Garamond"/>
          <w:b/>
          <w:bCs/>
          <w:color w:val="1F4E3D"/>
          <w:sz w:val="22"/>
          <w:szCs w:val="22"/>
        </w:rPr>
        <w:t xml:space="preserve">Précisions méthodologiques à documenter</w:t>
      </w:r>
    </w:p>
    <w:p>
      <w:pPr>
        <w:pStyle w:val="ListParagraph"/>
        <w:numPr>
          <w:ilvl w:val="0"/>
          <w:numId w:val="2"/>
        </w:numPr>
        <w:spacing w:after="80" w:line="264" w:lineRule="auto"/>
        <w:jc w:val="both"/>
      </w:pPr>
      <w:r>
        <w:rPr>
          <w:rFonts w:ascii="Garamond" w:cs="Garamond" w:eastAsia="Garamond" w:hAnsi="Garamond"/>
          <w:sz w:val="22"/>
          <w:szCs w:val="22"/>
        </w:rPr>
        <w:t xml:space="preserve">Choix définitif du dénominateur (valeur de la production ou valeur ajoutée), en veillant à la cohérence de périmètre : si la valeur ajoutée inclut la sylviculture et la pêche, les émissions correspondantes doivent être traitées de manière symétrique.</w:t>
      </w:r>
    </w:p>
    <w:p>
      <w:pPr>
        <w:pStyle w:val="ListParagraph"/>
        <w:numPr>
          <w:ilvl w:val="0"/>
          <w:numId w:val="2"/>
        </w:numPr>
        <w:spacing w:after="80" w:line="264" w:lineRule="auto"/>
        <w:jc w:val="both"/>
      </w:pPr>
      <w:r>
        <w:rPr>
          <w:rFonts w:ascii="Garamond" w:cs="Garamond" w:eastAsia="Garamond" w:hAnsi="Garamond"/>
          <w:sz w:val="22"/>
          <w:szCs w:val="22"/>
        </w:rPr>
        <w:t xml:space="preserve">Jeu de potentiels de réchauffement global (FAOSTAT utilise ceux du cinquième rapport d’évaluation du GIEC), à maintenir fixe sur toute la série.</w:t>
      </w:r>
    </w:p>
    <w:p>
      <w:pPr>
        <w:pStyle w:val="ListParagraph"/>
        <w:numPr>
          <w:ilvl w:val="0"/>
          <w:numId w:val="2"/>
        </w:numPr>
        <w:spacing w:after="80" w:line="264" w:lineRule="auto"/>
        <w:jc w:val="both"/>
      </w:pPr>
      <w:r>
        <w:rPr>
          <w:rFonts w:ascii="Garamond" w:cs="Garamond" w:eastAsia="Garamond" w:hAnsi="Garamond"/>
          <w:sz w:val="22"/>
          <w:szCs w:val="22"/>
        </w:rPr>
        <w:t xml:space="preserve">Rapprochement entre inventaire national et FAOSTAT, et documentation des écarts.</w:t>
      </w:r>
    </w:p>
    <w:p>
      <w:pPr>
        <w:pStyle w:val="Heading3"/>
      </w:pPr>
      <w:r>
        <w:t xml:space="preserve">Indicateurs complémentaires (à titre secondaire)</w:t>
      </w:r>
    </w:p>
    <w:p>
      <w:pPr>
        <w:spacing w:after="140" w:before="0" w:line="276" w:lineRule="auto"/>
        <w:jc w:val="both"/>
      </w:pPr>
      <w:r>
        <w:rPr>
          <w:rFonts w:ascii="Garamond" w:cs="Garamond" w:eastAsia="Garamond" w:hAnsi="Garamond"/>
          <w:sz w:val="24"/>
          <w:szCs w:val="24"/>
        </w:rPr>
        <w:t xml:space="preserve">Les indicateurs suivants peuvent éclairer la lecture des indicateurs principaux. Ils ne font pas partie du tableau de bord principal et ne se substituent à aucun indicateur retenu.</w:t>
      </w:r>
    </w:p>
    <w:p>
      <w:pPr>
        <w:pStyle w:val="ListParagraph"/>
        <w:numPr>
          <w:ilvl w:val="0"/>
          <w:numId w:val="2"/>
        </w:numPr>
        <w:spacing w:after="80" w:line="264" w:lineRule="auto"/>
        <w:jc w:val="both"/>
      </w:pPr>
      <w:r>
        <w:rPr>
          <w:rFonts w:ascii="Garamond" w:cs="Garamond" w:eastAsia="Garamond" w:hAnsi="Garamond"/>
          <w:sz w:val="24"/>
          <w:szCs w:val="24"/>
        </w:rPr>
        <w:t xml:space="preserve">Émissions agricoles absolues, car une baisse de l’intensité peut coexister avec une hausse des émissions totales.</w:t>
      </w:r>
    </w:p>
    <w:p>
      <w:pPr>
        <w:pStyle w:val="ListParagraph"/>
        <w:numPr>
          <w:ilvl w:val="0"/>
          <w:numId w:val="2"/>
        </w:numPr>
        <w:spacing w:after="80" w:line="264" w:lineRule="auto"/>
        <w:jc w:val="both"/>
      </w:pPr>
      <w:r>
        <w:rPr>
          <w:rFonts w:ascii="Garamond" w:cs="Garamond" w:eastAsia="Garamond" w:hAnsi="Garamond"/>
          <w:sz w:val="24"/>
          <w:szCs w:val="24"/>
        </w:rPr>
        <w:t xml:space="preserve">Indicateur ODD 2.4.1 (proportion de la superficie agricole exploitée de manière productive et durable).</w:t>
      </w:r>
    </w:p>
    <w:p>
      <w:pPr>
        <w:pStyle w:val="ListParagraph"/>
        <w:numPr>
          <w:ilvl w:val="0"/>
          <w:numId w:val="2"/>
        </w:numPr>
        <w:spacing w:after="80" w:line="264" w:lineRule="auto"/>
        <w:jc w:val="both"/>
      </w:pPr>
      <w:r>
        <w:rPr>
          <w:rFonts w:ascii="Garamond" w:cs="Garamond" w:eastAsia="Garamond" w:hAnsi="Garamond"/>
          <w:sz w:val="24"/>
          <w:szCs w:val="24"/>
        </w:rPr>
        <w:t xml:space="preserve">Consommation d’engrais minéraux par hectare cultivé et superficie forestière totale.</w:t>
      </w:r>
    </w:p>
    <w:p>
      <w:pPr>
        <w:sectPr>
          <w:headerReference w:type="default" r:id="rId6"/>
          <w:footerReference w:type="default" r:id="rId7"/>
          <w:type w:val="nextPage"/>
          <w:pgSz w:w="11906" w:h="16838" w:orient="portrait"/>
          <w:pgMar w:top="1418" w:right="1418" w:bottom="1304" w:left="1418" w:header="709" w:footer="624" w:gutter="0"/>
          <w:pgNumType w:start="1"/>
          <w:docGrid w:linePitch="360"/>
        </w:sectPr>
      </w:pPr>
    </w:p>
    <w:p>
      <w:pPr>
        <w:pStyle w:val="Heading1"/>
      </w:pPr>
      <w:r>
        <w:t xml:space="preserve">8. Tableau méthodologique final</w:t>
      </w:r>
    </w:p>
    <w:p>
      <w:pPr>
        <w:spacing w:after="140" w:before="0" w:line="276" w:lineRule="auto"/>
        <w:jc w:val="both"/>
      </w:pPr>
      <w:r>
        <w:rPr>
          <w:rFonts w:ascii="Garamond" w:cs="Garamond" w:eastAsia="Garamond" w:hAnsi="Garamond"/>
          <w:sz w:val="22"/>
          <w:szCs w:val="22"/>
        </w:rPr>
        <w:t xml:space="preserve">Le tableau méthodologique rassemble, pour les quinze indicateurs, les quinze rubriques qui en fixent le calcul et l’usage. Pour préserver la lisibilité, il est présenté en deux parties : la première (tableau 8) décrit le contenu de chaque indicateur ; la seconde (tableau 9) en précise les conditions de production et de lecture. Les informations sont strictement identiques à celles des fiches de l’annexe, qui en constituent la version détaillée. Dans la colonne « disponibilité historique », seuls les éléments vérifiés dans les sources originales sont mentionnés ; les autres portent la mention « disponibilité de la série à vérifier ».</w:t>
      </w:r>
    </w:p>
    <w:p>
      <w:pPr>
        <w:keepNext/>
        <w:spacing w:after="80" w:before="200"/>
      </w:pPr>
      <w:r>
        <w:rPr>
          <w:rFonts w:ascii="Garamond" w:cs="Garamond" w:eastAsia="Garamond" w:hAnsi="Garamond"/>
          <w:b/>
          <w:bCs/>
          <w:color w:val="1F4E3D"/>
          <w:sz w:val="21"/>
          <w:szCs w:val="21"/>
        </w:rPr>
        <w:t xml:space="preserve">Tableau 8. </w:t>
      </w:r>
      <w:r>
        <w:rPr>
          <w:rFonts w:ascii="Garamond" w:cs="Garamond" w:eastAsia="Garamond" w:hAnsi="Garamond"/>
          <w:i/>
          <w:iCs/>
          <w:color w:val="4A4A4A"/>
          <w:sz w:val="21"/>
          <w:szCs w:val="21"/>
        </w:rPr>
        <w:t xml:space="preserve">Tableau méthodologique final (1/2) — contenu des indicateurs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600"/>
        <w:gridCol w:w="2500"/>
        <w:gridCol w:w="2000"/>
        <w:gridCol w:w="2000"/>
        <w:gridCol w:w="1000"/>
        <w:gridCol w:w="1270"/>
      </w:tblGrid>
      <w:tr>
        <w:trPr>
          <w:cantSplit/>
          <w:tblHeader/>
        </w:trPr>
        <w:tc>
          <w:tcPr>
            <w:tcW w:type="dxa" w:w="13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Axe</w:t>
            </w:r>
          </w:p>
        </w:tc>
        <w:tc>
          <w:tcPr>
            <w:tcW w:type="dxa" w:w="19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Indicateur</w:t>
            </w:r>
          </w:p>
        </w:tc>
        <w:tc>
          <w:tcPr>
            <w:tcW w:type="dxa" w:w="26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Définition</w:t>
            </w:r>
          </w:p>
        </w:tc>
        <w:tc>
          <w:tcPr>
            <w:tcW w:type="dxa" w:w="25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Formule</w:t>
            </w:r>
          </w:p>
        </w:tc>
        <w:tc>
          <w:tcPr>
            <w:tcW w:type="dxa" w:w="20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Numérateur</w:t>
            </w:r>
          </w:p>
        </w:tc>
        <w:tc>
          <w:tcPr>
            <w:tcW w:type="dxa" w:w="20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Dénominateur</w:t>
            </w:r>
          </w:p>
        </w:tc>
        <w:tc>
          <w:tcPr>
            <w:tcW w:type="dxa" w:w="10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Unité</w:t>
            </w:r>
          </w:p>
        </w:tc>
        <w:tc>
          <w:tcPr>
            <w:tcW w:type="dxa" w:w="127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Sens souhaité</w:t>
            </w:r>
          </w:p>
        </w:tc>
      </w:tr>
      <w:tr>
        <w:trPr>
          <w:cantSplit/>
        </w:trPr>
        <w:tc>
          <w:tcPr>
            <w:tcW w:type="dxa" w:w="130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5"/>
                <w:szCs w:val="15"/>
              </w:rPr>
              <w:t xml:space="preserve">1. Souveraineté alimentaire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1.1 Taux de couverture des besoins alimentaires par la production nationale</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Moyenne pondérée, sur un panier alimentaire ivoirien commun, des rapports entre production nationale et consommation apparente de chaque produit, les pondérations correspondant à la part fixe de chaque produit dans l’apport calorique du panier au cours de la période de référence.</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TC</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Σ</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rPr>
              <w:t xml:space="preserve"> w</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vertAlign w:val="superscript"/>
              </w:rPr>
              <w:t xml:space="preserve">0</w:t>
            </w:r>
            <w:r>
              <w:rPr>
                <w:rFonts w:ascii="Garamond" w:cs="Garamond" w:eastAsia="Garamond" w:hAnsi="Garamond"/>
                <w:b w:val="false"/>
                <w:bCs w:val="false"/>
                <w:sz w:val="15"/>
                <w:szCs w:val="15"/>
              </w:rPr>
              <w:t xml:space="preserve"> × TC</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avec TC</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P</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C</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100 et C</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P</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M</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X</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ΔStocks</w:t>
            </w:r>
            <w:r>
              <w:rPr>
                <w:rFonts w:ascii="Garamond" w:cs="Garamond" w:eastAsia="Garamond" w:hAnsi="Garamond"/>
                <w:b w:val="false"/>
                <w:bCs w:val="false"/>
                <w:sz w:val="15"/>
                <w:szCs w:val="15"/>
                <w:vertAlign w:val="subscript"/>
              </w:rPr>
              <w:t xml:space="preserve">i,t</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Production nationale du produit i, exprimée au même stade que la consommation (équivalent produit).</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Consommation apparente du produit i : production + importations − exportations ± variation des stocks.</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2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1.2 Indice de production vivrière par habitant</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Indice pondéré des productions par habitant des produits du panier alimentaire commun, rapportées à leur niveau moyen de la période de référence (base 100), avec les pondérations caloriques du taux de couverture.</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IPVH</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Σ</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rPr>
              <w:t xml:space="preserve"> w</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vertAlign w:val="superscript"/>
              </w:rPr>
              <w:t xml:space="preserve">0</w:t>
            </w:r>
            <w:r>
              <w:rPr>
                <w:rFonts w:ascii="Garamond" w:cs="Garamond" w:eastAsia="Garamond" w:hAnsi="Garamond"/>
                <w:b w:val="false"/>
                <w:bCs w:val="false"/>
                <w:sz w:val="15"/>
                <w:szCs w:val="15"/>
              </w:rPr>
              <w:t xml:space="preserve"> × I</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avec I</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(P</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N</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(P̄</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vertAlign w:val="superscript"/>
              </w:rPr>
              <w:t xml:space="preserve">0</w:t>
            </w:r>
            <w:r>
              <w:rPr>
                <w:rFonts w:ascii="Garamond" w:cs="Garamond" w:eastAsia="Garamond" w:hAnsi="Garamond"/>
                <w:b w:val="false"/>
                <w:bCs w:val="false"/>
                <w:sz w:val="15"/>
                <w:szCs w:val="15"/>
              </w:rPr>
              <w:t xml:space="preserve"> / N̄</w:t>
            </w:r>
            <w:r>
              <w:rPr>
                <w:rFonts w:ascii="Garamond" w:cs="Garamond" w:eastAsia="Garamond" w:hAnsi="Garamond"/>
                <w:b w:val="false"/>
                <w:bCs w:val="false"/>
                <w:sz w:val="15"/>
                <w:szCs w:val="15"/>
                <w:vertAlign w:val="superscript"/>
              </w:rPr>
              <w:t xml:space="preserve">0</w:t>
            </w:r>
            <w:r>
              <w:rPr>
                <w:rFonts w:ascii="Garamond" w:cs="Garamond" w:eastAsia="Garamond" w:hAnsi="Garamond"/>
                <w:b w:val="false"/>
                <w:bCs w:val="false"/>
                <w:sz w:val="15"/>
                <w:szCs w:val="15"/>
              </w:rPr>
              <w:t xml:space="preserve">) × 100</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Production par habitant du produit i au cours de l’année t.</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Production moyenne par habitant du produit i au cours de la période de référence.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Indice (période de référence = 100)</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1.3 Variabilité de la production vivrière par habitant</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Écart type, sur une fenêtre mobile de cinq ans, des écarts entre la série agrégée de production vivrière par habitant (IPVH) et sa tendance.</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VPROD</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SD(e</w:t>
            </w:r>
            <w:r>
              <w:rPr>
                <w:rFonts w:ascii="Garamond" w:cs="Garamond" w:eastAsia="Garamond" w:hAnsi="Garamond"/>
                <w:b w:val="false"/>
                <w:bCs w:val="false"/>
                <w:sz w:val="15"/>
                <w:szCs w:val="15"/>
                <w:vertAlign w:val="subscript"/>
              </w:rPr>
              <w:t xml:space="preserve">t−4</w:t>
            </w:r>
            <w:r>
              <w:rPr>
                <w:rFonts w:ascii="Garamond" w:cs="Garamond" w:eastAsia="Garamond" w:hAnsi="Garamond"/>
                <w:b w:val="false"/>
                <w:bCs w:val="false"/>
                <w:sz w:val="15"/>
                <w:szCs w:val="15"/>
              </w:rPr>
              <w:t xml:space="preserve">, …, e</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avec e</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y</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ŷ</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et y</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IPVH</w:t>
            </w:r>
            <w:r>
              <w:rPr>
                <w:rFonts w:ascii="Garamond" w:cs="Garamond" w:eastAsia="Garamond" w:hAnsi="Garamond"/>
                <w:b w:val="false"/>
                <w:bCs w:val="false"/>
                <w:sz w:val="15"/>
                <w:szCs w:val="15"/>
                <w:vertAlign w:val="subscript"/>
              </w:rPr>
              <w:t xml:space="preserve">t</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Sans objet (mesure de dispersion).</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Sans objet.</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Points d’indice</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Baisse</w:t>
            </w:r>
          </w:p>
        </w:tc>
      </w:tr>
      <w:tr>
        <w:trPr>
          <w:cantSplit/>
        </w:trPr>
        <w:tc>
          <w:tcPr>
            <w:tcW w:type="dxa" w:w="130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5"/>
                <w:szCs w:val="15"/>
              </w:rPr>
              <w:t xml:space="preserve">2. Compétitivité de l’agriculture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2.1 Indice de productivité des cultures à superficie constante</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Indice pondéré des rendements (production par hectare récolté) des principales cultures, rapportés à leur niveau de la période de référence, les pondérations étant les parts des cultures dans la valeur de la production végétale de la période de référence.</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IP</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Σ</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rPr>
              <w:t xml:space="preserve"> w</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vertAlign w:val="superscript"/>
              </w:rPr>
              <w:t xml:space="preserve">0</w:t>
            </w:r>
            <w:r>
              <w:rPr>
                <w:rFonts w:ascii="Garamond" w:cs="Garamond" w:eastAsia="Garamond" w:hAnsi="Garamond"/>
                <w:b w:val="false"/>
                <w:bCs w:val="false"/>
                <w:sz w:val="15"/>
                <w:szCs w:val="15"/>
              </w:rPr>
              <w:t xml:space="preserve"> × IR</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avec IR</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R</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R</w:t>
            </w:r>
            <w:r>
              <w:rPr>
                <w:rFonts w:ascii="Garamond" w:cs="Garamond" w:eastAsia="Garamond" w:hAnsi="Garamond"/>
                <w:b w:val="false"/>
                <w:bCs w:val="false"/>
                <w:sz w:val="15"/>
                <w:szCs w:val="15"/>
                <w:vertAlign w:val="subscript"/>
              </w:rPr>
              <w:t xml:space="preserve">i,0</w:t>
            </w:r>
            <w:r>
              <w:rPr>
                <w:rFonts w:ascii="Garamond" w:cs="Garamond" w:eastAsia="Garamond" w:hAnsi="Garamond"/>
                <w:b w:val="false"/>
                <w:bCs w:val="false"/>
                <w:sz w:val="15"/>
                <w:szCs w:val="15"/>
              </w:rPr>
              <w:t xml:space="preserve"> × 100 et R</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Q</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S</w:t>
            </w:r>
            <w:r>
              <w:rPr>
                <w:rFonts w:ascii="Garamond" w:cs="Garamond" w:eastAsia="Garamond" w:hAnsi="Garamond"/>
                <w:b w:val="false"/>
                <w:bCs w:val="false"/>
                <w:sz w:val="15"/>
                <w:szCs w:val="15"/>
                <w:vertAlign w:val="subscript"/>
              </w:rPr>
              <w:t xml:space="preserve">i,t</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Rendement de la culture i au cours de l’année t.</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Rendement de la culture i au cours de la période de référence.</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Indice (période de référence = 100)</w:t>
            </w:r>
          </w:p>
        </w:tc>
        <w:tc>
          <w:tcPr>
            <w:tcW w:type="dxa" w:w="12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2.2 Taux de pertes post-récolte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Rapport entre les quantités perdues après la récolte (manutention, stockage, transport, jusqu’à l’entrée en transformation ou la mise sur le marché) et la production, agrégé par moyenne pondérée sur les produits suivis.</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TPR</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Σ</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rPr>
              <w:t xml:space="preserve"> w</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vertAlign w:val="superscript"/>
              </w:rPr>
              <w:t xml:space="preserve">0</w:t>
            </w:r>
            <w:r>
              <w:rPr>
                <w:rFonts w:ascii="Garamond" w:cs="Garamond" w:eastAsia="Garamond" w:hAnsi="Garamond"/>
                <w:b w:val="false"/>
                <w:bCs w:val="false"/>
                <w:sz w:val="15"/>
                <w:szCs w:val="15"/>
              </w:rPr>
              <w:t xml:space="preserve"> × TPR</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avec TPR</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Pertes post-récolte</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Production</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100</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Pertes quantitatives post-récolte du produit i (L), de la récolte à l’entrée en transformation ou à la mise en marché.</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Production du produit i (Q).</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Baisse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2.3 Taux de transformation nationale des produits agricoles</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Moyenne pondérée, sur les filières suivies, du rapport entre la quantité de produit national transformée dans le pays à un stade de référence défini par filière et la production nationale disponible pour la transformation.</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TT</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Σ</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rPr>
              <w:t xml:space="preserve"> w</w:t>
            </w:r>
            <w:r>
              <w:rPr>
                <w:rFonts w:ascii="Garamond" w:cs="Garamond" w:eastAsia="Garamond" w:hAnsi="Garamond"/>
                <w:b w:val="false"/>
                <w:bCs w:val="false"/>
                <w:sz w:val="15"/>
                <w:szCs w:val="15"/>
                <w:vertAlign w:val="subscript"/>
              </w:rPr>
              <w:t xml:space="preserve">i</w:t>
            </w:r>
            <w:r>
              <w:rPr>
                <w:rFonts w:ascii="Garamond" w:cs="Garamond" w:eastAsia="Garamond" w:hAnsi="Garamond"/>
                <w:b w:val="false"/>
                <w:bCs w:val="false"/>
                <w:sz w:val="15"/>
                <w:szCs w:val="15"/>
                <w:vertAlign w:val="superscript"/>
              </w:rPr>
              <w:t xml:space="preserve">0</w:t>
            </w:r>
            <w:r>
              <w:rPr>
                <w:rFonts w:ascii="Garamond" w:cs="Garamond" w:eastAsia="Garamond" w:hAnsi="Garamond"/>
                <w:b w:val="false"/>
                <w:bCs w:val="false"/>
                <w:sz w:val="15"/>
                <w:szCs w:val="15"/>
              </w:rPr>
              <w:t xml:space="preserve"> × TT</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avec TT</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QT</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QD</w:t>
            </w:r>
            <w:r>
              <w:rPr>
                <w:rFonts w:ascii="Garamond" w:cs="Garamond" w:eastAsia="Garamond" w:hAnsi="Garamond"/>
                <w:b w:val="false"/>
                <w:bCs w:val="false"/>
                <w:sz w:val="15"/>
                <w:szCs w:val="15"/>
                <w:vertAlign w:val="subscript"/>
              </w:rPr>
              <w:t xml:space="preserve">i,t</w:t>
            </w:r>
            <w:r>
              <w:rPr>
                <w:rFonts w:ascii="Garamond" w:cs="Garamond" w:eastAsia="Garamond" w:hAnsi="Garamond"/>
                <w:b w:val="false"/>
                <w:bCs w:val="false"/>
                <w:sz w:val="15"/>
                <w:szCs w:val="15"/>
              </w:rPr>
              <w:t xml:space="preserve"> × 100</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Quantité de produit i d’origine nationale transformée en Côte d’Ivoire au stade de référence (QT), en équivalent matière première.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Production nationale du produit i disponible pour la transformation (QD).</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tcW w:type="dxa" w:w="130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5"/>
                <w:szCs w:val="15"/>
              </w:rPr>
              <w:t xml:space="preserve">3. Accès au financement agricole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3.1 Taux de couverture de la demande de financement agricole</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Rapport entre le montant des financements agricoles effectivement accordés et le montant total des financements agricoles formellement demandés aux institutions financières formelles au cours de l’année.</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TCF</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MA</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MD</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100</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Montant des financements agricoles effectivement accordés au titre des demandes de l’année t (MA).</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Montant total des financements agricoles formellement demandés au cours de l’année t (MD).</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2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3.2 Taux d’accès effectif des acteurs agricoles au financement formel</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Proportion des acteurs agricoles (exploitations et entreprises agricoles) ayant obtenu au moins un financement auprès d’une institution formelle réglementée au cours des douze derniers mois.</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TAF</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NF</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NA</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100</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Nombre d’acteurs agricoles ayant obtenu au moins un financement formel au cours des douze derniers mois (NF), sans double compte.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Nombre total d’acteurs agricoles (NA).</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3.3 Part des financements agricoles à moyen et long terme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Part des crédits à moyen et long terme dans le total des crédits accordés aux activités agricoles.</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PMLT</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(CMT</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CLT</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CT</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100</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Crédits agricoles à moyen terme (CMT) et à long terme (CLT).</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Crédits agricoles totaux, tous termes confondus (CT).</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tcW w:type="dxa" w:w="130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5"/>
                <w:szCs w:val="15"/>
              </w:rPr>
              <w:t xml:space="preserve">4. Sécurisation du foncier rural</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4.1 Taux de couverture du domaine foncier rural par des droits fonciers formalisés</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Rapport entre la superficie cumulée, sans double compte, des terres couvertes par un acte de formalisation admissible (certificat foncier individuel ou collectif, titre foncier) et la superficie totale du domaine foncier rural.</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TCDF</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SDF</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SDFR × 100</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Superficie cumulée couverte par des droits fonciers formalisés (SDF), chaque parcelle étant comptée une seule fois.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Superficie totale du domaine foncier rural (SDFR), fixée par convention.</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2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4.2 Taux de délimitation juridiquement achevée des territoires villageois</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Proportion des villages officiels dont la délimitation du territoire a été consacrée par l’acte administratif définitif prévu par la réglementation en vigueur.</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TDV</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VDJ</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VO</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100</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Nombre de villages dont la délimitation est juridiquement achevée (VDJ).</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Nombre total de villages officiels (VO).</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4.3 Taux de formalisation des relations foncières d’exploitation</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Proportion des relations d’exploitation de terres rurales par un non-propriétaire (location, prêt, droits d’usage, planter-partager et autres formes reconnues) couvertes par un contrat écrit enregistré.</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TFR</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RCE</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RNP</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100</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Nombre de relations d’exploitation non-propriétaire couvertes par un contrat écrit enregistré (RCE).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Nombre total de relations d’exploitation non-propriétaire identifiées (RNP).</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tcW w:type="dxa" w:w="1300"/>
            <w:vMerge w:val="restart"/>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1F4E3D"/>
                <w:sz w:val="15"/>
                <w:szCs w:val="15"/>
              </w:rPr>
              <w:t xml:space="preserve">5. Durabilité des systèmes de production</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5.1 Part de la superficie agricole sous pratiques de production durable</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Rapport entre la superficie agricole sur laquelle au moins une pratique inscrite sur une liste nationale harmonisée est effectivement appliquée et la superficie agricole totale.</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PAD</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SPD</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SAT</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100</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Superficie agricole sous au moins une pratique reconnue (SPD), chaque parcelle étant comptée une fois.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Superficie agricole totale (SAT), selon le périmètre retenu.</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w:t>
            </w:r>
          </w:p>
        </w:tc>
        <w:tc>
          <w:tcPr>
            <w:tcW w:type="dxa" w:w="12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Hausse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5.2 Taux de déforestation imputable à l’expansion agricole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Rapport entre la superficie forestière convertie en terres agricoles au cours de la période et la superficie forestière au début de la période.</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TDA</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SFA</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SF</w:t>
            </w:r>
            <w:r>
              <w:rPr>
                <w:rFonts w:ascii="Garamond" w:cs="Garamond" w:eastAsia="Garamond" w:hAnsi="Garamond"/>
                <w:b w:val="false"/>
                <w:bCs w:val="false"/>
                <w:sz w:val="15"/>
                <w:szCs w:val="15"/>
                <w:vertAlign w:val="subscript"/>
              </w:rPr>
              <w:t xml:space="preserve">t−1</w:t>
            </w:r>
            <w:r>
              <w:rPr>
                <w:rFonts w:ascii="Garamond" w:cs="Garamond" w:eastAsia="Garamond" w:hAnsi="Garamond"/>
                <w:b w:val="false"/>
                <w:bCs w:val="false"/>
                <w:sz w:val="15"/>
                <w:szCs w:val="15"/>
              </w:rPr>
              <w:t xml:space="preserve"> × 100</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Superficie forestière dont l’usage final est agricole (SFA), en déforestation brute.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Superficie forestière au début de la période (SF).</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 par an</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Baisse</w:t>
            </w:r>
          </w:p>
        </w:tc>
      </w:tr>
      <w:tr>
        <w:trPr>
          <w:cantSplit/>
        </w:trPr>
        <w:tc>
          <w:tcPr>
            <w:vMerge w:val="continue"/>
            <w:tcBorders>
              <w:top w:val="single" w:color="B7C9BE" w:sz="4"/>
              <w:left w:val="single" w:color="B7C9BE" w:sz="4"/>
              <w:bottom w:val="single" w:color="B7C9BE" w:sz="4"/>
              <w:right w:val="single" w:color="B7C9BE" w:sz="4"/>
            </w:tcBorders>
          </w:tcPr>
          <w:p/>
        </w:tc>
        <w:tc>
          <w:tcPr>
            <w:tcW w:type="dxa" w:w="1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5.3 Intensité des émissions de gaz à effet de serre de la production agricole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Rapport entre les émissions de gaz à effet de serre de l’agriculture, hors changement d’affectation des terres, et la valeur réelle de la production agricole ou, selon la série la plus robuste, la valeur ajoutée agricole réelle.</w:t>
            </w:r>
          </w:p>
        </w:tc>
        <w:tc>
          <w:tcPr>
            <w:tcW w:type="dxa" w:w="26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IC</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E</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 V</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où V</w:t>
            </w:r>
            <w:r>
              <w:rPr>
                <w:rFonts w:ascii="Garamond" w:cs="Garamond" w:eastAsia="Garamond" w:hAnsi="Garamond"/>
                <w:b w:val="false"/>
                <w:bCs w:val="false"/>
                <w:sz w:val="15"/>
                <w:szCs w:val="15"/>
                <w:vertAlign w:val="subscript"/>
              </w:rPr>
              <w:t xml:space="preserve">t</w:t>
            </w:r>
            <w:r>
              <w:rPr>
                <w:rFonts w:ascii="Garamond" w:cs="Garamond" w:eastAsia="Garamond" w:hAnsi="Garamond"/>
                <w:b w:val="false"/>
                <w:bCs w:val="false"/>
                <w:sz w:val="15"/>
                <w:szCs w:val="15"/>
              </w:rPr>
              <w:t xml:space="preserve"> est la valeur réelle de la production agricole ou la valeur ajoutée agricole réelle</w:t>
            </w:r>
          </w:p>
        </w:tc>
        <w:tc>
          <w:tcPr>
            <w:tcW w:type="dxa" w:w="25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Émissions agricoles « à la ferme » (E) : fermentation entérique, gestion des déjections, riziculture, sols agricoles et engrais, brûlage des résidus, autres sources agricoles de l’inventaire, en tCO₂e.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Valeur réelle de la production agricole ou valeur ajoutée agricole réelle (V), en millions de FCFA constants.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tCO₂e par million de FCFA constants</w:t>
            </w:r>
          </w:p>
        </w:tc>
        <w:tc>
          <w:tcPr>
            <w:tcW w:type="dxa" w:w="1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b w:val="false"/>
                <w:bCs w:val="false"/>
                <w:sz w:val="15"/>
                <w:szCs w:val="15"/>
              </w:rPr>
              <w:t xml:space="preserve">↓ Baisse</w:t>
            </w:r>
          </w:p>
        </w:tc>
      </w:tr>
    </w:tbl>
    <w:p>
      <w:pPr>
        <w:pageBreakBefore/>
      </w:pPr>
    </w:p>
    <w:p>
      <w:pPr>
        <w:keepNext/>
        <w:spacing w:after="80" w:before="200"/>
      </w:pPr>
      <w:r>
        <w:rPr>
          <w:rFonts w:ascii="Garamond" w:cs="Garamond" w:eastAsia="Garamond" w:hAnsi="Garamond"/>
          <w:b/>
          <w:bCs/>
          <w:color w:val="1F4E3D"/>
          <w:sz w:val="21"/>
          <w:szCs w:val="21"/>
        </w:rPr>
        <w:t xml:space="preserve">Tableau 9. </w:t>
      </w:r>
      <w:r>
        <w:rPr>
          <w:rFonts w:ascii="Garamond" w:cs="Garamond" w:eastAsia="Garamond" w:hAnsi="Garamond"/>
          <w:i/>
          <w:iCs/>
          <w:color w:val="4A4A4A"/>
          <w:sz w:val="21"/>
          <w:szCs w:val="21"/>
        </w:rPr>
        <w:t xml:space="preserve">Tableau méthodologique final (2/2) — production et lecture des indicateurs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000"/>
        <w:gridCol w:w="1900"/>
        <w:gridCol w:w="2100"/>
        <w:gridCol w:w="2300"/>
        <w:gridCol w:w="1700"/>
        <w:gridCol w:w="1670"/>
      </w:tblGrid>
      <w:tr>
        <w:trPr>
          <w:cantSplit/>
          <w:tblHeader/>
        </w:trPr>
        <w:tc>
          <w:tcPr>
            <w:tcW w:type="dxa" w:w="18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Axe et indicateur</w:t>
            </w:r>
          </w:p>
        </w:tc>
        <w:tc>
          <w:tcPr>
            <w:tcW w:type="dxa" w:w="11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Fréquence souhaitée</w:t>
            </w:r>
          </w:p>
        </w:tc>
        <w:tc>
          <w:tcPr>
            <w:tcW w:type="dxa" w:w="20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Source statistique principale</w:t>
            </w:r>
          </w:p>
        </w:tc>
        <w:tc>
          <w:tcPr>
            <w:tcW w:type="dxa" w:w="19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Source secondaire</w:t>
            </w:r>
          </w:p>
        </w:tc>
        <w:tc>
          <w:tcPr>
            <w:tcW w:type="dxa" w:w="21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Disponibilité historique</w:t>
            </w:r>
          </w:p>
        </w:tc>
        <w:tc>
          <w:tcPr>
            <w:tcW w:type="dxa" w:w="23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Limites méthodologiques</w:t>
            </w:r>
          </w:p>
        </w:tc>
        <w:tc>
          <w:tcPr>
            <w:tcW w:type="dxa" w:w="17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Comparabilité internationale</w:t>
            </w:r>
          </w:p>
        </w:tc>
        <w:tc>
          <w:tcPr>
            <w:tcW w:type="dxa" w:w="167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6"/>
                <w:szCs w:val="16"/>
              </w:rPr>
              <w:t xml:space="preserve">Observations</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1.1 Taux de couverture des besoins alimentaires par la production nationale</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Bilans alimentaires FAOSTAT ; statistiques nationales de production végétale, animale et halieutique.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Statistiques du commerce extérieur (douanes, ANStat) ; UN Comtrade ; EHCVM pour la structure de consommation.</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Les bilans alimentaires FAOSTAT couvrent la Côte d’Ivoire selon la méthodologie révisée à compter de 2010 ; années et produits effectivement couverts sur 2015-2025 : disponibilité de la série à vérifier. Série nationale consolidée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La consommation apparente est sensible aux erreurs sur la production vivrière et aux flux transfrontaliers non enregistrés ; l’excédent d’un produit compense le déficit d’un autre ; l’indicateur ne renseigne ni l’accès des ménages ni la qualité nutritionnelle.</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Proche du taux d’autosuffisance (self-sufficiency ratio) de la FAO pour chaque produit ; le niveau agrégé, pondéré par la structure de consommation ivoirienne, n’est pas directement comparable entre pays.</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Composition du panier, période de référence et traitement analytique des taux supérieurs à 100 % à arrêter formellement.</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1.2 Indice de production vivrière par habitant</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Statistiques nationales de production ; FAOSTAT (domaine Production) ; population : ANStat (RGPH 2014 et 2021, projections).</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Nations unies, World Population Prospects ; indice FAOSTAT de production alimentaire nette par habitant (contrôle de cohérence).</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Productions par produit disponibles dans FAOSTAT pour la Côte d’Ivoire ; cohérence avec les séries nationales et série de population homogène après le RGPH 2021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Ne tient compte ni des échanges ni des pertes ; sensible aux révisions de la population et aux estimations de production vivrière.</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Même logique que l’indice FAOSTAT de production alimentaire nette par habitant, mais pondération différente (calories contre prix internationaux) : comparabilité des tendances, non des niveaux.</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Indicateur de capacité productive, à lire avec le taux de couverture.</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1.3 Variabilité de la production vivrière par habitant</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 (fenêtre mobile de cinq ans)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Série IPVH (indicateur 1.2).</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FAOSTAT, Suite des indicateurs de la sécurité alimentaire (variabilité de la production alimentaire par habitant), pour contrôle.</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Dépend de la série IPVH ; une valeur pour 2015 suppose une série 2011-2015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Sensible au choix de la tendance et aux révisions de fin de série ; une faible variabilité n’implique pas un niveau de production suffisant.</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Construit selon la logique de l’indicateur FAO de variabilité de la production alimentaire par habitant, mais sur une série pondérée en calories.</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À lire conjointement avec l’IPVH.</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2.1 Indice de productivité des cultures à superficie constante</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Statistiques agricoles nationales (production, superficies) ; FAOSTAT (Production ; valeur de la production agricole).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Organes de régulation des filières (café-cacao, coton-anacarde, hévéa-palmier à huile), ADERIZ ; enquêtes de rendement.</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Productions et superficies disponibles par culture dans FAOSTAT ; qualité des superficies vivrières et des superficies en production des cultures pérennes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Productivité partielle de la terre, qui n’intègre ni le travail ni les intrants ; sensible aux aléas climatiques ; n’inclut pas l’élevage.</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Rendements comparables internationalement culture par culture (FAOSTAT) ; l’indice agrégé est propre à la pondération nationale.</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La productivité totale des facteurs (USDA ERS) peut être suivie à titre complémentaire.</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2.2 Taux de pertes post-récolte</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 avec enquêtes approfondies périodiques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Enquêtes nationales de pertes post-récolte ; APHLIS pour les céréales.</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FAOSTAT (élément « pertes » des bilans alimentaires) ; FAO, indicateur ODD 12.3.1a ; études de filières.</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Aucune série nationale harmonisée identifiée à ce stade ; estimations APHLIS (céréales) et imputations FAOSTAT à examiner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Mesure directe coûteuse ; dépendance aux coefficients modélisés ; les pertes qualitatives échappent à l’indicateur principal.</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Bonne si le périmètre et la pondération suivent l’indice des pertes alimentaires de la FAO (ODD 12.3.1a).</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Pertes qualitatives suivies en sous-indicateur ; gaspillage hors champ.</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2.3 Taux de transformation nationale des produits agricoles</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 (campagne de commercialisation)</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Organes de régulation des filières (notamment broyages de cacao et transformation de l’anacarde) ; ministère chargé de l’Industrie.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ANStat (comptes nationaux, production industrielle) ; statistiques d’exportation par stade de transformation ; ICCO pour le cacao.</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Séries de broyage du cacao et de transformation de l’anacarde publiées par les organes de filière ; profondeur historique homogène 2015-2025 : disponibilité de la série à vérifier. Autres filières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Ne mesure ni la profondeur de la transformation ni la valeur ajoutée ; données dispersées pour les filières vivrières et artisanales.</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Faible au niveau agrégé ; bonne par filière (par exemple broyages de cacao rapportés à la production).</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Présenter les résultats par grandes filières dès qu’ils sont disponibles.</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3.1 Taux de couverture de la demande de financement agricole</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Déclarations périodiques harmonisées des banques et des SFD (dispositif de collecte à instituer).</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Enquêtes auprès des exploitants (demande, refus, découragement) ; rapports des dispositifs publics de financement.</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Aucune série publique des montants demandés identifiée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Ignore les emprunteurs découragés ; dépend des pratiques d’enregistrement des demandes par les institutions.</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Faible : pas de norme internationale.</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Compléter par le taux d’approbation en nombre de dossiers.</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3.2 Taux d’accès effectif des acteurs agricoles au financement formel</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 ou selon la périodicité des enquêtes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Enquêtes auprès des ménages et des exploitations (EHCVM, enquêtes agricoles) ; REEA 2015-2016 pour le dénominateur.</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Données administratives des banques et SFD (nombre d’emprunteurs agricoles) ; Global Findex (Banque mondiale) pour le contexte.</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Pas de série annuelle identifiée ; points d’enquête ponctuels à exploiter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Hétérogénéité des unités (ménage, exploitation, entreprise) ; dénominateur recensé à une date ancienne ; acteurs financés par plusieurs institutions.</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Partielle : le Global Findex mesure l’emprunt auprès d’une institution formelle, tous usages confondus.</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Le financement de filière non réglementé est suivi à titre complémentaire.</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3.3 Part des financements agricoles à moyen et long terme</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 (données infra-annuelles disponibles)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BCEAO, Centrale des risques : utilisations de crédits déclarées par secteur d’activité et par terme (Bulletin mensuel des statistiques).</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Base de données EDEN de la BCEAO ; données prudentielles et statistiques des SFD.</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Tableaux par secteur et par terme publiés par la BCEAO pour la Côte d’Ivoire ; profondeur historique homogène 2015-2025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La Centrale des risques ne couvre pas les crédits inférieurs au seuil de déclaration ni l’ensemble des SFD ; le crédit aux exportateurs et aux agro-industries peut être classé hors agriculture.</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Bonne au sein de l’UEMOA (nomenclature commune de la BCEAO).</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Série la plus directement reconstituable de l’axe 3.</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4.1 Taux de couverture du domaine foncier rural par des droits fonciers formalisés</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 (stock au 31 décembre)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AFOR, Système d’information foncière rurale (SIFOR).</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Services de la conservation foncière (titres issus de l’immatriculation) ; ObservaTerra.</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Bilans de délivrance publiés par l’AFOR ; séries annuelles de superficies certifiées 2015-2025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La formalisation ne garantit pas la sécurité perçue ; les mutations ultérieures doivent être tenues à jour ; le dénominateur doit être fixé officiellement.</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Conceptuellement proche du volet documentaire de l’ODD 1.4.2, mais mesuré en superficie et non en population.</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Ventiler par type de certificat (individuel, collectif) et selon le sexe des titulaires.</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4.2 Taux de délimitation juridiquement achevée des territoires villageois</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AFOR (SIFOR) ; actes de consécration de la délimitation.</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Ministère chargé de l’Intérieur (liste officielle des villages) ; ObservaTerra.</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Bilans d’étape publiés par l’AFOR ; série annuelle distinguant les étapes de la procédure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Chaque village compte pour une unité quelle que soit sa superficie ; des contestations de limites peuvent subsister.</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Propre au droit ivoirien.</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Publier l’entonnoir des étapes en complément du tableau de bord.</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4.3 Taux de formalisation des relations foncières d’exploitation</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 (numérateur) ; dénominateur selon les enquêtes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AFOR (SIFOR) pour les contrats enregistrés ; enquêtes des opérations de sécurisation foncière.</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Recensement et enquêtes agricoles (mode de faire-valoir) ; études de terrain.</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Nombre de contrats signés publié ponctuellement par l’AFOR ; dénominateur non disponible en série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Dénominateur difficile à observer ; contrats écrits non enregistrés exclus.</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Faible, indicateur propre au contexte ivoirien.</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Indicateur transitoire possible : nombre cumulé de contrats enregistrés, sans remplacer l’indicateur principal.</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5.1 Part de la superficie agricole sous pratiques de production durable</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 ou selon la périodicité des enquêtes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Enquêtes agricoles avec module « pratiques » ; registres de la norme ARS 1000 et des certifications.</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ANADER, programmes et projets ; télédétection (agroforesterie) ; dispositif ODD 2.4.1.</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Pas de série nationale harmonisée identifiée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La présence d’une pratique ne garantit pas un résultat environnemental ; données dispersées entre projets.</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Partielle avec l’ODD 2.4.1, qui repose sur des seuils de durabilité évalués par exploitation.</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Superficies par pratique suivies en sous-indicateurs.</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5.2 Taux de déforestation imputable à l’expansion agricole</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 ou annualisée à partir de cartes périodiques</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Cartographie nationale de l’occupation des terres (BNETD-CCT, SEP-REDD+, ministère chargé des Eaux et Forêts).</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FAO FRA ; Global Forest Watch (Hansen et al.) ; JRC TMF ; cartes du cacao (Kalischek et al., 2023).</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Produits satellitaires annuels couvrant la Côte d’Ivoire (perte de couvert arboré depuis 2001 ; forêts tropicales humides du JRC depuis 1990) ; attribution nationale par usage final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Confusion possible entre couvert arboré et forêt ; incertitude sur l’attribution des causes ; décalage de détection.</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Bonne si la définition FAO et des produits satellitaires communs sont utilisés.</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Objectif de long terme : découpler croissance de la production agricole et conversion forestière.</w:t>
            </w:r>
          </w:p>
        </w:tc>
      </w:tr>
      <w:tr>
        <w:trPr>
          <w:cantSplit/>
        </w:trPr>
        <w:tc>
          <w:tcPr>
            <w:tcW w:type="dxa" w:w="18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sz w:val="15"/>
                <w:szCs w:val="15"/>
              </w:rPr>
              <w:t xml:space="preserve">5.3 Intensité des émissions de gaz à effet de serre de la production agricole</w:t>
            </w:r>
          </w:p>
        </w:tc>
        <w:tc>
          <w:tcPr>
            <w:tcW w:type="dxa" w:w="1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Annuelle</w:t>
            </w:r>
          </w:p>
        </w:tc>
        <w:tc>
          <w:tcPr>
            <w:tcW w:type="dxa" w:w="20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Inventaire national des gaz à effet de serre (secteur agriculture), communiqué à la CCNUCC.</w:t>
            </w:r>
          </w:p>
        </w:tc>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FAOSTAT (Émissions totales ; indicateurs d’émissions) ; ANStat (comptes nationaux).</w:t>
            </w:r>
          </w:p>
        </w:tc>
        <w:tc>
          <w:tcPr>
            <w:tcW w:type="dxa" w:w="21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FAOSTAT publie pour la Côte d’Ivoire les émissions agricoles et une intensité par valeur de production ; série d’inventaire national annuelle et homogène : disponibilité de la série à vérifier.</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Émissions souvent estimées avec des facteurs par défaut peu sensibles aux pratiques ; effets de prix et de composition sur le dénominateur ; une baisse de l’intensité peut coexister avec une hausse des émissions absolues.</w:t>
            </w:r>
          </w:p>
        </w:tc>
        <w:tc>
          <w:tcPr>
            <w:tcW w:type="dxa" w:w="17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Bonne via FAOSTAT (émissions par valeur de production agricole).</w:t>
            </w:r>
          </w:p>
        </w:tc>
        <w:tc>
          <w:tcPr>
            <w:tcW w:type="dxa" w:w="16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5"/>
                <w:szCs w:val="15"/>
              </w:rPr>
              <w:t xml:space="preserve">Dénominateur définitif à arrêter selon la robustesse des séries ; émissions absolues suivies en complément.</w:t>
            </w:r>
          </w:p>
        </w:tc>
      </w:tr>
    </w:tbl>
    <w:p>
      <w:pPr>
        <w:spacing w:after="200" w:before="60"/>
      </w:pPr>
      <w:r>
        <w:rPr>
          <w:rFonts w:ascii="Garamond" w:cs="Garamond" w:eastAsia="Garamond" w:hAnsi="Garamond"/>
          <w:i/>
          <w:iCs/>
          <w:color w:val="4A4A4A"/>
          <w:sz w:val="18"/>
          <w:szCs w:val="18"/>
        </w:rPr>
        <w:t xml:space="preserve">Sigles : voir la liste des sigles et abréviations. Les indices i, t et 0 désignent respectivement le produit ou la filière, l’année et la période de référence.</w:t>
      </w:r>
    </w:p>
    <w:p>
      <w:pPr>
        <w:sectPr>
          <w:headerReference w:type="default" r:id="rId8"/>
          <w:footerReference w:type="default" r:id="rId9"/>
          <w:type w:val="nextPage"/>
          <w:pgSz w:w="16838" w:h="11906" w:orient="landscape"/>
          <w:pgMar w:top="1134" w:right="1134" w:bottom="1134" w:left="1134" w:header="567" w:footer="510" w:gutter="0"/>
          <w:pgNumType/>
          <w:docGrid w:linePitch="360"/>
        </w:sectPr>
      </w:pPr>
    </w:p>
    <w:p>
      <w:pPr>
        <w:pStyle w:val="Heading1"/>
      </w:pPr>
      <w:r>
        <w:t xml:space="preserve">9. Schéma de cohérence des cinq axes</w:t>
      </w:r>
    </w:p>
    <w:p>
      <w:pPr>
        <w:spacing w:after="140" w:before="0" w:line="276" w:lineRule="auto"/>
        <w:jc w:val="both"/>
      </w:pPr>
      <w:r>
        <w:rPr>
          <w:rFonts w:ascii="Garamond" w:cs="Garamond" w:eastAsia="Garamond" w:hAnsi="Garamond"/>
          <w:sz w:val="24"/>
          <w:szCs w:val="24"/>
        </w:rPr>
        <w:t xml:space="preserve">Les cinq axes ne constituent pas cinq tableaux de bord juxtaposés. Ils décrivent les conditions successives et interdépendantes d’une même transformation. Le schéma ci-dessous en présente la logique d’ensemble ; la colonne de droite rappelle les indicateurs rattachés à chaque axe.</w:t>
      </w:r>
    </w:p>
    <w:p>
      <w:pPr>
        <w:keepNext/>
        <w:spacing w:after="80" w:before="200"/>
      </w:pPr>
      <w:r>
        <w:rPr>
          <w:rFonts w:ascii="Garamond" w:cs="Garamond" w:eastAsia="Garamond" w:hAnsi="Garamond"/>
          <w:b/>
          <w:bCs/>
          <w:color w:val="1F4E3D"/>
          <w:sz w:val="21"/>
          <w:szCs w:val="21"/>
        </w:rPr>
        <w:t xml:space="preserve">Tableau 10. </w:t>
      </w:r>
      <w:r>
        <w:rPr>
          <w:rFonts w:ascii="Garamond" w:cs="Garamond" w:eastAsia="Garamond" w:hAnsi="Garamond"/>
          <w:i/>
          <w:iCs/>
          <w:color w:val="4A4A4A"/>
          <w:sz w:val="21"/>
          <w:szCs w:val="21"/>
        </w:rPr>
        <w:t xml:space="preserve">Logique d’ensemble du dispositif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520"/>
        <w:gridCol w:w="4250"/>
        <w:gridCol w:w="1400"/>
      </w:tblGrid>
      <w:tr>
        <w:trPr>
          <w:cantSplit/>
        </w:trPr>
        <w:tc>
          <w:tcPr>
            <w:tcW w:type="dxa" w:w="2900"/>
            <w:tcBorders>
              <w:top w:val="none" w:color="FFFFFF" w:sz="0"/>
              <w:left w:val="none" w:color="FFFFFF" w:sz="0"/>
              <w:bottom w:val="none" w:color="FFFFFF" w:sz="0"/>
              <w:right w:val="none" w:color="FFFFFF" w:sz="0"/>
            </w:tcBorders>
            <w:shd w:fill="1F4E3D"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FFFFFF"/>
                <w:sz w:val="20"/>
                <w:szCs w:val="20"/>
              </w:rPr>
              <w:t xml:space="preserve">SOUVERAINETÉ ALIMENTAIRE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26"/>
                <w:szCs w:val="26"/>
              </w:rPr>
              <w:t xml:space="preserve">→</w:t>
            </w:r>
          </w:p>
        </w:tc>
        <w:tc>
          <w:tcPr>
            <w:tcW w:type="dxa" w:w="425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i/>
                <w:iCs/>
                <w:sz w:val="21"/>
                <w:szCs w:val="21"/>
              </w:rPr>
              <w:t xml:space="preserve">Nourrir durablement la population</w:t>
            </w:r>
          </w:p>
        </w:tc>
        <w:tc>
          <w:tcPr>
            <w:tcW w:type="dxa" w:w="140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18"/>
                <w:szCs w:val="18"/>
              </w:rPr>
              <w:t xml:space="preserve">1.1 · 1.2 · 1.3</w:t>
            </w:r>
          </w:p>
        </w:tc>
      </w:tr>
      <w:t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color w:val="1F4E3D"/>
                <w:sz w:val="16"/>
                <w:szCs w:val="16"/>
              </w:rPr>
              <w:t xml:space="preserve">▼</w:t>
            </w:r>
          </w:p>
        </w:tc>
        <w:tc>
          <w:tcPr>
            <w:tcW w:type="dxa" w:w="6170"/>
            <w:gridSpan w:val="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30" w:line="240" w:lineRule="auto"/>
              <w:jc w:val="left"/>
            </w:pPr>
          </w:p>
        </w:tc>
      </w:tr>
      <w:tr>
        <w:trPr>
          <w:cantSplit/>
        </w:trPr>
        <w:tc>
          <w:tcPr>
            <w:tcW w:type="dxa" w:w="2900"/>
            <w:tcBorders>
              <w:top w:val="none" w:color="FFFFFF" w:sz="0"/>
              <w:left w:val="none" w:color="FFFFFF" w:sz="0"/>
              <w:bottom w:val="none" w:color="FFFFFF" w:sz="0"/>
              <w:right w:val="none" w:color="FFFFFF" w:sz="0"/>
            </w:tcBorders>
            <w:shd w:fill="1F4E3D"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FFFFFF"/>
                <w:sz w:val="20"/>
                <w:szCs w:val="20"/>
              </w:rPr>
              <w:t xml:space="preserve">COMPÉTITIVITÉ</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26"/>
                <w:szCs w:val="26"/>
              </w:rPr>
              <w:t xml:space="preserve">→</w:t>
            </w:r>
          </w:p>
        </w:tc>
        <w:tc>
          <w:tcPr>
            <w:tcW w:type="dxa" w:w="425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i/>
                <w:iCs/>
                <w:sz w:val="21"/>
                <w:szCs w:val="21"/>
              </w:rPr>
              <w:t xml:space="preserve">Produire efficacement, réduire les pertes et transformer</w:t>
            </w:r>
          </w:p>
        </w:tc>
        <w:tc>
          <w:tcPr>
            <w:tcW w:type="dxa" w:w="140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18"/>
                <w:szCs w:val="18"/>
              </w:rPr>
              <w:t xml:space="preserve">2.1 · 2.2 · 2.3</w:t>
            </w:r>
          </w:p>
        </w:tc>
      </w:tr>
      <w:t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color w:val="1F4E3D"/>
                <w:sz w:val="16"/>
                <w:szCs w:val="16"/>
              </w:rPr>
              <w:t xml:space="preserve">▼</w:t>
            </w:r>
          </w:p>
        </w:tc>
        <w:tc>
          <w:tcPr>
            <w:tcW w:type="dxa" w:w="6170"/>
            <w:gridSpan w:val="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30" w:line="240" w:lineRule="auto"/>
              <w:jc w:val="left"/>
            </w:pPr>
          </w:p>
        </w:tc>
      </w:tr>
      <w:tr>
        <w:trPr>
          <w:cantSplit/>
        </w:trPr>
        <w:tc>
          <w:tcPr>
            <w:tcW w:type="dxa" w:w="2900"/>
            <w:tcBorders>
              <w:top w:val="none" w:color="FFFFFF" w:sz="0"/>
              <w:left w:val="none" w:color="FFFFFF" w:sz="0"/>
              <w:bottom w:val="none" w:color="FFFFFF" w:sz="0"/>
              <w:right w:val="none" w:color="FFFFFF" w:sz="0"/>
            </w:tcBorders>
            <w:shd w:fill="1F4E3D"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FFFFFF"/>
                <w:sz w:val="20"/>
                <w:szCs w:val="20"/>
              </w:rPr>
              <w:t xml:space="preserve">FINANCEMENT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26"/>
                <w:szCs w:val="26"/>
              </w:rPr>
              <w:t xml:space="preserve">→</w:t>
            </w:r>
          </w:p>
        </w:tc>
        <w:tc>
          <w:tcPr>
            <w:tcW w:type="dxa" w:w="425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i/>
                <w:iCs/>
                <w:sz w:val="21"/>
                <w:szCs w:val="21"/>
              </w:rPr>
              <w:t xml:space="preserve">Permettre aux acteurs d’investir</w:t>
            </w:r>
          </w:p>
        </w:tc>
        <w:tc>
          <w:tcPr>
            <w:tcW w:type="dxa" w:w="140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18"/>
                <w:szCs w:val="18"/>
              </w:rPr>
              <w:t xml:space="preserve">3.1 · 3.2 · 3.3</w:t>
            </w:r>
          </w:p>
        </w:tc>
      </w:tr>
      <w:t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color w:val="1F4E3D"/>
                <w:sz w:val="16"/>
                <w:szCs w:val="16"/>
              </w:rPr>
              <w:t xml:space="preserve">▼</w:t>
            </w:r>
          </w:p>
        </w:tc>
        <w:tc>
          <w:tcPr>
            <w:tcW w:type="dxa" w:w="6170"/>
            <w:gridSpan w:val="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30" w:line="240" w:lineRule="auto"/>
              <w:jc w:val="left"/>
            </w:pPr>
          </w:p>
        </w:tc>
      </w:tr>
      <w:tr>
        <w:trPr>
          <w:cantSplit/>
        </w:trPr>
        <w:tc>
          <w:tcPr>
            <w:tcW w:type="dxa" w:w="2900"/>
            <w:tcBorders>
              <w:top w:val="none" w:color="FFFFFF" w:sz="0"/>
              <w:left w:val="none" w:color="FFFFFF" w:sz="0"/>
              <w:bottom w:val="none" w:color="FFFFFF" w:sz="0"/>
              <w:right w:val="none" w:color="FFFFFF" w:sz="0"/>
            </w:tcBorders>
            <w:shd w:fill="1F4E3D"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FFFFFF"/>
                <w:sz w:val="20"/>
                <w:szCs w:val="20"/>
              </w:rPr>
              <w:t xml:space="preserve">FONCIER</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26"/>
                <w:szCs w:val="26"/>
              </w:rPr>
              <w:t xml:space="preserve">→</w:t>
            </w:r>
          </w:p>
        </w:tc>
        <w:tc>
          <w:tcPr>
            <w:tcW w:type="dxa" w:w="425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i/>
                <w:iCs/>
                <w:sz w:val="21"/>
                <w:szCs w:val="21"/>
              </w:rPr>
              <w:t xml:space="preserve">Sécuriser les droits nécessaires à l’investissement de long terme</w:t>
            </w:r>
          </w:p>
        </w:tc>
        <w:tc>
          <w:tcPr>
            <w:tcW w:type="dxa" w:w="140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18"/>
                <w:szCs w:val="18"/>
              </w:rPr>
              <w:t xml:space="preserve">4.1 · 4.2 · 4.3</w:t>
            </w:r>
          </w:p>
        </w:tc>
      </w:tr>
      <w:t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30" w:line="240" w:lineRule="auto"/>
              <w:jc w:val="center"/>
            </w:pPr>
            <w:r>
              <w:rPr>
                <w:rFonts w:ascii="Garamond" w:cs="Garamond" w:eastAsia="Garamond" w:hAnsi="Garamond"/>
                <w:color w:val="1F4E3D"/>
                <w:sz w:val="16"/>
                <w:szCs w:val="16"/>
              </w:rPr>
              <w:t xml:space="preserve">▼</w:t>
            </w:r>
          </w:p>
        </w:tc>
        <w:tc>
          <w:tcPr>
            <w:tcW w:type="dxa" w:w="6170"/>
            <w:gridSpan w:val="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30" w:line="240" w:lineRule="auto"/>
              <w:jc w:val="left"/>
            </w:pPr>
          </w:p>
        </w:tc>
      </w:tr>
      <w:tr>
        <w:trPr>
          <w:cantSplit/>
        </w:trPr>
        <w:tc>
          <w:tcPr>
            <w:tcW w:type="dxa" w:w="2900"/>
            <w:tcBorders>
              <w:top w:val="none" w:color="FFFFFF" w:sz="0"/>
              <w:left w:val="none" w:color="FFFFFF" w:sz="0"/>
              <w:bottom w:val="none" w:color="FFFFFF" w:sz="0"/>
              <w:right w:val="none" w:color="FFFFFF" w:sz="0"/>
            </w:tcBorders>
            <w:shd w:fill="1F4E3D"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b/>
                <w:bCs/>
                <w:color w:val="FFFFFF"/>
                <w:sz w:val="20"/>
                <w:szCs w:val="20"/>
              </w:rPr>
              <w:t xml:space="preserve">DURABILITÉ</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26"/>
                <w:szCs w:val="26"/>
              </w:rPr>
              <w:t xml:space="preserve">→</w:t>
            </w:r>
          </w:p>
        </w:tc>
        <w:tc>
          <w:tcPr>
            <w:tcW w:type="dxa" w:w="425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i/>
                <w:iCs/>
                <w:sz w:val="21"/>
                <w:szCs w:val="21"/>
              </w:rPr>
              <w:t xml:space="preserve">Préserver le capital naturel qui permet la production future</w:t>
            </w:r>
          </w:p>
        </w:tc>
        <w:tc>
          <w:tcPr>
            <w:tcW w:type="dxa" w:w="1400"/>
            <w:tcBorders>
              <w:top w:val="none" w:color="FFFFFF" w:sz="0"/>
              <w:left w:val="none" w:color="FFFFFF" w:sz="0"/>
              <w:bottom w:val="none" w:color="FFFFFF" w:sz="0"/>
              <w:right w:val="none" w:color="FFFFFF" w:sz="0"/>
            </w:tcBorders>
            <w:shd w:fill="EDF3EF" w:color="auto" w:val="clear"/>
            <w:tcMar>
              <w:top w:type="dxa" w:w="50"/>
              <w:left w:type="dxa" w:w="90"/>
              <w:bottom w:type="dxa" w:w="50"/>
              <w:right w:type="dxa" w:w="90"/>
            </w:tcMar>
            <w:vAlign w:val="center"/>
          </w:tcPr>
          <w:p>
            <w:pPr>
              <w:spacing w:after="30" w:before="30" w:line="240" w:lineRule="auto"/>
              <w:jc w:val="center"/>
            </w:pPr>
            <w:r>
              <w:rPr>
                <w:rFonts w:ascii="Garamond" w:cs="Garamond" w:eastAsia="Garamond" w:hAnsi="Garamond"/>
                <w:color w:val="1F4E3D"/>
                <w:sz w:val="18"/>
                <w:szCs w:val="18"/>
              </w:rPr>
              <w:t xml:space="preserve">5.1 · 5.2 · 5.3</w:t>
            </w:r>
          </w:p>
        </w:tc>
      </w:tr>
    </w:tbl>
    <w:p>
      <w:pPr>
        <w:spacing w:after="200"/>
      </w:pPr>
    </w:p>
    <w:p>
      <w:pPr>
        <w:spacing w:after="140" w:before="0" w:line="276" w:lineRule="auto"/>
        <w:jc w:val="both"/>
      </w:pPr>
      <w:r>
        <w:rPr>
          <w:rFonts w:ascii="Garamond" w:cs="Garamond" w:eastAsia="Garamond" w:hAnsi="Garamond"/>
          <w:sz w:val="24"/>
          <w:szCs w:val="24"/>
        </w:rPr>
        <w:t xml:space="preserve">La lecture verticale du schéma ne doit pas masquer les relations transversales entre axes. Plusieurs d’entre elles se lisent directement dans les indicateurs, ce qui justifie une analyse croisée lors de chaque exercice de suivi. Les liens présentés ci-dessous sont des hypothèses de lecture fondées sur la littérature ; le dispositif ne prétend pas en mesurer l’intensité causale.</w:t>
      </w:r>
    </w:p>
    <w:p>
      <w:pPr>
        <w:keepNext/>
        <w:spacing w:after="80" w:before="200"/>
      </w:pPr>
      <w:r>
        <w:rPr>
          <w:rFonts w:ascii="Garamond" w:cs="Garamond" w:eastAsia="Garamond" w:hAnsi="Garamond"/>
          <w:b/>
          <w:bCs/>
          <w:color w:val="1F4E3D"/>
          <w:sz w:val="21"/>
          <w:szCs w:val="21"/>
        </w:rPr>
        <w:t xml:space="preserve">Tableau 11. </w:t>
      </w:r>
      <w:r>
        <w:rPr>
          <w:rFonts w:ascii="Garamond" w:cs="Garamond" w:eastAsia="Garamond" w:hAnsi="Garamond"/>
          <w:i/>
          <w:iCs/>
          <w:color w:val="4A4A4A"/>
          <w:sz w:val="21"/>
          <w:szCs w:val="21"/>
        </w:rPr>
        <w:t xml:space="preserve">Principales interdépendances entre les axes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4870"/>
        <w:gridCol w:w="2300"/>
      </w:tblGrid>
      <w:tr>
        <w:trPr>
          <w:cantSplit/>
          <w:tblHeader/>
        </w:trPr>
        <w:tc>
          <w:tcPr>
            <w:tcW w:type="dxa" w:w="19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Relation</w:t>
            </w:r>
          </w:p>
        </w:tc>
        <w:tc>
          <w:tcPr>
            <w:tcW w:type="dxa" w:w="487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Mécanisme attendu</w:t>
            </w:r>
          </w:p>
        </w:tc>
        <w:tc>
          <w:tcPr>
            <w:tcW w:type="dxa" w:w="2300"/>
            <w:tcBorders>
              <w:top w:val="single" w:color="B7C9BE" w:sz="4"/>
              <w:left w:val="single" w:color="B7C9BE" w:sz="4"/>
              <w:bottom w:val="single" w:color="B7C9BE" w:sz="4"/>
              <w:right w:val="single" w:color="B7C9BE" w:sz="4"/>
            </w:tcBorders>
            <w:shd w:fill="1F4E3D" w:color="auto" w:val="clear"/>
            <w:tcMar>
              <w:top w:type="dxa" w:w="50"/>
              <w:left w:type="dxa" w:w="90"/>
              <w:bottom w:type="dxa" w:w="50"/>
              <w:right w:type="dxa" w:w="90"/>
            </w:tcMar>
            <w:vAlign w:val="center"/>
          </w:tcPr>
          <w:p>
            <w:pPr>
              <w:spacing w:after="30" w:before="30" w:line="240" w:lineRule="auto"/>
              <w:jc w:val="left"/>
            </w:pPr>
            <w:r>
              <w:rPr>
                <w:rFonts w:ascii="Garamond" w:cs="Garamond" w:eastAsia="Garamond" w:hAnsi="Garamond"/>
                <w:b/>
                <w:bCs/>
                <w:color w:val="FFFFFF"/>
                <w:sz w:val="19"/>
                <w:szCs w:val="19"/>
              </w:rPr>
              <w:t xml:space="preserve">Indicateurs à lire ensemble</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Foncier → financement</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Des droits formalisés allongent l’horizon d’investissement et peuvent faciliter la garantie des prêts ; la littérature invite à la prudence sur ce second canal en Afrique (Lawry et al., 2017).</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4.1, 4.3 et 3.2, 3.3</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Financement → compétitivité</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Le crédit de moyen et long terme finance la mécanisation, le stockage, le renouvellement des vergers et la transformation.</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3.3 et 2.1, 2.2, 2.3</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Compétitivité → souveraineté</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Des rendements plus élevés et des pertes moindres accroissent la production disponible par habitant.</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2.1, 2.2 et 1.1, 1.2</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Compétitivité ↔ durabilité</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Les gains de rendement réduisent la pression sur les forêts (découplage), mais l’intensification peut accroître certaines émissions.</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2.1 et 5.2, 5.3</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Foncier → durabilité</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La sécurité des droits, y compris des exploitants non propriétaires, favorise les investissements de long terme dans les sols et l’agroforesterie.</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4.1, 4.3 et 5.1</w:t>
            </w:r>
          </w:p>
        </w:tc>
      </w:tr>
      <w:tr>
        <w:trPr>
          <w:cantSplit/>
        </w:trPr>
        <w:tc>
          <w:tcPr>
            <w:tcW w:type="dxa" w:w="19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Durabilité → souveraineté</w:t>
            </w:r>
          </w:p>
        </w:tc>
        <w:tc>
          <w:tcPr>
            <w:tcW w:type="dxa" w:w="48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La préservation des sols, des forêts et du climat conditionne la stabilité de la production future.</w:t>
            </w:r>
          </w:p>
        </w:tc>
        <w:tc>
          <w:tcPr>
            <w:tcW w:type="dxa" w:w="230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b w:val="false"/>
                <w:bCs w:val="false"/>
                <w:sz w:val="19"/>
                <w:szCs w:val="19"/>
              </w:rPr>
              <w:t xml:space="preserve">5.1, 5.2 et 1.3</w:t>
            </w:r>
          </w:p>
        </w:tc>
      </w:tr>
    </w:tbl>
    <w:p>
      <w:pPr>
        <w:spacing w:after="200" w:before="60"/>
      </w:pPr>
      <w:r>
        <w:rPr>
          <w:rFonts w:ascii="Garamond" w:cs="Garamond" w:eastAsia="Garamond" w:hAnsi="Garamond"/>
          <w:i/>
          <w:iCs/>
          <w:color w:val="4A4A4A"/>
          <w:sz w:val="18"/>
          <w:szCs w:val="18"/>
        </w:rPr>
        <w:t xml:space="preserve">Source : analyse des auteurs.</w:t>
      </w:r>
    </w:p>
    <w:p>
      <w:pPr>
        <w:spacing w:after="140" w:before="0" w:line="276" w:lineRule="auto"/>
        <w:jc w:val="both"/>
      </w:pPr>
      <w:r>
        <w:rPr>
          <w:rFonts w:ascii="Garamond" w:cs="Garamond" w:eastAsia="Garamond" w:hAnsi="Garamond"/>
          <w:sz w:val="24"/>
          <w:szCs w:val="24"/>
        </w:rPr>
        <w:t xml:space="preserve">Cette architecture explique aussi les choix de périmètre destinés à éviter les doubles comptes : les émissions liées à la déforestation sont exclues de l’intensité des émissions (5.3) parce qu’elles sont saisies par le taux de déforestation (5.2) ; l’axe durabilité se limite à la dimension environnementale parce que les dimensions économique et sociale sont couvertes par les axes 2 à 4 ; les contrats d’exploitation sont exclus du taux de couverture foncière (4.1) parce qu’ils font l’objet d’un indicateur propre (4.3).</w:t>
      </w:r>
    </w:p>
    <w:p>
      <w:pPr>
        <w:pStyle w:val="Heading1"/>
        <w:pageBreakBefore/>
      </w:pPr>
      <w:r>
        <w:t xml:space="preserve">10. Références scientifiques et institutionnelles</w:t>
      </w:r>
    </w:p>
    <w:p>
      <w:pPr>
        <w:spacing w:after="140" w:before="0" w:line="276" w:lineRule="auto"/>
        <w:jc w:val="both"/>
      </w:pPr>
      <w:r>
        <w:rPr>
          <w:rFonts w:ascii="Garamond" w:cs="Garamond" w:eastAsia="Garamond" w:hAnsi="Garamond"/>
          <w:sz w:val="22"/>
          <w:szCs w:val="22"/>
        </w:rPr>
        <w:t xml:space="preserve">Les références sont regroupées par axe ; les cadres transversaux sont présentés en premier. Priorité a été donnée aux textes réglementaires, aux documents gouvernementaux, aux publications des institutions internationales et aux articles de revues à comité de lecture. Les adresses électroniques ont été vérifiées à la date indiquée. Deux références législatives récentes portent la mention « à confirmer » : leur existence est établie, mais leur intitulé exact doit être contrôlé au Journal officiel avant diffusion externe.</w:t>
      </w:r>
    </w:p>
    <w:p>
      <w:pPr>
        <w:pStyle w:val="Heading3"/>
      </w:pPr>
      <w:r>
        <w:t xml:space="preserve">Cadres de référence transversaux</w:t>
      </w:r>
    </w:p>
    <w:p>
      <w:pPr>
        <w:spacing w:after="100" w:line="252" w:lineRule="auto"/>
        <w:ind w:left="360" w:hanging="360"/>
        <w:jc w:val="left"/>
      </w:pPr>
      <w:r>
        <w:rPr>
          <w:rFonts w:ascii="Garamond" w:cs="Garamond" w:eastAsia="Garamond" w:hAnsi="Garamond"/>
          <w:sz w:val="21"/>
          <w:szCs w:val="21"/>
        </w:rPr>
        <w:t xml:space="preserve">Union africaine (2025). </w:t>
      </w:r>
      <w:r>
        <w:rPr>
          <w:rFonts w:ascii="Garamond" w:cs="Garamond" w:eastAsia="Garamond" w:hAnsi="Garamond"/>
          <w:i/>
          <w:iCs/>
          <w:sz w:val="21"/>
          <w:szCs w:val="21"/>
        </w:rPr>
        <w:t xml:space="preserve">Kampala CAADP Declaration on Building Resilient and Sustainable Agrifood Systems in Africa</w:t>
      </w:r>
      <w:r>
        <w:rPr>
          <w:rFonts w:ascii="Garamond" w:cs="Garamond" w:eastAsia="Garamond" w:hAnsi="Garamond"/>
          <w:sz w:val="21"/>
          <w:szCs w:val="21"/>
        </w:rPr>
        <w:t xml:space="preserve"> et </w:t>
      </w:r>
      <w:r>
        <w:rPr>
          <w:rFonts w:ascii="Garamond" w:cs="Garamond" w:eastAsia="Garamond" w:hAnsi="Garamond"/>
          <w:i/>
          <w:iCs/>
          <w:sz w:val="21"/>
          <w:szCs w:val="21"/>
        </w:rPr>
        <w:t xml:space="preserve">CAADP Strategy and Action Plan 2026-2035</w:t>
      </w:r>
      <w:r>
        <w:rPr>
          <w:rFonts w:ascii="Garamond" w:cs="Garamond" w:eastAsia="Garamond" w:hAnsi="Garamond"/>
          <w:sz w:val="21"/>
          <w:szCs w:val="21"/>
        </w:rPr>
        <w:t xml:space="preserve">. Adoptés lors du Sommet extraordinaire de Kampala, 9-11 janvier 2025. https://au.int/en/pressreleases/20250506/au-launches-caadp-strategy-action-plan-2026-2035-caadp-kampala-declaration (consulté le 29 septembre 2026).</w:t>
      </w:r>
    </w:p>
    <w:p>
      <w:pPr>
        <w:spacing w:after="100" w:line="252" w:lineRule="auto"/>
        <w:ind w:left="360" w:hanging="360"/>
        <w:jc w:val="left"/>
      </w:pPr>
      <w:r>
        <w:rPr>
          <w:rFonts w:ascii="Garamond" w:cs="Garamond" w:eastAsia="Garamond" w:hAnsi="Garamond"/>
          <w:sz w:val="21"/>
          <w:szCs w:val="21"/>
        </w:rPr>
        <w:t xml:space="preserve">ReSAKSS (2025). </w:t>
      </w:r>
      <w:r>
        <w:rPr>
          <w:rFonts w:ascii="Garamond" w:cs="Garamond" w:eastAsia="Garamond" w:hAnsi="Garamond"/>
          <w:i/>
          <w:iCs/>
          <w:sz w:val="21"/>
          <w:szCs w:val="21"/>
        </w:rPr>
        <w:t xml:space="preserve">Kampala CAADP Declaration &amp; CAADP Strategy and Action Plan (2026-2035)</w:t>
      </w:r>
      <w:r>
        <w:rPr>
          <w:rFonts w:ascii="Garamond" w:cs="Garamond" w:eastAsia="Garamond" w:hAnsi="Garamond"/>
          <w:sz w:val="21"/>
          <w:szCs w:val="21"/>
        </w:rPr>
        <w:t xml:space="preserve">. Regional Strategic Analysis and Knowledge Support System, IFPRI / AKADEMIYA2063. https://www.resakss.org/node/6927 (consulté le 29 septembre 2026).</w:t>
      </w:r>
    </w:p>
    <w:p>
      <w:pPr>
        <w:spacing w:after="100" w:line="252" w:lineRule="auto"/>
        <w:ind w:left="360" w:hanging="360"/>
        <w:jc w:val="left"/>
      </w:pPr>
      <w:r>
        <w:rPr>
          <w:rFonts w:ascii="Garamond" w:cs="Garamond" w:eastAsia="Garamond" w:hAnsi="Garamond"/>
          <w:sz w:val="21"/>
          <w:szCs w:val="21"/>
        </w:rPr>
        <w:t xml:space="preserve">Union africaine (2014). </w:t>
      </w:r>
      <w:r>
        <w:rPr>
          <w:rFonts w:ascii="Garamond" w:cs="Garamond" w:eastAsia="Garamond" w:hAnsi="Garamond"/>
          <w:i/>
          <w:iCs/>
          <w:sz w:val="21"/>
          <w:szCs w:val="21"/>
        </w:rPr>
        <w:t xml:space="preserve">Déclaration de Malabo sur la croissance et la transformation accélérées de l’agriculture en Afrique pour une prospérité partagée et de meilleures conditions de vie</w:t>
      </w:r>
      <w:r>
        <w:rPr>
          <w:rFonts w:ascii="Garamond" w:cs="Garamond" w:eastAsia="Garamond" w:hAnsi="Garamond"/>
          <w:sz w:val="21"/>
          <w:szCs w:val="21"/>
        </w:rPr>
        <w:t xml:space="preserve">. Commission de l’Union africaine, Addis-Abeba.</w:t>
      </w:r>
    </w:p>
    <w:p>
      <w:pPr>
        <w:spacing w:after="100" w:line="252" w:lineRule="auto"/>
        <w:ind w:left="360" w:hanging="360"/>
        <w:jc w:val="left"/>
      </w:pPr>
      <w:r>
        <w:rPr>
          <w:rFonts w:ascii="Garamond" w:cs="Garamond" w:eastAsia="Garamond" w:hAnsi="Garamond"/>
          <w:sz w:val="21"/>
          <w:szCs w:val="21"/>
        </w:rPr>
        <w:t xml:space="preserve">FAO. </w:t>
      </w:r>
      <w:r>
        <w:rPr>
          <w:rFonts w:ascii="Garamond" w:cs="Garamond" w:eastAsia="Garamond" w:hAnsi="Garamond"/>
          <w:i/>
          <w:iCs/>
          <w:sz w:val="21"/>
          <w:szCs w:val="21"/>
        </w:rPr>
        <w:t xml:space="preserve">FAOSTAT</w:t>
      </w:r>
      <w:r>
        <w:rPr>
          <w:rFonts w:ascii="Garamond" w:cs="Garamond" w:eastAsia="Garamond" w:hAnsi="Garamond"/>
          <w:sz w:val="21"/>
          <w:szCs w:val="21"/>
        </w:rPr>
        <w:t xml:space="preserve">, base de données statistique de l’Organisation des Nations unies pour l’alimentation et l’agriculture. https://www.fao.org/faostat/ (consulté le 29 septembre 2026).</w:t>
      </w:r>
    </w:p>
    <w:p>
      <w:pPr>
        <w:pStyle w:val="Heading3"/>
      </w:pPr>
      <w:r>
        <w:t xml:space="preserve">Axe 1 — Souveraineté alimentaire</w:t>
      </w:r>
    </w:p>
    <w:p>
      <w:pPr>
        <w:spacing w:after="100" w:line="252" w:lineRule="auto"/>
        <w:ind w:left="360" w:hanging="360"/>
        <w:jc w:val="left"/>
      </w:pPr>
      <w:r>
        <w:rPr>
          <w:rFonts w:ascii="Garamond" w:cs="Garamond" w:eastAsia="Garamond" w:hAnsi="Garamond"/>
          <w:sz w:val="21"/>
          <w:szCs w:val="21"/>
        </w:rPr>
        <w:t xml:space="preserve">FAO (2001). </w:t>
      </w:r>
      <w:r>
        <w:rPr>
          <w:rFonts w:ascii="Garamond" w:cs="Garamond" w:eastAsia="Garamond" w:hAnsi="Garamond"/>
          <w:i/>
          <w:iCs/>
          <w:sz w:val="21"/>
          <w:szCs w:val="21"/>
        </w:rPr>
        <w:t xml:space="preserve">Food Balance Sheets – A Handbook</w:t>
      </w:r>
      <w:r>
        <w:rPr>
          <w:rFonts w:ascii="Garamond" w:cs="Garamond" w:eastAsia="Garamond" w:hAnsi="Garamond"/>
          <w:sz w:val="21"/>
          <w:szCs w:val="21"/>
        </w:rPr>
        <w:t xml:space="preserve">. Rome, Organisation des Nations unies pour l’alimentation et l’agriculture. https://www.fao.org/4/x9892e/x9892e00.htm (consulté le 29 septembre 2026).</w:t>
      </w:r>
    </w:p>
    <w:p>
      <w:pPr>
        <w:spacing w:after="100" w:line="252" w:lineRule="auto"/>
        <w:ind w:left="360" w:hanging="360"/>
        <w:jc w:val="left"/>
      </w:pPr>
      <w:r>
        <w:rPr>
          <w:rFonts w:ascii="Garamond" w:cs="Garamond" w:eastAsia="Garamond" w:hAnsi="Garamond"/>
          <w:sz w:val="21"/>
          <w:szCs w:val="21"/>
        </w:rPr>
        <w:t xml:space="preserve">FAO. </w:t>
      </w:r>
      <w:r>
        <w:rPr>
          <w:rFonts w:ascii="Garamond" w:cs="Garamond" w:eastAsia="Garamond" w:hAnsi="Garamond"/>
          <w:i/>
          <w:iCs/>
          <w:sz w:val="21"/>
          <w:szCs w:val="21"/>
        </w:rPr>
        <w:t xml:space="preserve">FAO indices of agricultural production</w:t>
      </w:r>
      <w:r>
        <w:rPr>
          <w:rFonts w:ascii="Garamond" w:cs="Garamond" w:eastAsia="Garamond" w:hAnsi="Garamond"/>
          <w:sz w:val="21"/>
          <w:szCs w:val="21"/>
        </w:rPr>
        <w:t xml:space="preserve">, note méthodologique du domaine FAOSTAT « Production indices ». https://files-faostat.fao.org/production/QI/QI_e.pdf (consulté le 29 septembre 2026).</w:t>
      </w:r>
    </w:p>
    <w:p>
      <w:pPr>
        <w:spacing w:after="100" w:line="252" w:lineRule="auto"/>
        <w:ind w:left="360" w:hanging="360"/>
        <w:jc w:val="left"/>
      </w:pPr>
      <w:r>
        <w:rPr>
          <w:rFonts w:ascii="Garamond" w:cs="Garamond" w:eastAsia="Garamond" w:hAnsi="Garamond"/>
          <w:sz w:val="21"/>
          <w:szCs w:val="21"/>
        </w:rPr>
        <w:t xml:space="preserve">FAO. </w:t>
      </w:r>
      <w:r>
        <w:rPr>
          <w:rFonts w:ascii="Garamond" w:cs="Garamond" w:eastAsia="Garamond" w:hAnsi="Garamond"/>
          <w:i/>
          <w:iCs/>
          <w:sz w:val="21"/>
          <w:szCs w:val="21"/>
        </w:rPr>
        <w:t xml:space="preserve">Suite of Food Security Indicators</w:t>
      </w:r>
      <w:r>
        <w:rPr>
          <w:rFonts w:ascii="Garamond" w:cs="Garamond" w:eastAsia="Garamond" w:hAnsi="Garamond"/>
          <w:sz w:val="21"/>
          <w:szCs w:val="21"/>
        </w:rPr>
        <w:t xml:space="preserve">, FAOSTAT (indicateurs de variabilité de la production et des disponibilités alimentaires par habitant). https://www.fao.org/faostat/en/#data/FS (consulté le 29 septembre 2026).</w:t>
      </w:r>
    </w:p>
    <w:p>
      <w:pPr>
        <w:spacing w:after="100" w:line="252" w:lineRule="auto"/>
        <w:ind w:left="360" w:hanging="360"/>
        <w:jc w:val="left"/>
      </w:pPr>
      <w:r>
        <w:rPr>
          <w:rFonts w:ascii="Garamond" w:cs="Garamond" w:eastAsia="Garamond" w:hAnsi="Garamond"/>
          <w:sz w:val="21"/>
          <w:szCs w:val="21"/>
        </w:rPr>
        <w:t xml:space="preserve">Clapp, J. (2017). Food self-sufficiency: Making sense of it, and when it makes sense. </w:t>
      </w:r>
      <w:r>
        <w:rPr>
          <w:rFonts w:ascii="Garamond" w:cs="Garamond" w:eastAsia="Garamond" w:hAnsi="Garamond"/>
          <w:i/>
          <w:iCs/>
          <w:sz w:val="21"/>
          <w:szCs w:val="21"/>
        </w:rPr>
        <w:t xml:space="preserve">Food Policy</w:t>
      </w:r>
      <w:r>
        <w:rPr>
          <w:rFonts w:ascii="Garamond" w:cs="Garamond" w:eastAsia="Garamond" w:hAnsi="Garamond"/>
          <w:sz w:val="21"/>
          <w:szCs w:val="21"/>
        </w:rPr>
        <w:t xml:space="preserve">, 66, 88-96.</w:t>
      </w:r>
    </w:p>
    <w:p>
      <w:pPr>
        <w:pStyle w:val="Heading3"/>
      </w:pPr>
      <w:r>
        <w:t xml:space="preserve">Axe 2 — Compétitivité de l’agriculture</w:t>
      </w:r>
    </w:p>
    <w:p>
      <w:pPr>
        <w:spacing w:after="100" w:line="252" w:lineRule="auto"/>
        <w:ind w:left="360" w:hanging="360"/>
        <w:jc w:val="left"/>
      </w:pPr>
      <w:r>
        <w:rPr>
          <w:rFonts w:ascii="Garamond" w:cs="Garamond" w:eastAsia="Garamond" w:hAnsi="Garamond"/>
          <w:sz w:val="21"/>
          <w:szCs w:val="21"/>
        </w:rPr>
        <w:t xml:space="preserve">Latruffe, L. (2010). </w:t>
      </w:r>
      <w:r>
        <w:rPr>
          <w:rFonts w:ascii="Garamond" w:cs="Garamond" w:eastAsia="Garamond" w:hAnsi="Garamond"/>
          <w:i/>
          <w:iCs/>
          <w:sz w:val="21"/>
          <w:szCs w:val="21"/>
        </w:rPr>
        <w:t xml:space="preserve">Competitiveness, Productivity and Efficiency in the Agricultural and Agri-Food Sectors</w:t>
      </w:r>
      <w:r>
        <w:rPr>
          <w:rFonts w:ascii="Garamond" w:cs="Garamond" w:eastAsia="Garamond" w:hAnsi="Garamond"/>
          <w:sz w:val="21"/>
          <w:szCs w:val="21"/>
        </w:rPr>
        <w:t xml:space="preserve">. OECD Food, Agriculture and Fisheries Papers, n° 30, OCDE, Paris. https://doi.org/10.1787/5km91nkdt6d6-en.</w:t>
      </w:r>
    </w:p>
    <w:p>
      <w:pPr>
        <w:spacing w:after="100" w:line="252" w:lineRule="auto"/>
        <w:ind w:left="360" w:hanging="360"/>
        <w:jc w:val="left"/>
      </w:pPr>
      <w:r>
        <w:rPr>
          <w:rFonts w:ascii="Garamond" w:cs="Garamond" w:eastAsia="Garamond" w:hAnsi="Garamond"/>
          <w:sz w:val="21"/>
          <w:szCs w:val="21"/>
        </w:rPr>
        <w:t xml:space="preserve">FAO (2019). </w:t>
      </w:r>
      <w:r>
        <w:rPr>
          <w:rFonts w:ascii="Garamond" w:cs="Garamond" w:eastAsia="Garamond" w:hAnsi="Garamond"/>
          <w:i/>
          <w:iCs/>
          <w:sz w:val="21"/>
          <w:szCs w:val="21"/>
        </w:rPr>
        <w:t xml:space="preserve">The State of Food and Agriculture 2019. Moving forward on food loss and waste reduction</w:t>
      </w:r>
      <w:r>
        <w:rPr>
          <w:rFonts w:ascii="Garamond" w:cs="Garamond" w:eastAsia="Garamond" w:hAnsi="Garamond"/>
          <w:sz w:val="21"/>
          <w:szCs w:val="21"/>
        </w:rPr>
        <w:t xml:space="preserve">. Rome. https://www.fao.org/3/ca6030en/ca6030en.pdf (consulté le 29 septembre 2026).</w:t>
      </w:r>
    </w:p>
    <w:p>
      <w:pPr>
        <w:spacing w:after="100" w:line="252" w:lineRule="auto"/>
        <w:ind w:left="360" w:hanging="360"/>
        <w:jc w:val="left"/>
      </w:pPr>
      <w:r>
        <w:rPr>
          <w:rFonts w:ascii="Garamond" w:cs="Garamond" w:eastAsia="Garamond" w:hAnsi="Garamond"/>
          <w:sz w:val="21"/>
          <w:szCs w:val="21"/>
        </w:rPr>
        <w:t xml:space="preserve">FAO. </w:t>
      </w:r>
      <w:r>
        <w:rPr>
          <w:rFonts w:ascii="Garamond" w:cs="Garamond" w:eastAsia="Garamond" w:hAnsi="Garamond"/>
          <w:i/>
          <w:iCs/>
          <w:sz w:val="21"/>
          <w:szCs w:val="21"/>
        </w:rPr>
        <w:t xml:space="preserve">Indicateur ODD 12.3.1 – Pertes alimentaires mondiales</w:t>
      </w:r>
      <w:r>
        <w:rPr>
          <w:rFonts w:ascii="Garamond" w:cs="Garamond" w:eastAsia="Garamond" w:hAnsi="Garamond"/>
          <w:sz w:val="21"/>
          <w:szCs w:val="21"/>
        </w:rPr>
        <w:t xml:space="preserve"> (indice des pertes alimentaires, 12.3.1a), portail des indicateurs ODD de la FAO. https://www.fao.org/sustainable-development-goals-data-portal/data/indicators/1231-global-food-losses/en/ (consulté le 29 septembre 2026).</w:t>
      </w:r>
    </w:p>
    <w:p>
      <w:pPr>
        <w:spacing w:after="100" w:line="252" w:lineRule="auto"/>
        <w:ind w:left="360" w:hanging="360"/>
        <w:jc w:val="left"/>
      </w:pPr>
      <w:r>
        <w:rPr>
          <w:rFonts w:ascii="Garamond" w:cs="Garamond" w:eastAsia="Garamond" w:hAnsi="Garamond"/>
          <w:sz w:val="21"/>
          <w:szCs w:val="21"/>
        </w:rPr>
        <w:t xml:space="preserve">Affognon, H., Mutungi, C., Sanginga, P. et Borgemeister, C. (2015). Unpacking postharvest losses in sub-Saharan Africa: A meta-analysis. </w:t>
      </w:r>
      <w:r>
        <w:rPr>
          <w:rFonts w:ascii="Garamond" w:cs="Garamond" w:eastAsia="Garamond" w:hAnsi="Garamond"/>
          <w:i/>
          <w:iCs/>
          <w:sz w:val="21"/>
          <w:szCs w:val="21"/>
        </w:rPr>
        <w:t xml:space="preserve">World Development</w:t>
      </w:r>
      <w:r>
        <w:rPr>
          <w:rFonts w:ascii="Garamond" w:cs="Garamond" w:eastAsia="Garamond" w:hAnsi="Garamond"/>
          <w:sz w:val="21"/>
          <w:szCs w:val="21"/>
        </w:rPr>
        <w:t xml:space="preserve">, 66, 49-68.</w:t>
      </w:r>
    </w:p>
    <w:p>
      <w:pPr>
        <w:spacing w:after="100" w:line="252" w:lineRule="auto"/>
        <w:ind w:left="360" w:hanging="360"/>
        <w:jc w:val="left"/>
      </w:pPr>
      <w:r>
        <w:rPr>
          <w:rFonts w:ascii="Garamond" w:cs="Garamond" w:eastAsia="Garamond" w:hAnsi="Garamond"/>
          <w:sz w:val="21"/>
          <w:szCs w:val="21"/>
        </w:rPr>
        <w:t xml:space="preserve">Hodges, R. J., Buzby, J. C. et Bennett, B. (2011). Postharvest losses and waste in developed and less developed countries: opportunities to improve resource use. </w:t>
      </w:r>
      <w:r>
        <w:rPr>
          <w:rFonts w:ascii="Garamond" w:cs="Garamond" w:eastAsia="Garamond" w:hAnsi="Garamond"/>
          <w:i/>
          <w:iCs/>
          <w:sz w:val="21"/>
          <w:szCs w:val="21"/>
        </w:rPr>
        <w:t xml:space="preserve">The Journal of Agricultural Science</w:t>
      </w:r>
      <w:r>
        <w:rPr>
          <w:rFonts w:ascii="Garamond" w:cs="Garamond" w:eastAsia="Garamond" w:hAnsi="Garamond"/>
          <w:sz w:val="21"/>
          <w:szCs w:val="21"/>
        </w:rPr>
        <w:t xml:space="preserve">, 149(S1), 37-45.</w:t>
      </w:r>
    </w:p>
    <w:p>
      <w:pPr>
        <w:spacing w:after="100" w:line="252" w:lineRule="auto"/>
        <w:ind w:left="360" w:hanging="360"/>
        <w:jc w:val="left"/>
      </w:pPr>
      <w:r>
        <w:rPr>
          <w:rFonts w:ascii="Garamond" w:cs="Garamond" w:eastAsia="Garamond" w:hAnsi="Garamond"/>
          <w:sz w:val="21"/>
          <w:szCs w:val="21"/>
        </w:rPr>
        <w:t xml:space="preserve">Barrett, C. B., Reardon, T., Swinnen, J. et Zilberman, D. (2022). Agri-food value chain revolutions in low- and middle-income countries. </w:t>
      </w:r>
      <w:r>
        <w:rPr>
          <w:rFonts w:ascii="Garamond" w:cs="Garamond" w:eastAsia="Garamond" w:hAnsi="Garamond"/>
          <w:i/>
          <w:iCs/>
          <w:sz w:val="21"/>
          <w:szCs w:val="21"/>
        </w:rPr>
        <w:t xml:space="preserve">Journal of Economic Literature</w:t>
      </w:r>
      <w:r>
        <w:rPr>
          <w:rFonts w:ascii="Garamond" w:cs="Garamond" w:eastAsia="Garamond" w:hAnsi="Garamond"/>
          <w:sz w:val="21"/>
          <w:szCs w:val="21"/>
        </w:rPr>
        <w:t xml:space="preserve">, 60(4), 1316-1377.</w:t>
      </w:r>
    </w:p>
    <w:p>
      <w:pPr>
        <w:spacing w:after="100" w:line="252" w:lineRule="auto"/>
        <w:ind w:left="360" w:hanging="360"/>
        <w:jc w:val="left"/>
      </w:pPr>
      <w:r>
        <w:rPr>
          <w:rFonts w:ascii="Garamond" w:cs="Garamond" w:eastAsia="Garamond" w:hAnsi="Garamond"/>
          <w:sz w:val="21"/>
          <w:szCs w:val="21"/>
        </w:rPr>
        <w:t xml:space="preserve">Banque mondiale (2013). </w:t>
      </w:r>
      <w:r>
        <w:rPr>
          <w:rFonts w:ascii="Garamond" w:cs="Garamond" w:eastAsia="Garamond" w:hAnsi="Garamond"/>
          <w:i/>
          <w:iCs/>
          <w:sz w:val="21"/>
          <w:szCs w:val="21"/>
        </w:rPr>
        <w:t xml:space="preserve">Growing Africa: Unlocking the Potential of Agribusiness</w:t>
      </w:r>
      <w:r>
        <w:rPr>
          <w:rFonts w:ascii="Garamond" w:cs="Garamond" w:eastAsia="Garamond" w:hAnsi="Garamond"/>
          <w:sz w:val="21"/>
          <w:szCs w:val="21"/>
        </w:rPr>
        <w:t xml:space="preserve">. Washington, D.C.</w:t>
      </w:r>
    </w:p>
    <w:p>
      <w:pPr>
        <w:spacing w:after="100" w:line="252" w:lineRule="auto"/>
        <w:ind w:left="360" w:hanging="360"/>
        <w:jc w:val="left"/>
      </w:pPr>
      <w:r>
        <w:rPr>
          <w:rFonts w:ascii="Garamond" w:cs="Garamond" w:eastAsia="Garamond" w:hAnsi="Garamond"/>
          <w:sz w:val="21"/>
          <w:szCs w:val="21"/>
        </w:rPr>
        <w:t xml:space="preserve">USDA Economic Research Service. </w:t>
      </w:r>
      <w:r>
        <w:rPr>
          <w:rFonts w:ascii="Garamond" w:cs="Garamond" w:eastAsia="Garamond" w:hAnsi="Garamond"/>
          <w:i/>
          <w:iCs/>
          <w:sz w:val="21"/>
          <w:szCs w:val="21"/>
        </w:rPr>
        <w:t xml:space="preserve">International Agricultural Productivity – Documentation and Methods</w:t>
      </w:r>
      <w:r>
        <w:rPr>
          <w:rFonts w:ascii="Garamond" w:cs="Garamond" w:eastAsia="Garamond" w:hAnsi="Garamond"/>
          <w:sz w:val="21"/>
          <w:szCs w:val="21"/>
        </w:rPr>
        <w:t xml:space="preserve">. https://ers.usda.gov/data-products/international-agricultural-productivity/documentation-and-methods (consulté le 29 septembre 2026).</w:t>
      </w:r>
    </w:p>
    <w:p>
      <w:pPr>
        <w:pStyle w:val="Heading3"/>
      </w:pPr>
      <w:r>
        <w:t xml:space="preserve">Axe 3 — Accès au financement agricole</w:t>
      </w:r>
    </w:p>
    <w:p>
      <w:pPr>
        <w:spacing w:after="100" w:line="252" w:lineRule="auto"/>
        <w:ind w:left="360" w:hanging="360"/>
        <w:jc w:val="left"/>
      </w:pPr>
      <w:r>
        <w:rPr>
          <w:rFonts w:ascii="Garamond" w:cs="Garamond" w:eastAsia="Garamond" w:hAnsi="Garamond"/>
          <w:sz w:val="21"/>
          <w:szCs w:val="21"/>
        </w:rPr>
        <w:t xml:space="preserve">Stiglitz, J. E. et Weiss, A. (1981). Credit rationing in markets with imperfect information. </w:t>
      </w:r>
      <w:r>
        <w:rPr>
          <w:rFonts w:ascii="Garamond" w:cs="Garamond" w:eastAsia="Garamond" w:hAnsi="Garamond"/>
          <w:i/>
          <w:iCs/>
          <w:sz w:val="21"/>
          <w:szCs w:val="21"/>
        </w:rPr>
        <w:t xml:space="preserve">American Economic Review</w:t>
      </w:r>
      <w:r>
        <w:rPr>
          <w:rFonts w:ascii="Garamond" w:cs="Garamond" w:eastAsia="Garamond" w:hAnsi="Garamond"/>
          <w:sz w:val="21"/>
          <w:szCs w:val="21"/>
        </w:rPr>
        <w:t xml:space="preserve">, 71(3), 393-410.</w:t>
      </w:r>
    </w:p>
    <w:p>
      <w:pPr>
        <w:spacing w:after="100" w:line="252" w:lineRule="auto"/>
        <w:ind w:left="360" w:hanging="360"/>
        <w:jc w:val="left"/>
      </w:pPr>
      <w:r>
        <w:rPr>
          <w:rFonts w:ascii="Garamond" w:cs="Garamond" w:eastAsia="Garamond" w:hAnsi="Garamond"/>
          <w:sz w:val="21"/>
          <w:szCs w:val="21"/>
        </w:rPr>
        <w:t xml:space="preserve">Kon, Y. et Storey, D. J. (2003). A theory of discouraged borrowers. </w:t>
      </w:r>
      <w:r>
        <w:rPr>
          <w:rFonts w:ascii="Garamond" w:cs="Garamond" w:eastAsia="Garamond" w:hAnsi="Garamond"/>
          <w:i/>
          <w:iCs/>
          <w:sz w:val="21"/>
          <w:szCs w:val="21"/>
        </w:rPr>
        <w:t xml:space="preserve">Small Business Economics</w:t>
      </w:r>
      <w:r>
        <w:rPr>
          <w:rFonts w:ascii="Garamond" w:cs="Garamond" w:eastAsia="Garamond" w:hAnsi="Garamond"/>
          <w:sz w:val="21"/>
          <w:szCs w:val="21"/>
        </w:rPr>
        <w:t xml:space="preserve">, 21(1), 37-49.</w:t>
      </w:r>
    </w:p>
    <w:p>
      <w:pPr>
        <w:spacing w:after="100" w:line="252" w:lineRule="auto"/>
        <w:ind w:left="360" w:hanging="360"/>
        <w:jc w:val="left"/>
      </w:pPr>
      <w:r>
        <w:rPr>
          <w:rFonts w:ascii="Garamond" w:cs="Garamond" w:eastAsia="Garamond" w:hAnsi="Garamond"/>
          <w:sz w:val="21"/>
          <w:szCs w:val="21"/>
        </w:rPr>
        <w:t xml:space="preserve">Boucher, S. R., Carter, M. R. et Guirkinger, C. (2008). Risk rationing and wealth effects in credit markets: Theory and implications for agricultural development. </w:t>
      </w:r>
      <w:r>
        <w:rPr>
          <w:rFonts w:ascii="Garamond" w:cs="Garamond" w:eastAsia="Garamond" w:hAnsi="Garamond"/>
          <w:i/>
          <w:iCs/>
          <w:sz w:val="21"/>
          <w:szCs w:val="21"/>
        </w:rPr>
        <w:t xml:space="preserve">American Journal of Agricultural Economics</w:t>
      </w:r>
      <w:r>
        <w:rPr>
          <w:rFonts w:ascii="Garamond" w:cs="Garamond" w:eastAsia="Garamond" w:hAnsi="Garamond"/>
          <w:sz w:val="21"/>
          <w:szCs w:val="21"/>
        </w:rPr>
        <w:t xml:space="preserve">, 90(2), 409-423.</w:t>
      </w:r>
    </w:p>
    <w:p>
      <w:pPr>
        <w:spacing w:after="100" w:line="252" w:lineRule="auto"/>
        <w:ind w:left="360" w:hanging="360"/>
        <w:jc w:val="left"/>
      </w:pPr>
      <w:r>
        <w:rPr>
          <w:rFonts w:ascii="Garamond" w:cs="Garamond" w:eastAsia="Garamond" w:hAnsi="Garamond"/>
          <w:sz w:val="21"/>
          <w:szCs w:val="21"/>
        </w:rPr>
        <w:t xml:space="preserve">Christen, R. P. et Anderson, J. (2013). </w:t>
      </w:r>
      <w:r>
        <w:rPr>
          <w:rFonts w:ascii="Garamond" w:cs="Garamond" w:eastAsia="Garamond" w:hAnsi="Garamond"/>
          <w:i/>
          <w:iCs/>
          <w:sz w:val="21"/>
          <w:szCs w:val="21"/>
        </w:rPr>
        <w:t xml:space="preserve">Segmentation of Smallholder Households: Meeting the Range of Financial Needs in Agricultural Families</w:t>
      </w:r>
      <w:r>
        <w:rPr>
          <w:rFonts w:ascii="Garamond" w:cs="Garamond" w:eastAsia="Garamond" w:hAnsi="Garamond"/>
          <w:sz w:val="21"/>
          <w:szCs w:val="21"/>
        </w:rPr>
        <w:t xml:space="preserve">. Focus Note n° 85, CGAP, Washington, D.C. https://www.cgap.org/research/publication/segmentation-of-smallholder-households (consulté le 29 septembre 2026).</w:t>
      </w:r>
    </w:p>
    <w:p>
      <w:pPr>
        <w:spacing w:after="100" w:line="252" w:lineRule="auto"/>
        <w:ind w:left="360" w:hanging="360"/>
        <w:jc w:val="left"/>
      </w:pPr>
      <w:r>
        <w:rPr>
          <w:rFonts w:ascii="Garamond" w:cs="Garamond" w:eastAsia="Garamond" w:hAnsi="Garamond"/>
          <w:sz w:val="21"/>
          <w:szCs w:val="21"/>
        </w:rPr>
        <w:t xml:space="preserve">Banque mondiale (2025). </w:t>
      </w:r>
      <w:r>
        <w:rPr>
          <w:rFonts w:ascii="Garamond" w:cs="Garamond" w:eastAsia="Garamond" w:hAnsi="Garamond"/>
          <w:i/>
          <w:iCs/>
          <w:sz w:val="21"/>
          <w:szCs w:val="21"/>
        </w:rPr>
        <w:t xml:space="preserve">The Global Findex Database 2025: Connectivity and Financial Inclusion in the Digital Economy</w:t>
      </w:r>
      <w:r>
        <w:rPr>
          <w:rFonts w:ascii="Garamond" w:cs="Garamond" w:eastAsia="Garamond" w:hAnsi="Garamond"/>
          <w:sz w:val="21"/>
          <w:szCs w:val="21"/>
        </w:rPr>
        <w:t xml:space="preserve">. Washington, D.C. https://www.worldbank.org/en/publication/globalfindex/report (consulté le 29 septembre 2026).</w:t>
      </w:r>
    </w:p>
    <w:p>
      <w:pPr>
        <w:spacing w:after="100" w:line="252" w:lineRule="auto"/>
        <w:ind w:left="360" w:hanging="360"/>
        <w:jc w:val="left"/>
      </w:pPr>
      <w:r>
        <w:rPr>
          <w:rFonts w:ascii="Garamond" w:cs="Garamond" w:eastAsia="Garamond" w:hAnsi="Garamond"/>
          <w:sz w:val="21"/>
          <w:szCs w:val="21"/>
        </w:rPr>
        <w:t xml:space="preserve">BCEAO. </w:t>
      </w:r>
      <w:r>
        <w:rPr>
          <w:rFonts w:ascii="Garamond" w:cs="Garamond" w:eastAsia="Garamond" w:hAnsi="Garamond"/>
          <w:i/>
          <w:iCs/>
          <w:sz w:val="21"/>
          <w:szCs w:val="21"/>
        </w:rPr>
        <w:t xml:space="preserve">Bulletin mensuel des statistiques</w:t>
      </w:r>
      <w:r>
        <w:rPr>
          <w:rFonts w:ascii="Garamond" w:cs="Garamond" w:eastAsia="Garamond" w:hAnsi="Garamond"/>
          <w:sz w:val="21"/>
          <w:szCs w:val="21"/>
        </w:rPr>
        <w:t xml:space="preserve"> (utilisations de crédits déclarées à la Centrale des risques, par secteur d’activité et par terme), éditions successives. https://www.bceao.int (consulté le 29 septembre 2026).</w:t>
      </w:r>
    </w:p>
    <w:p>
      <w:pPr>
        <w:spacing w:after="100" w:line="252" w:lineRule="auto"/>
        <w:ind w:left="360" w:hanging="360"/>
        <w:jc w:val="left"/>
      </w:pPr>
      <w:r>
        <w:rPr>
          <w:rFonts w:ascii="Garamond" w:cs="Garamond" w:eastAsia="Garamond" w:hAnsi="Garamond"/>
          <w:sz w:val="21"/>
          <w:szCs w:val="21"/>
        </w:rPr>
        <w:t xml:space="preserve">BCEAO. </w:t>
      </w:r>
      <w:r>
        <w:rPr>
          <w:rFonts w:ascii="Garamond" w:cs="Garamond" w:eastAsia="Garamond" w:hAnsi="Garamond"/>
          <w:i/>
          <w:iCs/>
          <w:sz w:val="21"/>
          <w:szCs w:val="21"/>
        </w:rPr>
        <w:t xml:space="preserve">Base de données économiques et financières EDEN</w:t>
      </w:r>
      <w:r>
        <w:rPr>
          <w:rFonts w:ascii="Garamond" w:cs="Garamond" w:eastAsia="Garamond" w:hAnsi="Garamond"/>
          <w:sz w:val="21"/>
          <w:szCs w:val="21"/>
        </w:rPr>
        <w:t xml:space="preserve">. https://edenpub.bceao.int/ (consulté le 29 septembre 2026).</w:t>
      </w:r>
    </w:p>
    <w:p>
      <w:pPr>
        <w:pStyle w:val="Heading3"/>
      </w:pPr>
      <w:r>
        <w:t xml:space="preserve">Axe 4 — Sécurisation du foncier rural</w:t>
      </w:r>
    </w:p>
    <w:p>
      <w:pPr>
        <w:spacing w:after="100" w:line="252" w:lineRule="auto"/>
        <w:ind w:left="360" w:hanging="360"/>
        <w:jc w:val="left"/>
      </w:pPr>
      <w:r>
        <w:rPr>
          <w:rFonts w:ascii="Garamond" w:cs="Garamond" w:eastAsia="Garamond" w:hAnsi="Garamond"/>
          <w:sz w:val="21"/>
          <w:szCs w:val="21"/>
        </w:rPr>
        <w:t xml:space="preserve">République de Côte d’Ivoire. Loi n° 98-750 du 23 décembre 1998 relative au domaine foncier rural, modifiée par les lois n° 2004-412 du 14 août 2004, n° 2013-655 du 13 septembre 2013 et n° 2019-868 du 14 octobre 2019. Texte initial : FAOLEX, https://www.fao.org/faolex/results/details/en/c/LEX-FAOC015631/ (consulté le 29 septembre 2026).</w:t>
      </w:r>
    </w:p>
    <w:p>
      <w:pPr>
        <w:spacing w:after="100" w:line="252" w:lineRule="auto"/>
        <w:ind w:left="360" w:hanging="360"/>
        <w:jc w:val="left"/>
      </w:pPr>
      <w:r>
        <w:rPr>
          <w:rFonts w:ascii="Garamond" w:cs="Garamond" w:eastAsia="Garamond" w:hAnsi="Garamond"/>
          <w:sz w:val="21"/>
          <w:szCs w:val="21"/>
        </w:rPr>
        <w:t xml:space="preserve">République de Côte d’Ivoire. Décret n° 2016-590 du 3 août 2016 portant création, attributions, organisation et fonctionnement de l’Agence foncière rurale (AFOR).</w:t>
      </w:r>
    </w:p>
    <w:p>
      <w:pPr>
        <w:spacing w:after="100" w:line="252" w:lineRule="auto"/>
        <w:ind w:left="360" w:hanging="360"/>
        <w:jc w:val="left"/>
      </w:pPr>
      <w:r>
        <w:rPr>
          <w:rFonts w:ascii="Garamond" w:cs="Garamond" w:eastAsia="Garamond" w:hAnsi="Garamond"/>
          <w:sz w:val="21"/>
          <w:szCs w:val="21"/>
        </w:rPr>
        <w:t xml:space="preserve">République de Côte d’Ivoire. Décret n° 2019-263 du 27 mars 2019 portant définition de la procédure de délimitation des territoires des villages (abrogeant le décret n° 2013-296 du 2 mai 2013).</w:t>
      </w:r>
    </w:p>
    <w:p>
      <w:pPr>
        <w:spacing w:after="100" w:line="252" w:lineRule="auto"/>
        <w:ind w:left="360" w:hanging="360"/>
        <w:jc w:val="left"/>
      </w:pPr>
      <w:r>
        <w:rPr>
          <w:rFonts w:ascii="Garamond" w:cs="Garamond" w:eastAsia="Garamond" w:hAnsi="Garamond"/>
          <w:sz w:val="21"/>
          <w:szCs w:val="21"/>
        </w:rPr>
        <w:t xml:space="preserve">République de Côte d’Ivoire. Décret n° 2024-850 du 30 septembre 2024 fixant les règles relatives à l’opération intégrée de sécurisation foncière rurale.</w:t>
      </w:r>
    </w:p>
    <w:p>
      <w:pPr>
        <w:spacing w:after="100" w:line="252" w:lineRule="auto"/>
        <w:ind w:left="360" w:hanging="360"/>
        <w:jc w:val="left"/>
      </w:pPr>
      <w:r>
        <w:rPr>
          <w:rFonts w:ascii="Garamond" w:cs="Garamond" w:eastAsia="Garamond" w:hAnsi="Garamond"/>
          <w:sz w:val="21"/>
          <w:szCs w:val="21"/>
        </w:rPr>
        <w:t xml:space="preserve">République de Côte d’Ivoire. Ordonnance n° 2025-85 du 12 février 2025 portant création, attributions, organisation et fonctionnement du Système d’information foncière rurale (SIFOR). Intitulé exact et loi de ratification à confirmer au Journal officiel.</w:t>
      </w:r>
    </w:p>
    <w:p>
      <w:pPr>
        <w:spacing w:after="100" w:line="252" w:lineRule="auto"/>
        <w:ind w:left="360" w:hanging="360"/>
        <w:jc w:val="left"/>
      </w:pPr>
      <w:r>
        <w:rPr>
          <w:rFonts w:ascii="Garamond" w:cs="Garamond" w:eastAsia="Garamond" w:hAnsi="Garamond"/>
          <w:sz w:val="21"/>
          <w:szCs w:val="21"/>
        </w:rPr>
        <w:t xml:space="preserve">Ministère d’État, ministère de l’Agriculture, du Développement rural et des Productions vivrières (2023). </w:t>
      </w:r>
      <w:r>
        <w:rPr>
          <w:rFonts w:ascii="Garamond" w:cs="Garamond" w:eastAsia="Garamond" w:hAnsi="Garamond"/>
          <w:i/>
          <w:iCs/>
          <w:sz w:val="21"/>
          <w:szCs w:val="21"/>
        </w:rPr>
        <w:t xml:space="preserve">Stratégie nationale et Programme national de sécurisation foncière rurale 2023-2033</w:t>
      </w:r>
      <w:r>
        <w:rPr>
          <w:rFonts w:ascii="Garamond" w:cs="Garamond" w:eastAsia="Garamond" w:hAnsi="Garamond"/>
          <w:sz w:val="21"/>
          <w:szCs w:val="21"/>
        </w:rPr>
        <w:t xml:space="preserve">, adoptés par le Gouvernement le 15 juin 2023. Document diffusé par l’AFOR : https://www.afor.ci (consulté le 29 septembre 2026).</w:t>
      </w:r>
    </w:p>
    <w:p>
      <w:pPr>
        <w:spacing w:after="100" w:line="252" w:lineRule="auto"/>
        <w:ind w:left="360" w:hanging="360"/>
        <w:jc w:val="left"/>
      </w:pPr>
      <w:r>
        <w:rPr>
          <w:rFonts w:ascii="Garamond" w:cs="Garamond" w:eastAsia="Garamond" w:hAnsi="Garamond"/>
          <w:sz w:val="21"/>
          <w:szCs w:val="21"/>
        </w:rPr>
        <w:t xml:space="preserve">FAO (2012). </w:t>
      </w:r>
      <w:r>
        <w:rPr>
          <w:rFonts w:ascii="Garamond" w:cs="Garamond" w:eastAsia="Garamond" w:hAnsi="Garamond"/>
          <w:i/>
          <w:iCs/>
          <w:sz w:val="21"/>
          <w:szCs w:val="21"/>
        </w:rPr>
        <w:t xml:space="preserve">Directives volontaires pour une gouvernance responsable des régimes fonciers applicables aux terres, aux pêches et aux forêts dans le contexte de la sécurité alimentaire nationale</w:t>
      </w:r>
      <w:r>
        <w:rPr>
          <w:rFonts w:ascii="Garamond" w:cs="Garamond" w:eastAsia="Garamond" w:hAnsi="Garamond"/>
          <w:sz w:val="21"/>
          <w:szCs w:val="21"/>
        </w:rPr>
        <w:t xml:space="preserve">. Rome, Comité de la sécurité alimentaire mondiale. https://www.fao.org/4/i2801f/i2801f.pdf (consulté le 29 septembre 2026).</w:t>
      </w:r>
    </w:p>
    <w:p>
      <w:pPr>
        <w:spacing w:after="100" w:line="252" w:lineRule="auto"/>
        <w:ind w:left="360" w:hanging="360"/>
        <w:jc w:val="left"/>
      </w:pPr>
      <w:r>
        <w:rPr>
          <w:rFonts w:ascii="Garamond" w:cs="Garamond" w:eastAsia="Garamond" w:hAnsi="Garamond"/>
          <w:sz w:val="21"/>
          <w:szCs w:val="21"/>
        </w:rPr>
        <w:t xml:space="preserve">Commission de l’Union africaine, Commission économique pour l’Afrique et Banque africaine de développement (2010). </w:t>
      </w:r>
      <w:r>
        <w:rPr>
          <w:rFonts w:ascii="Garamond" w:cs="Garamond" w:eastAsia="Garamond" w:hAnsi="Garamond"/>
          <w:i/>
          <w:iCs/>
          <w:sz w:val="21"/>
          <w:szCs w:val="21"/>
        </w:rPr>
        <w:t xml:space="preserve">Cadre et lignes directrices sur les politiques foncières en Afrique</w:t>
      </w:r>
      <w:r>
        <w:rPr>
          <w:rFonts w:ascii="Garamond" w:cs="Garamond" w:eastAsia="Garamond" w:hAnsi="Garamond"/>
          <w:sz w:val="21"/>
          <w:szCs w:val="21"/>
        </w:rPr>
        <w:t xml:space="preserve">. Addis-Abeba. https://au.int/en/documents/20110131/framework-and-guidelines-land-policy-africa (consulté le 29 septembre 2026).</w:t>
      </w:r>
    </w:p>
    <w:p>
      <w:pPr>
        <w:spacing w:after="100" w:line="252" w:lineRule="auto"/>
        <w:ind w:left="360" w:hanging="360"/>
        <w:jc w:val="left"/>
      </w:pPr>
      <w:r>
        <w:rPr>
          <w:rFonts w:ascii="Garamond" w:cs="Garamond" w:eastAsia="Garamond" w:hAnsi="Garamond"/>
          <w:sz w:val="21"/>
          <w:szCs w:val="21"/>
        </w:rPr>
        <w:t xml:space="preserve">Besley, T. (1995). Property rights and investment incentives: Theory and evidence from Ghana. </w:t>
      </w:r>
      <w:r>
        <w:rPr>
          <w:rFonts w:ascii="Garamond" w:cs="Garamond" w:eastAsia="Garamond" w:hAnsi="Garamond"/>
          <w:i/>
          <w:iCs/>
          <w:sz w:val="21"/>
          <w:szCs w:val="21"/>
        </w:rPr>
        <w:t xml:space="preserve">Journal of Political Economy</w:t>
      </w:r>
      <w:r>
        <w:rPr>
          <w:rFonts w:ascii="Garamond" w:cs="Garamond" w:eastAsia="Garamond" w:hAnsi="Garamond"/>
          <w:sz w:val="21"/>
          <w:szCs w:val="21"/>
        </w:rPr>
        <w:t xml:space="preserve">, 103(5), 903-937.</w:t>
      </w:r>
    </w:p>
    <w:p>
      <w:pPr>
        <w:spacing w:after="100" w:line="252" w:lineRule="auto"/>
        <w:ind w:left="360" w:hanging="360"/>
        <w:jc w:val="left"/>
      </w:pPr>
      <w:r>
        <w:rPr>
          <w:rFonts w:ascii="Garamond" w:cs="Garamond" w:eastAsia="Garamond" w:hAnsi="Garamond"/>
          <w:sz w:val="21"/>
          <w:szCs w:val="21"/>
        </w:rPr>
        <w:t xml:space="preserve">Lawry, S., Samii, C., Hall, R., Leopold, A., Hornby, D. et Mtero, F. (2017). The impact of land property rights interventions on investment and agricultural productivity in developing countries: a systematic review. </w:t>
      </w:r>
      <w:r>
        <w:rPr>
          <w:rFonts w:ascii="Garamond" w:cs="Garamond" w:eastAsia="Garamond" w:hAnsi="Garamond"/>
          <w:i/>
          <w:iCs/>
          <w:sz w:val="21"/>
          <w:szCs w:val="21"/>
        </w:rPr>
        <w:t xml:space="preserve">Journal of Development Effectiveness</w:t>
      </w:r>
      <w:r>
        <w:rPr>
          <w:rFonts w:ascii="Garamond" w:cs="Garamond" w:eastAsia="Garamond" w:hAnsi="Garamond"/>
          <w:sz w:val="21"/>
          <w:szCs w:val="21"/>
        </w:rPr>
        <w:t xml:space="preserve">, 9(1), 61-81. https://doi.org/10.1080/19439342.2016.1160947.</w:t>
      </w:r>
    </w:p>
    <w:p>
      <w:pPr>
        <w:spacing w:after="100" w:line="252" w:lineRule="auto"/>
        <w:ind w:left="360" w:hanging="360"/>
        <w:jc w:val="left"/>
      </w:pPr>
      <w:r>
        <w:rPr>
          <w:rFonts w:ascii="Garamond" w:cs="Garamond" w:eastAsia="Garamond" w:hAnsi="Garamond"/>
          <w:sz w:val="21"/>
          <w:szCs w:val="21"/>
        </w:rPr>
        <w:t xml:space="preserve">Colin, J.-Ph. (2013). Securing rural land transactions in Africa. An Ivorian perspective. </w:t>
      </w:r>
      <w:r>
        <w:rPr>
          <w:rFonts w:ascii="Garamond" w:cs="Garamond" w:eastAsia="Garamond" w:hAnsi="Garamond"/>
          <w:i/>
          <w:iCs/>
          <w:sz w:val="21"/>
          <w:szCs w:val="21"/>
        </w:rPr>
        <w:t xml:space="preserve">Land Use Policy</w:t>
      </w:r>
      <w:r>
        <w:rPr>
          <w:rFonts w:ascii="Garamond" w:cs="Garamond" w:eastAsia="Garamond" w:hAnsi="Garamond"/>
          <w:sz w:val="21"/>
          <w:szCs w:val="21"/>
        </w:rPr>
        <w:t xml:space="preserve">, 31, 430-440. https://www.sciencedirect.com/science/article/abs/pii/S0264837712001482.</w:t>
      </w:r>
    </w:p>
    <w:p>
      <w:pPr>
        <w:spacing w:after="100" w:line="252" w:lineRule="auto"/>
        <w:ind w:left="360" w:hanging="360"/>
        <w:jc w:val="left"/>
      </w:pPr>
      <w:r>
        <w:rPr>
          <w:rFonts w:ascii="Garamond" w:cs="Garamond" w:eastAsia="Garamond" w:hAnsi="Garamond"/>
          <w:sz w:val="21"/>
          <w:szCs w:val="21"/>
        </w:rPr>
        <w:t xml:space="preserve">ObservaTerra. </w:t>
      </w:r>
      <w:r>
        <w:rPr>
          <w:rFonts w:ascii="Garamond" w:cs="Garamond" w:eastAsia="Garamond" w:hAnsi="Garamond"/>
          <w:i/>
          <w:iCs/>
          <w:sz w:val="21"/>
          <w:szCs w:val="21"/>
        </w:rPr>
        <w:t xml:space="preserve">Observatoire de la sécurisation foncière rurale en Côte d’Ivoire</w:t>
      </w:r>
      <w:r>
        <w:rPr>
          <w:rFonts w:ascii="Garamond" w:cs="Garamond" w:eastAsia="Garamond" w:hAnsi="Garamond"/>
          <w:sz w:val="21"/>
          <w:szCs w:val="21"/>
        </w:rPr>
        <w:t xml:space="preserve">. https://www.observaterra.ci (consulté le 29 septembre 2026).</w:t>
      </w:r>
    </w:p>
    <w:p>
      <w:pPr>
        <w:pStyle w:val="Heading3"/>
      </w:pPr>
      <w:r>
        <w:t xml:space="preserve">Axe 5 — Durabilité des systèmes de production</w:t>
      </w:r>
    </w:p>
    <w:p>
      <w:pPr>
        <w:spacing w:after="100" w:line="252" w:lineRule="auto"/>
        <w:ind w:left="360" w:hanging="360"/>
        <w:jc w:val="left"/>
      </w:pPr>
      <w:r>
        <w:rPr>
          <w:rFonts w:ascii="Garamond" w:cs="Garamond" w:eastAsia="Garamond" w:hAnsi="Garamond"/>
          <w:sz w:val="21"/>
          <w:szCs w:val="21"/>
        </w:rPr>
        <w:t xml:space="preserve">FAO. </w:t>
      </w:r>
      <w:r>
        <w:rPr>
          <w:rFonts w:ascii="Garamond" w:cs="Garamond" w:eastAsia="Garamond" w:hAnsi="Garamond"/>
          <w:i/>
          <w:iCs/>
          <w:sz w:val="21"/>
          <w:szCs w:val="21"/>
        </w:rPr>
        <w:t xml:space="preserve">Indicateur ODD 2.4.1 – Proportion de la superficie agricole exploitée de manière productive et durable</w:t>
      </w:r>
      <w:r>
        <w:rPr>
          <w:rFonts w:ascii="Garamond" w:cs="Garamond" w:eastAsia="Garamond" w:hAnsi="Garamond"/>
          <w:sz w:val="21"/>
          <w:szCs w:val="21"/>
        </w:rPr>
        <w:t xml:space="preserve">, métadonnées et portail des indicateurs. https://www.fao.org/sustainable-development-goals-data-portal/data/indicators/Indicator2.4.1-proportion-of-agricultural-area-under-productive-and-sustainable-agriculture/en (consulté le 29 septembre 2026).</w:t>
      </w:r>
    </w:p>
    <w:p>
      <w:pPr>
        <w:spacing w:after="100" w:line="252" w:lineRule="auto"/>
        <w:ind w:left="360" w:hanging="360"/>
        <w:jc w:val="left"/>
      </w:pPr>
      <w:r>
        <w:rPr>
          <w:rFonts w:ascii="Garamond" w:cs="Garamond" w:eastAsia="Garamond" w:hAnsi="Garamond"/>
          <w:sz w:val="21"/>
          <w:szCs w:val="21"/>
        </w:rPr>
        <w:t xml:space="preserve">FAO (2020). </w:t>
      </w:r>
      <w:r>
        <w:rPr>
          <w:rFonts w:ascii="Garamond" w:cs="Garamond" w:eastAsia="Garamond" w:hAnsi="Garamond"/>
          <w:i/>
          <w:iCs/>
          <w:sz w:val="21"/>
          <w:szCs w:val="21"/>
        </w:rPr>
        <w:t xml:space="preserve">Global Forest Resources Assessment 2020: Main report</w:t>
      </w:r>
      <w:r>
        <w:rPr>
          <w:rFonts w:ascii="Garamond" w:cs="Garamond" w:eastAsia="Garamond" w:hAnsi="Garamond"/>
          <w:sz w:val="21"/>
          <w:szCs w:val="21"/>
        </w:rPr>
        <w:t xml:space="preserve">. Rome. https://doi.org/10.4060/ca9825en.</w:t>
      </w:r>
    </w:p>
    <w:p>
      <w:pPr>
        <w:spacing w:after="100" w:line="252" w:lineRule="auto"/>
        <w:ind w:left="360" w:hanging="360"/>
        <w:jc w:val="left"/>
      </w:pPr>
      <w:r>
        <w:rPr>
          <w:rFonts w:ascii="Garamond" w:cs="Garamond" w:eastAsia="Garamond" w:hAnsi="Garamond"/>
          <w:sz w:val="21"/>
          <w:szCs w:val="21"/>
        </w:rPr>
        <w:t xml:space="preserve">FAO. </w:t>
      </w:r>
      <w:r>
        <w:rPr>
          <w:rFonts w:ascii="Garamond" w:cs="Garamond" w:eastAsia="Garamond" w:hAnsi="Garamond"/>
          <w:i/>
          <w:iCs/>
          <w:sz w:val="21"/>
          <w:szCs w:val="21"/>
        </w:rPr>
        <w:t xml:space="preserve">FAOSTAT domain Emission indicators – Methodological note</w:t>
      </w:r>
      <w:r>
        <w:rPr>
          <w:rFonts w:ascii="Garamond" w:cs="Garamond" w:eastAsia="Garamond" w:hAnsi="Garamond"/>
          <w:sz w:val="21"/>
          <w:szCs w:val="21"/>
        </w:rPr>
        <w:t xml:space="preserve">, octobre 2023. https://files-faostat.fao.org/production/EM/EM_en.pdf (consulté le 29 septembre 2026).</w:t>
      </w:r>
    </w:p>
    <w:p>
      <w:pPr>
        <w:spacing w:after="100" w:line="252" w:lineRule="auto"/>
        <w:ind w:left="360" w:hanging="360"/>
        <w:jc w:val="left"/>
      </w:pPr>
      <w:r>
        <w:rPr>
          <w:rFonts w:ascii="Garamond" w:cs="Garamond" w:eastAsia="Garamond" w:hAnsi="Garamond"/>
          <w:sz w:val="21"/>
          <w:szCs w:val="21"/>
        </w:rPr>
        <w:t xml:space="preserve">GIEC (2006). </w:t>
      </w:r>
      <w:r>
        <w:rPr>
          <w:rFonts w:ascii="Garamond" w:cs="Garamond" w:eastAsia="Garamond" w:hAnsi="Garamond"/>
          <w:i/>
          <w:iCs/>
          <w:sz w:val="21"/>
          <w:szCs w:val="21"/>
        </w:rPr>
        <w:t xml:space="preserve">Lignes directrices 2006 du GIEC pour les inventaires nationaux de gaz à effet de serre</w:t>
      </w:r>
      <w:r>
        <w:rPr>
          <w:rFonts w:ascii="Garamond" w:cs="Garamond" w:eastAsia="Garamond" w:hAnsi="Garamond"/>
          <w:sz w:val="21"/>
          <w:szCs w:val="21"/>
        </w:rPr>
        <w:t xml:space="preserve">, volume 4 : Agriculture, foresterie et autres affectations des terres ; et </w:t>
      </w:r>
      <w:r>
        <w:rPr>
          <w:rFonts w:ascii="Garamond" w:cs="Garamond" w:eastAsia="Garamond" w:hAnsi="Garamond"/>
          <w:i/>
          <w:iCs/>
          <w:sz w:val="21"/>
          <w:szCs w:val="21"/>
        </w:rPr>
        <w:t xml:space="preserve">Refinement 2019</w:t>
      </w:r>
      <w:r>
        <w:rPr>
          <w:rFonts w:ascii="Garamond" w:cs="Garamond" w:eastAsia="Garamond" w:hAnsi="Garamond"/>
          <w:sz w:val="21"/>
          <w:szCs w:val="21"/>
        </w:rPr>
        <w:t xml:space="preserve">. IGES, Japon.</w:t>
      </w:r>
    </w:p>
    <w:p>
      <w:pPr>
        <w:spacing w:after="100" w:line="252" w:lineRule="auto"/>
        <w:ind w:left="360" w:hanging="360"/>
        <w:jc w:val="left"/>
      </w:pPr>
      <w:r>
        <w:rPr>
          <w:rFonts w:ascii="Garamond" w:cs="Garamond" w:eastAsia="Garamond" w:hAnsi="Garamond"/>
          <w:sz w:val="21"/>
          <w:szCs w:val="21"/>
        </w:rPr>
        <w:t xml:space="preserve">Tubiello, F. N., Salvatore, M., Rossi, S., Ferrara, A., Fitton, N. et Smith, P. (2013). The FAOSTAT database of greenhouse gas emissions from agriculture. </w:t>
      </w:r>
      <w:r>
        <w:rPr>
          <w:rFonts w:ascii="Garamond" w:cs="Garamond" w:eastAsia="Garamond" w:hAnsi="Garamond"/>
          <w:i/>
          <w:iCs/>
          <w:sz w:val="21"/>
          <w:szCs w:val="21"/>
        </w:rPr>
        <w:t xml:space="preserve">Environmental Research Letters</w:t>
      </w:r>
      <w:r>
        <w:rPr>
          <w:rFonts w:ascii="Garamond" w:cs="Garamond" w:eastAsia="Garamond" w:hAnsi="Garamond"/>
          <w:sz w:val="21"/>
          <w:szCs w:val="21"/>
        </w:rPr>
        <w:t xml:space="preserve">, 8(1), 015009.</w:t>
      </w:r>
    </w:p>
    <w:p>
      <w:pPr>
        <w:spacing w:after="100" w:line="252" w:lineRule="auto"/>
        <w:ind w:left="360" w:hanging="360"/>
        <w:jc w:val="left"/>
      </w:pPr>
      <w:r>
        <w:rPr>
          <w:rFonts w:ascii="Garamond" w:cs="Garamond" w:eastAsia="Garamond" w:hAnsi="Garamond"/>
          <w:sz w:val="21"/>
          <w:szCs w:val="21"/>
        </w:rPr>
        <w:t xml:space="preserve">République de Côte d’Ivoire (2022). </w:t>
      </w:r>
      <w:r>
        <w:rPr>
          <w:rFonts w:ascii="Garamond" w:cs="Garamond" w:eastAsia="Garamond" w:hAnsi="Garamond"/>
          <w:i/>
          <w:iCs/>
          <w:sz w:val="21"/>
          <w:szCs w:val="21"/>
        </w:rPr>
        <w:t xml:space="preserve">Contribution déterminée au niveau national (CDN) révisée</w:t>
      </w:r>
      <w:r>
        <w:rPr>
          <w:rFonts w:ascii="Garamond" w:cs="Garamond" w:eastAsia="Garamond" w:hAnsi="Garamond"/>
          <w:sz w:val="21"/>
          <w:szCs w:val="21"/>
        </w:rPr>
        <w:t xml:space="preserve">, soumise à la CCNUCC. Référence FAOLEX : https://www.fao.org/faolex/results/details/en/c/LEX-FAOC219858/ (consulté le 29 septembre 2026).</w:t>
      </w:r>
    </w:p>
    <w:p>
      <w:pPr>
        <w:spacing w:after="100" w:line="252" w:lineRule="auto"/>
        <w:ind w:left="360" w:hanging="360"/>
        <w:jc w:val="left"/>
      </w:pPr>
      <w:r>
        <w:rPr>
          <w:rFonts w:ascii="Garamond" w:cs="Garamond" w:eastAsia="Garamond" w:hAnsi="Garamond"/>
          <w:sz w:val="21"/>
          <w:szCs w:val="21"/>
        </w:rPr>
        <w:t xml:space="preserve">Hansen, M. C. et al. (2013). High-resolution global maps of 21st-century forest cover change. </w:t>
      </w:r>
      <w:r>
        <w:rPr>
          <w:rFonts w:ascii="Garamond" w:cs="Garamond" w:eastAsia="Garamond" w:hAnsi="Garamond"/>
          <w:i/>
          <w:iCs/>
          <w:sz w:val="21"/>
          <w:szCs w:val="21"/>
        </w:rPr>
        <w:t xml:space="preserve">Science</w:t>
      </w:r>
      <w:r>
        <w:rPr>
          <w:rFonts w:ascii="Garamond" w:cs="Garamond" w:eastAsia="Garamond" w:hAnsi="Garamond"/>
          <w:sz w:val="21"/>
          <w:szCs w:val="21"/>
        </w:rPr>
        <w:t xml:space="preserve">, 342(6160), 850-853.</w:t>
      </w:r>
    </w:p>
    <w:p>
      <w:pPr>
        <w:spacing w:after="100" w:line="252" w:lineRule="auto"/>
        <w:ind w:left="360" w:hanging="360"/>
        <w:jc w:val="left"/>
      </w:pPr>
      <w:r>
        <w:rPr>
          <w:rFonts w:ascii="Garamond" w:cs="Garamond" w:eastAsia="Garamond" w:hAnsi="Garamond"/>
          <w:sz w:val="21"/>
          <w:szCs w:val="21"/>
        </w:rPr>
        <w:t xml:space="preserve">Curtis, P. G., Slay, C. M., Harris, N. L., Tyukavina, A. et Hansen, M. C. (2018). Classifying drivers of global forest loss. </w:t>
      </w:r>
      <w:r>
        <w:rPr>
          <w:rFonts w:ascii="Garamond" w:cs="Garamond" w:eastAsia="Garamond" w:hAnsi="Garamond"/>
          <w:i/>
          <w:iCs/>
          <w:sz w:val="21"/>
          <w:szCs w:val="21"/>
        </w:rPr>
        <w:t xml:space="preserve">Science</w:t>
      </w:r>
      <w:r>
        <w:rPr>
          <w:rFonts w:ascii="Garamond" w:cs="Garamond" w:eastAsia="Garamond" w:hAnsi="Garamond"/>
          <w:sz w:val="21"/>
          <w:szCs w:val="21"/>
        </w:rPr>
        <w:t xml:space="preserve">, 361(6407), 1108-1111.</w:t>
      </w:r>
    </w:p>
    <w:p>
      <w:pPr>
        <w:spacing w:after="100" w:line="252" w:lineRule="auto"/>
        <w:ind w:left="360" w:hanging="360"/>
        <w:jc w:val="left"/>
      </w:pPr>
      <w:r>
        <w:rPr>
          <w:rFonts w:ascii="Garamond" w:cs="Garamond" w:eastAsia="Garamond" w:hAnsi="Garamond"/>
          <w:sz w:val="21"/>
          <w:szCs w:val="21"/>
        </w:rPr>
        <w:t xml:space="preserve">Pendrill, F. et al. (2022). Disentangling the numbers behind agriculture-driven tropical deforestation. </w:t>
      </w:r>
      <w:r>
        <w:rPr>
          <w:rFonts w:ascii="Garamond" w:cs="Garamond" w:eastAsia="Garamond" w:hAnsi="Garamond"/>
          <w:i/>
          <w:iCs/>
          <w:sz w:val="21"/>
          <w:szCs w:val="21"/>
        </w:rPr>
        <w:t xml:space="preserve">Science</w:t>
      </w:r>
      <w:r>
        <w:rPr>
          <w:rFonts w:ascii="Garamond" w:cs="Garamond" w:eastAsia="Garamond" w:hAnsi="Garamond"/>
          <w:sz w:val="21"/>
          <w:szCs w:val="21"/>
        </w:rPr>
        <w:t xml:space="preserve">, 377(6611), eabm9267.</w:t>
      </w:r>
    </w:p>
    <w:p>
      <w:pPr>
        <w:spacing w:after="100" w:line="252" w:lineRule="auto"/>
        <w:ind w:left="360" w:hanging="360"/>
        <w:jc w:val="left"/>
      </w:pPr>
      <w:r>
        <w:rPr>
          <w:rFonts w:ascii="Garamond" w:cs="Garamond" w:eastAsia="Garamond" w:hAnsi="Garamond"/>
          <w:sz w:val="21"/>
          <w:szCs w:val="21"/>
        </w:rPr>
        <w:t xml:space="preserve">Vancutsem, C. et al. (2021). Long-term (1990–2019) monitoring of forest cover changes in the humid tropics. </w:t>
      </w:r>
      <w:r>
        <w:rPr>
          <w:rFonts w:ascii="Garamond" w:cs="Garamond" w:eastAsia="Garamond" w:hAnsi="Garamond"/>
          <w:i/>
          <w:iCs/>
          <w:sz w:val="21"/>
          <w:szCs w:val="21"/>
        </w:rPr>
        <w:t xml:space="preserve">Science Advances</w:t>
      </w:r>
      <w:r>
        <w:rPr>
          <w:rFonts w:ascii="Garamond" w:cs="Garamond" w:eastAsia="Garamond" w:hAnsi="Garamond"/>
          <w:sz w:val="21"/>
          <w:szCs w:val="21"/>
        </w:rPr>
        <w:t xml:space="preserve">, 7(10), eabe1603.</w:t>
      </w:r>
    </w:p>
    <w:p>
      <w:pPr>
        <w:spacing w:after="100" w:line="252" w:lineRule="auto"/>
        <w:ind w:left="360" w:hanging="360"/>
        <w:jc w:val="left"/>
      </w:pPr>
      <w:r>
        <w:rPr>
          <w:rFonts w:ascii="Garamond" w:cs="Garamond" w:eastAsia="Garamond" w:hAnsi="Garamond"/>
          <w:sz w:val="21"/>
          <w:szCs w:val="21"/>
        </w:rPr>
        <w:t xml:space="preserve">Kalischek, N., Lang, N., Renier, C. et al. (2023). Cocoa plantations are associated with deforestation in Côte d’Ivoire and Ghana. </w:t>
      </w:r>
      <w:r>
        <w:rPr>
          <w:rFonts w:ascii="Garamond" w:cs="Garamond" w:eastAsia="Garamond" w:hAnsi="Garamond"/>
          <w:i/>
          <w:iCs/>
          <w:sz w:val="21"/>
          <w:szCs w:val="21"/>
        </w:rPr>
        <w:t xml:space="preserve">Nature Food</w:t>
      </w:r>
      <w:r>
        <w:rPr>
          <w:rFonts w:ascii="Garamond" w:cs="Garamond" w:eastAsia="Garamond" w:hAnsi="Garamond"/>
          <w:sz w:val="21"/>
          <w:szCs w:val="21"/>
        </w:rPr>
        <w:t xml:space="preserve">, 4, 384-393. https://doi.org/10.1038/s43016-023-00751-8.</w:t>
      </w:r>
    </w:p>
    <w:p>
      <w:pPr>
        <w:spacing w:after="100" w:line="252" w:lineRule="auto"/>
        <w:ind w:left="360" w:hanging="360"/>
        <w:jc w:val="left"/>
      </w:pPr>
      <w:r>
        <w:rPr>
          <w:rFonts w:ascii="Garamond" w:cs="Garamond" w:eastAsia="Garamond" w:hAnsi="Garamond"/>
          <w:sz w:val="21"/>
          <w:szCs w:val="21"/>
        </w:rPr>
        <w:t xml:space="preserve">Puyravaud, J.-P. (2003). Standardizing the calculation of the annual rate of deforestation. </w:t>
      </w:r>
      <w:r>
        <w:rPr>
          <w:rFonts w:ascii="Garamond" w:cs="Garamond" w:eastAsia="Garamond" w:hAnsi="Garamond"/>
          <w:i/>
          <w:iCs/>
          <w:sz w:val="21"/>
          <w:szCs w:val="21"/>
        </w:rPr>
        <w:t xml:space="preserve">Forest Ecology and Management</w:t>
      </w:r>
      <w:r>
        <w:rPr>
          <w:rFonts w:ascii="Garamond" w:cs="Garamond" w:eastAsia="Garamond" w:hAnsi="Garamond"/>
          <w:sz w:val="21"/>
          <w:szCs w:val="21"/>
        </w:rPr>
        <w:t xml:space="preserve">, 177(1-3), 593-596.</w:t>
      </w:r>
    </w:p>
    <w:p>
      <w:pPr>
        <w:spacing w:after="100" w:line="252" w:lineRule="auto"/>
        <w:ind w:left="360" w:hanging="360"/>
        <w:jc w:val="left"/>
      </w:pPr>
      <w:r>
        <w:rPr>
          <w:rFonts w:ascii="Garamond" w:cs="Garamond" w:eastAsia="Garamond" w:hAnsi="Garamond"/>
          <w:sz w:val="21"/>
          <w:szCs w:val="21"/>
        </w:rPr>
        <w:t xml:space="preserve">Pretty, J. et al. (2018). Global assessment of agricultural system redesign for sustainable intensification. </w:t>
      </w:r>
      <w:r>
        <w:rPr>
          <w:rFonts w:ascii="Garamond" w:cs="Garamond" w:eastAsia="Garamond" w:hAnsi="Garamond"/>
          <w:i/>
          <w:iCs/>
          <w:sz w:val="21"/>
          <w:szCs w:val="21"/>
        </w:rPr>
        <w:t xml:space="preserve">Nature Sustainability</w:t>
      </w:r>
      <w:r>
        <w:rPr>
          <w:rFonts w:ascii="Garamond" w:cs="Garamond" w:eastAsia="Garamond" w:hAnsi="Garamond"/>
          <w:sz w:val="21"/>
          <w:szCs w:val="21"/>
        </w:rPr>
        <w:t xml:space="preserve">, 1, 441-446.</w:t>
      </w:r>
    </w:p>
    <w:p>
      <w:pPr>
        <w:spacing w:after="100" w:line="252" w:lineRule="auto"/>
        <w:ind w:left="360" w:hanging="360"/>
        <w:jc w:val="left"/>
      </w:pPr>
      <w:r>
        <w:rPr>
          <w:rFonts w:ascii="Garamond" w:cs="Garamond" w:eastAsia="Garamond" w:hAnsi="Garamond"/>
          <w:sz w:val="21"/>
          <w:szCs w:val="21"/>
        </w:rPr>
        <w:t xml:space="preserve">ARSO (2021). </w:t>
      </w:r>
      <w:r>
        <w:rPr>
          <w:rFonts w:ascii="Garamond" w:cs="Garamond" w:eastAsia="Garamond" w:hAnsi="Garamond"/>
          <w:i/>
          <w:iCs/>
          <w:sz w:val="21"/>
          <w:szCs w:val="21"/>
        </w:rPr>
        <w:t xml:space="preserve">ARS 1000 – Cacao durable</w:t>
      </w:r>
      <w:r>
        <w:rPr>
          <w:rFonts w:ascii="Garamond" w:cs="Garamond" w:eastAsia="Garamond" w:hAnsi="Garamond"/>
          <w:sz w:val="21"/>
          <w:szCs w:val="21"/>
        </w:rPr>
        <w:t xml:space="preserve">, norme régionale africaine (série ARS 1000), rendue obligatoire en Côte d’Ivoire par décret du 8 juin 2022 (numéro à confirmer au Journal officiel).</w:t>
      </w:r>
    </w:p>
    <w:p>
      <w:pPr>
        <w:spacing w:after="100" w:line="252" w:lineRule="auto"/>
        <w:ind w:left="360" w:hanging="360"/>
        <w:jc w:val="left"/>
      </w:pPr>
      <w:r>
        <w:rPr>
          <w:rFonts w:ascii="Garamond" w:cs="Garamond" w:eastAsia="Garamond" w:hAnsi="Garamond"/>
          <w:sz w:val="21"/>
          <w:szCs w:val="21"/>
        </w:rPr>
        <w:t xml:space="preserve">Union européenne (2023). Règlement (UE) 2023/1115 du Parlement européen et du Conseil du 31 mai 2023 relatif aux produits sans déforestation. </w:t>
      </w:r>
      <w:r>
        <w:rPr>
          <w:rFonts w:ascii="Garamond" w:cs="Garamond" w:eastAsia="Garamond" w:hAnsi="Garamond"/>
          <w:i/>
          <w:iCs/>
          <w:sz w:val="21"/>
          <w:szCs w:val="21"/>
        </w:rPr>
        <w:t xml:space="preserve">Journal officiel de l’Union européenne</w:t>
      </w:r>
      <w:r>
        <w:rPr>
          <w:rFonts w:ascii="Garamond" w:cs="Garamond" w:eastAsia="Garamond" w:hAnsi="Garamond"/>
          <w:sz w:val="21"/>
          <w:szCs w:val="21"/>
        </w:rPr>
        <w:t xml:space="preserve">, L 150. https://eur-lex.europa.eu/eli/reg/2023/1115/oj.</w:t>
      </w:r>
    </w:p>
    <w:p>
      <w:pPr>
        <w:pStyle w:val="Heading1"/>
        <w:pageBreakBefore/>
      </w:pPr>
      <w:r>
        <w:t xml:space="preserve">11. Annexe — Fiches indicateurs</w:t>
      </w:r>
    </w:p>
    <w:p>
      <w:pPr>
        <w:spacing w:after="140" w:before="0" w:line="276" w:lineRule="auto"/>
        <w:jc w:val="both"/>
      </w:pPr>
      <w:r>
        <w:rPr>
          <w:rFonts w:ascii="Garamond" w:cs="Garamond" w:eastAsia="Garamond" w:hAnsi="Garamond"/>
          <w:sz w:val="24"/>
          <w:szCs w:val="24"/>
        </w:rPr>
        <w:t xml:space="preserve">Chaque fiche présente, selon une structure identique, les éléments nécessaires au calcul, à l’interprétation et à la mise à jour d’un indicateur. Les fiches reprennent exactement les définitions, formules et paramètres des chapitres 3 à 8. Elles distinguent les éléments arrêtés (définition, formule, sens souhaité) des travaux restant à conduire, qui portent sur des paramètres de mise en œuvre et sur la disponibilité des données.</w:t>
      </w:r>
    </w:p>
    <w:p>
      <w:pPr>
        <w:spacing w:after="140" w:before="0" w:line="276" w:lineRule="auto"/>
        <w:jc w:val="both"/>
      </w:pPr>
      <w:r>
        <w:rPr>
          <w:rFonts w:ascii="Garamond" w:cs="Garamond" w:eastAsia="Garamond" w:hAnsi="Garamond"/>
          <w:sz w:val="24"/>
          <w:szCs w:val="24"/>
        </w:rPr>
        <w:t xml:space="preserve">Aucune valeur historique ni aucune cible n’y figure. Les valeurs de référence et les cibles 2030 seront établies dans un document distinct, une fois les séries reconstituées selon la présente méthodologie.</w:t>
      </w:r>
    </w:p>
    <w:p>
      <w:pPr>
        <w:pStyle w:val="Heading2"/>
      </w:pPr>
      <w:r>
        <w:t xml:space="preserve">Fiche 1.1 — Taux de couverture des besoins alimentaires par la production nationale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Taux de couverture des besoins alimentaires par la production nationale (TC)</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1 — Souveraineté alimentaire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le degré d’autonomie alimentaire du pays, c’est-à-dire la part de la consommation alimentaire nationale couverte par la production nationale.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Dans quelle proportion la production nationale couvre-t-elle la consommation alimentaire apparente de la Côte d’Ivoire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Moyenne pondérée, sur un panier alimentaire ivoirien commun, des rapports entre production nationale et consommation apparente de chaque produit, les pondérations correspondant à la part fixe de chaque produit dans l’apport calorique du panier au cours de la période de référence.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TC</m:t>
                  </m:r>
                </m:e>
                <m:sub>
                  <m:r>
                    <m:t>t</m:t>
                  </m:r>
                </m:sub>
              </m:sSub>
              <m:r>
                <m:t>=</m:t>
              </m:r>
              <m:nary>
                <m:naryPr>
                  <m:chr m:val="∑"/>
                  <m:limLoc m:val="undOvr"/>
                  <m:supHide m:val="1"/>
                </m:naryPr>
                <m:sub>
                  <m:r>
                    <m:t>i</m:t>
                  </m:r>
                </m:sub>
                <m:sup/>
                <m:e>
                  <m:sSubSup>
                    <m:sSubSupPr/>
                    <m:e>
                      <m:r>
                        <m:t>w</m:t>
                      </m:r>
                    </m:e>
                    <m:sub>
                      <m:r>
                        <m:t>i</m:t>
                      </m:r>
                    </m:sub>
                    <m:sup>
                      <m:r>
                        <m:t>0</m:t>
                      </m:r>
                    </m:sup>
                  </m:sSubSup>
                  <m:sSub>
                    <m:sSubPr/>
                    <m:e>
                      <m:r>
                        <m:t>TC</m:t>
                      </m:r>
                    </m:e>
                    <m:sub>
                      <m:r>
                        <m:t>i,t</m:t>
                      </m:r>
                    </m:sub>
                  </m:sSub>
                </m:e>
              </m:nary>
              <m:r>
                <m:t xml:space="preserve">,   </m:t>
              </m:r>
              <m:sSub>
                <m:sSubPr/>
                <m:e>
                  <m:r>
                    <m:t>TC</m:t>
                  </m:r>
                </m:e>
                <m:sub>
                  <m:r>
                    <m:t>i,t</m:t>
                  </m:r>
                </m:sub>
              </m:sSub>
              <m:r>
                <m:t>=</m:t>
              </m:r>
              <m:f>
                <m:num>
                  <m:sSub>
                    <m:sSubPr/>
                    <m:e>
                      <m:r>
                        <m:t>P</m:t>
                      </m:r>
                    </m:e>
                    <m:sub>
                      <m:r>
                        <m:t>i,t</m:t>
                      </m:r>
                    </m:sub>
                  </m:sSub>
                </m:num>
                <m:den>
                  <m:sSub>
                    <m:sSubPr/>
                    <m:e>
                      <m:r>
                        <m:t>C</m:t>
                      </m:r>
                    </m:e>
                    <m:sub>
                      <m:r>
                        <m:t>i,t</m:t>
                      </m:r>
                    </m:sub>
                  </m:sSub>
                </m:den>
              </m:f>
              <m:r>
                <m:t>×100</m:t>
              </m:r>
            </m:oMath>
          </w:p>
          <w:p>
            <w:pPr>
              <w:spacing w:after="30"/>
            </w:pPr>
            <w:r>
              <w:rPr>
                <w:rFonts w:ascii="Garamond" w:cs="Garamond" w:eastAsia="Garamond" w:hAnsi="Garamond"/>
                <w:sz w:val="18"/>
                <w:szCs w:val="18"/>
              </w:rPr>
              <w:t xml:space="preserve">Numérateur : Production nationale du produit i, exprimée au même stade que la consommation (équivalent produit).</w:t>
            </w:r>
          </w:p>
          <w:p>
            <w:pPr>
              <w:spacing w:after="30"/>
            </w:pPr>
            <w:r>
              <w:rPr>
                <w:rFonts w:ascii="Garamond" w:cs="Garamond" w:eastAsia="Garamond" w:hAnsi="Garamond"/>
                <w:sz w:val="18"/>
                <w:szCs w:val="18"/>
              </w:rPr>
              <w:t xml:space="preserve">Dénominateur : Consommation apparente du produit i : production + importations − exportations ± variation des stocks.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Par produit et par année : production (P), importations (M), exportations (X), variation des stocks, coefficients de conversion entre stades de produit, teneur calorique ; consommation de la période de référence pour le calcul des poids.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Bilans alimentaires FAOSTAT ; statistiques nationales de production végétale, animale et halieutique.</w:t>
            </w:r>
          </w:p>
          <w:p>
            <w:pPr>
              <w:spacing w:after="30" w:before="30" w:line="240" w:lineRule="auto"/>
              <w:jc w:val="left"/>
            </w:pPr>
            <w:r>
              <w:rPr>
                <w:rFonts w:ascii="Garamond" w:cs="Garamond" w:eastAsia="Garamond" w:hAnsi="Garamond"/>
                <w:sz w:val="18"/>
                <w:szCs w:val="18"/>
              </w:rPr>
              <w:t xml:space="preserve">Secondaires : Statistiques du commerce extérieur (douanes, ANStat) ; UN Comtrade ; EHCVM pour la structure de consommation.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Moyenne arithmétique pondérée des taux par produit, à poids fixes (logique de Laspeyres).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Part de chaque produit dans les calories totales du panier, calculée sur une moyenne pluriannuelle de référence puis maintenue fixe.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Exprimer production et consommation au même stade (par exemple riz usiné et non paddy) avec des coefficients de conversion documentés ; appliquer une convention unique pour les stocks ; conserver dans le panier les produits consommés mais non produits localement, dont le taux est nul.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La consommation apparente est sensible aux erreurs sur la production vivrière et aux flux transfrontaliers non enregistrés ; l’excédent d’un produit compense le déficit d’un autre ; l’indicateur ne renseigne ni l’accès des ménages ni la qualité nutritionnelle.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FAO (2001), Food Balance Sheets – A Handbook ; Clapp (2017), Food Policy, 66.</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Les bilans alimentaires FAOSTAT couvrent la Côte d’Ivoire selon la méthodologie révisée à compter de 2010 ; années et produits effectivement couverts sur 2015-2025 : disponibilité de la série à vérifier. Série nationale consolidée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la liste des produits du panier et le seuil de couverture calorique visé ; fixer la période de référence ; documenter les coefficients de conversion et les teneurs caloriques ; rapprocher séries FAOSTAT et nationales ; tester la sensibilité à un plafonnement des taux à 100 %.</w:t>
            </w:r>
          </w:p>
        </w:tc>
      </w:tr>
    </w:tbl>
    <w:p>
      <w:pPr>
        <w:pStyle w:val="Heading2"/>
        <w:pageBreakBefore/>
      </w:pPr>
      <w:r>
        <w:t xml:space="preserve">Fiche 1.2 — Indice de production vivrière par habitant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Indice de production vivrière par habitant (IPVH)</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1 — Souveraineté alimentaire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Apprécier si la production alimentaire nationale progresse au moins aussi vite que la population.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La production vivrière par habitant augmente-t-elle par rapport à la période de référence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Indice pondéré des productions par habitant des produits du panier alimentaire commun, rapportées à leur niveau moyen de la période de référence (base 100), avec les pondérations caloriques du taux de couverture.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IPVH</m:t>
                  </m:r>
                </m:e>
                <m:sub>
                  <m:r>
                    <m:t>t</m:t>
                  </m:r>
                </m:sub>
              </m:sSub>
              <m:r>
                <m:t>=</m:t>
              </m:r>
              <m:nary>
                <m:naryPr>
                  <m:chr m:val="∑"/>
                  <m:limLoc m:val="undOvr"/>
                  <m:supHide m:val="1"/>
                </m:naryPr>
                <m:sub>
                  <m:r>
                    <m:t>i</m:t>
                  </m:r>
                </m:sub>
                <m:sup/>
                <m:e>
                  <m:sSubSup>
                    <m:sSubSupPr/>
                    <m:e>
                      <m:r>
                        <m:t>w</m:t>
                      </m:r>
                    </m:e>
                    <m:sub>
                      <m:r>
                        <m:t>i</m:t>
                      </m:r>
                    </m:sub>
                    <m:sup>
                      <m:r>
                        <m:t>0</m:t>
                      </m:r>
                    </m:sup>
                  </m:sSubSup>
                  <m:sSub>
                    <m:sSubPr/>
                    <m:e>
                      <m:r>
                        <m:t>I</m:t>
                      </m:r>
                    </m:e>
                    <m:sub>
                      <m:r>
                        <m:t>i,t</m:t>
                      </m:r>
                    </m:sub>
                  </m:sSub>
                </m:e>
              </m:nary>
              <m:r>
                <m:t xml:space="preserve">,   </m:t>
              </m:r>
              <m:sSub>
                <m:sSubPr/>
                <m:e>
                  <m:r>
                    <m:t>I</m:t>
                  </m:r>
                </m:e>
                <m:sub>
                  <m:r>
                    <m:t>i,t</m:t>
                  </m:r>
                </m:sub>
              </m:sSub>
              <m:r>
                <m:t>=</m:t>
              </m:r>
              <m:f>
                <m:num>
                  <m:f>
                    <m:num>
                      <m:sSub>
                        <m:sSubPr/>
                        <m:e>
                          <m:r>
                            <m:t>P</m:t>
                          </m:r>
                        </m:e>
                        <m:sub>
                          <m:r>
                            <m:t>i,t</m:t>
                          </m:r>
                        </m:sub>
                      </m:sSub>
                    </m:num>
                    <m:den>
                      <m:sSub>
                        <m:sSubPr/>
                        <m:e>
                          <m:r>
                            <m:t>N</m:t>
                          </m:r>
                        </m:e>
                        <m:sub>
                          <m:r>
                            <m:t>t</m:t>
                          </m:r>
                        </m:sub>
                      </m:sSub>
                    </m:den>
                  </m:f>
                </m:num>
                <m:den>
                  <m:f>
                    <m:num>
                      <m:sSubSup>
                        <m:sSubSupPr/>
                        <m:e>
                          <m:r>
                            <m:t>P̄</m:t>
                          </m:r>
                        </m:e>
                        <m:sub>
                          <m:r>
                            <m:t>i</m:t>
                          </m:r>
                        </m:sub>
                        <m:sup>
                          <m:r>
                            <m:t>0</m:t>
                          </m:r>
                        </m:sup>
                      </m:sSubSup>
                    </m:num>
                    <m:den>
                      <m:sSubSup>
                        <m:sSubSupPr/>
                        <m:e>
                          <m:r>
                            <m:t>N̄</m:t>
                          </m:r>
                        </m:e>
                        <m:sub>
                          <m:r>
                            <m:t/>
                          </m:r>
                        </m:sub>
                        <m:sup>
                          <m:r>
                            <m:t>0</m:t>
                          </m:r>
                        </m:sup>
                      </m:sSubSup>
                    </m:den>
                  </m:f>
                </m:den>
              </m:f>
              <m:r>
                <m:t>×100</m:t>
              </m:r>
            </m:oMath>
          </w:p>
          <w:p>
            <w:pPr>
              <w:spacing w:after="30"/>
            </w:pPr>
            <w:r>
              <w:rPr>
                <w:rFonts w:ascii="Garamond" w:cs="Garamond" w:eastAsia="Garamond" w:hAnsi="Garamond"/>
                <w:sz w:val="18"/>
                <w:szCs w:val="18"/>
              </w:rPr>
              <w:t xml:space="preserve">Numérateur : Production par habitant du produit i au cours de l’année t.</w:t>
            </w:r>
          </w:p>
          <w:p>
            <w:pPr>
              <w:spacing w:after="30"/>
            </w:pPr>
            <w:r>
              <w:rPr>
                <w:rFonts w:ascii="Garamond" w:cs="Garamond" w:eastAsia="Garamond" w:hAnsi="Garamond"/>
                <w:sz w:val="18"/>
                <w:szCs w:val="18"/>
              </w:rPr>
              <w:t xml:space="preserve">Dénominateur : Production moyenne par habitant du produit i au cours de la période de référence.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Production par produit ; population totale au 1er juillet de chaque année ; moyennes de la période de référence ; poids caloriques de l’indicateur 1.1.</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Indice (période de référence = 100)</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Statistiques nationales de production ; FAOSTAT (domaine Production) ; population : ANStat (RGPH 2014 et 2021, projections).</w:t>
            </w:r>
          </w:p>
          <w:p>
            <w:pPr>
              <w:spacing w:after="30" w:before="30" w:line="240" w:lineRule="auto"/>
              <w:jc w:val="left"/>
            </w:pPr>
            <w:r>
              <w:rPr>
                <w:rFonts w:ascii="Garamond" w:cs="Garamond" w:eastAsia="Garamond" w:hAnsi="Garamond"/>
                <w:sz w:val="18"/>
                <w:szCs w:val="18"/>
              </w:rPr>
              <w:t xml:space="preserve">Secondaires : Nations unies, World Population Prospects ; indice FAOSTAT de production alimentaire nette par habitant (contrôle de cohérence).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Moyenne pondérée des indices élémentaires, à poids fixes.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Identiques à celles du taux de couverture (poids caloriques figés).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Les produits sans production nationale en période de référence ne peuvent former d’indice élémentaire ; ils sont exclus de l’agrégat et les poids restants sont renormalisés selon une règle documentée ; utiliser une série de population rétropolée et homogène.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Ne tient compte ni des échanges ni des pertes ; sensible aux révisions de la population et aux estimations de production vivrière.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FAO, méthodologie des indices de production agricole (FAOSTAT, domaine QI).</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Productions par produit disponibles dans FAOSTAT pour la Côte d’Ivoire ; cohérence avec les séries nationales et série de population homogène après le RGPH 2021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Valider la série de population ; arrêter la règle applicable aux produits non produits localement ; confronter l’évolution à l’indice FAOSTAT.</w:t>
            </w:r>
          </w:p>
        </w:tc>
      </w:tr>
    </w:tbl>
    <w:p>
      <w:pPr>
        <w:pStyle w:val="Heading2"/>
        <w:pageBreakBefore/>
      </w:pPr>
      <w:r>
        <w:t xml:space="preserve">Fiche 1.3 — Variabilité de la production vivrière par habitant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Variabilité de la production vivrière par habitant (VPROD)</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1 — Souveraineté alimentaire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la stabilité de la production vivrière par habitant, dimension de résilience du système productif.</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La production vivrière par habitant est-elle stable d’une année à l’autre autour de sa tendance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Écart type, sur une fenêtre mobile de cinq ans, des écarts entre la série agrégée de production vivrière par habitant (IPVH) et sa tendance.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VPROD</m:t>
                  </m:r>
                </m:e>
                <m:sub>
                  <m:r>
                    <m:t>t</m:t>
                  </m:r>
                </m:sub>
              </m:sSub>
              <m:r>
                <m:t>=SD</m:t>
              </m:r>
              <m:r>
                <m:t>(</m:t>
              </m:r>
              <m:sSub>
                <m:sSubPr/>
                <m:e>
                  <m:r>
                    <m:t>e</m:t>
                  </m:r>
                </m:e>
                <m:sub>
                  <m:r>
                    <m:t>t−4</m:t>
                  </m:r>
                </m:sub>
              </m:sSub>
              <m:r>
                <m:t>,…,</m:t>
              </m:r>
              <m:sSub>
                <m:sSubPr/>
                <m:e>
                  <m:r>
                    <m:t>e</m:t>
                  </m:r>
                </m:e>
                <m:sub>
                  <m:r>
                    <m:t>t</m:t>
                  </m:r>
                </m:sub>
              </m:sSub>
              <m:r>
                <m:t>)</m:t>
              </m:r>
              <m:r>
                <m:t xml:space="preserve">,   </m:t>
              </m:r>
              <m:sSub>
                <m:sSubPr/>
                <m:e>
                  <m:r>
                    <m:t>e</m:t>
                  </m:r>
                </m:e>
                <m:sub>
                  <m:r>
                    <m:t>t</m:t>
                  </m:r>
                </m:sub>
              </m:sSub>
              <m:r>
                <m:t>=</m:t>
              </m:r>
              <m:sSub>
                <m:sSubPr/>
                <m:e>
                  <m:r>
                    <m:t>y</m:t>
                  </m:r>
                </m:e>
                <m:sub>
                  <m:r>
                    <m:t>t</m:t>
                  </m:r>
                </m:sub>
              </m:sSub>
              <m:r>
                <m:t>−</m:t>
              </m:r>
              <m:sSub>
                <m:sSubPr/>
                <m:e>
                  <m:r>
                    <m:t>ŷ</m:t>
                  </m:r>
                </m:e>
                <m:sub>
                  <m:r>
                    <m:t>t</m:t>
                  </m:r>
                </m:sub>
              </m:sSub>
            </m:oMath>
          </w:p>
          <w:p>
            <w:pPr>
              <w:spacing w:after="30"/>
            </w:pPr>
            <w:r>
              <w:rPr>
                <w:rFonts w:ascii="Garamond" w:cs="Garamond" w:eastAsia="Garamond" w:hAnsi="Garamond"/>
                <w:sz w:val="18"/>
                <w:szCs w:val="18"/>
              </w:rPr>
              <w:t xml:space="preserve">Numérateur : Sans objet (mesure de dispersion).</w:t>
            </w:r>
          </w:p>
          <w:p>
            <w:pPr>
              <w:spacing w:after="30"/>
            </w:pPr>
            <w:r>
              <w:rPr>
                <w:rFonts w:ascii="Garamond" w:cs="Garamond" w:eastAsia="Garamond" w:hAnsi="Garamond"/>
                <w:sz w:val="18"/>
                <w:szCs w:val="18"/>
              </w:rPr>
              <w:t xml:space="preserve">Dénominateur : Sans objet.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Série IPVH couvrant au moins les quatre années antérieures à la première année calculée ; spécification de la tendance.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Points d’indice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Baisse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 (fenêtre mobile de cinq ans)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Série IPVH (indicateur 1.2).</w:t>
            </w:r>
          </w:p>
          <w:p>
            <w:pPr>
              <w:spacing w:after="30" w:before="30" w:line="240" w:lineRule="auto"/>
              <w:jc w:val="left"/>
            </w:pPr>
            <w:r>
              <w:rPr>
                <w:rFonts w:ascii="Garamond" w:cs="Garamond" w:eastAsia="Garamond" w:hAnsi="Garamond"/>
                <w:sz w:val="18"/>
                <w:szCs w:val="18"/>
              </w:rPr>
              <w:t xml:space="preserve">Secondaires : FAOSTAT, Suite des indicateurs de la sécurité alimentaire (variabilité de la production alimentaire par habitant), pour contrôle.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Calcul sur la série déjà agrégée (IPVH).</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Celles de l’IPVH.</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Fixer une fois pour toutes la méthode d’estimation de la tendance et sa règle de réestimation ; distinguer un choc ponctuel d’une rupture de tendance.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Sensible au choix de la tendance et aux révisions de fin de série ; une faible variabilité n’implique pas un niveau de production suffisant.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FAO, Suite of Food Security Indicators (FAOSTAT).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Dépend de la série IPVH ; une valeur pour 2015 suppose une série 2011-2015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la méthode de tendance ; reconstituer l’IPVH depuis 2011 ; conduire une analyse de sensibilité.</w:t>
            </w:r>
          </w:p>
        </w:tc>
      </w:tr>
    </w:tbl>
    <w:p>
      <w:pPr>
        <w:pStyle w:val="Heading2"/>
        <w:pageBreakBefore/>
      </w:pPr>
      <w:r>
        <w:t xml:space="preserve">Fiche 2.1 — Indice de productivité des cultures à superficie constante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Indice de productivité des cultures à superficie constante (IP)</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2 — Compétitivité de l’agriculture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l’efficacité productive des cultures, indépendamment de l’extension des superficies.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Les rendements des principales cultures progressent-ils par rapport à la période de référence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Indice pondéré des rendements (production par hectare récolté) des principales cultures, rapportés à leur niveau de la période de référence, les pondérations étant les parts des cultures dans la valeur de la production végétale de la période de référence.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IP</m:t>
                  </m:r>
                </m:e>
                <m:sub>
                  <m:r>
                    <m:t>t</m:t>
                  </m:r>
                </m:sub>
              </m:sSub>
              <m:r>
                <m:t>=</m:t>
              </m:r>
              <m:nary>
                <m:naryPr>
                  <m:chr m:val="∑"/>
                  <m:limLoc m:val="undOvr"/>
                  <m:supHide m:val="1"/>
                </m:naryPr>
                <m:sub>
                  <m:r>
                    <m:t>i</m:t>
                  </m:r>
                </m:sub>
                <m:sup/>
                <m:e>
                  <m:sSubSup>
                    <m:sSubSupPr/>
                    <m:e>
                      <m:r>
                        <m:t>w</m:t>
                      </m:r>
                    </m:e>
                    <m:sub>
                      <m:r>
                        <m:t>i</m:t>
                      </m:r>
                    </m:sub>
                    <m:sup>
                      <m:r>
                        <m:t>0</m:t>
                      </m:r>
                    </m:sup>
                  </m:sSubSup>
                  <m:sSub>
                    <m:sSubPr/>
                    <m:e>
                      <m:r>
                        <m:t>IR</m:t>
                      </m:r>
                    </m:e>
                    <m:sub>
                      <m:r>
                        <m:t>i,t</m:t>
                      </m:r>
                    </m:sub>
                  </m:sSub>
                </m:e>
              </m:nary>
              <m:r>
                <m:t xml:space="preserve">,   </m:t>
              </m:r>
              <m:sSub>
                <m:sSubPr/>
                <m:e>
                  <m:r>
                    <m:t>IR</m:t>
                  </m:r>
                </m:e>
                <m:sub>
                  <m:r>
                    <m:t>i,t</m:t>
                  </m:r>
                </m:sub>
              </m:sSub>
              <m:r>
                <m:t>=</m:t>
              </m:r>
              <m:f>
                <m:num>
                  <m:sSub>
                    <m:sSubPr/>
                    <m:e>
                      <m:r>
                        <m:t>R</m:t>
                      </m:r>
                    </m:e>
                    <m:sub>
                      <m:r>
                        <m:t>i,t</m:t>
                      </m:r>
                    </m:sub>
                  </m:sSub>
                </m:num>
                <m:den>
                  <m:sSub>
                    <m:sSubPr/>
                    <m:e>
                      <m:r>
                        <m:t>R</m:t>
                      </m:r>
                    </m:e>
                    <m:sub>
                      <m:r>
                        <m:t>i,0</m:t>
                      </m:r>
                    </m:sub>
                  </m:sSub>
                </m:den>
              </m:f>
              <m:r>
                <m:t>×100</m:t>
              </m:r>
            </m:oMath>
          </w:p>
          <w:p>
            <w:pPr>
              <w:spacing w:after="30"/>
            </w:pPr>
            <w:r>
              <w:rPr>
                <w:rFonts w:ascii="Garamond" w:cs="Garamond" w:eastAsia="Garamond" w:hAnsi="Garamond"/>
                <w:sz w:val="18"/>
                <w:szCs w:val="18"/>
              </w:rPr>
              <w:t xml:space="preserve">Numérateur : Rendement de la culture i au cours de l’année t.</w:t>
            </w:r>
          </w:p>
          <w:p>
            <w:pPr>
              <w:spacing w:after="30"/>
            </w:pPr>
            <w:r>
              <w:rPr>
                <w:rFonts w:ascii="Garamond" w:cs="Garamond" w:eastAsia="Garamond" w:hAnsi="Garamond"/>
                <w:sz w:val="18"/>
                <w:szCs w:val="18"/>
              </w:rPr>
              <w:t xml:space="preserve">Dénominateur : Rendement de la culture i au cours de la période de référence.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Production (Q) et superficie récoltée (S) par culture ; superficie en production pour les cultures pérennes ; prix de la période de référence.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Indice (période de référence = 100)</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Statistiques agricoles nationales (production, superficies) ; FAOSTAT (Production ; valeur de la production agricole).</w:t>
            </w:r>
          </w:p>
          <w:p>
            <w:pPr>
              <w:spacing w:after="30" w:before="30" w:line="240" w:lineRule="auto"/>
              <w:jc w:val="left"/>
            </w:pPr>
            <w:r>
              <w:rPr>
                <w:rFonts w:ascii="Garamond" w:cs="Garamond" w:eastAsia="Garamond" w:hAnsi="Garamond"/>
                <w:sz w:val="18"/>
                <w:szCs w:val="18"/>
              </w:rPr>
              <w:t xml:space="preserve">Secondaires : Organes de régulation des filières (café-cacao, coton-anacarde, hévéa-palmier à huile), ADERIZ ; enquêtes de rendement.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Moyenne pondérée à poids fixes ; équivaut au rapport entre la valeur de la production obtenue avec les superficies de référence et les rendements courants, et la valeur de la période de référence.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Part de chaque culture dans la valeur de la production végétale de la période de référence, à prix constants, figée.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Utiliser la superficie en production (et non plantée) pour les cultures pérennes ; recourir à une moyenne mobile pour l’analyse sans remplacer la série annuelle ; signaler les cultures dont la superficie est estimée par convention.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Productivité partielle de la terre, qui n’intègre ni le travail ni les intrants ; sensible aux aléas climatiques ; n’inclut pas l’élevage.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Latruffe (2010), OCDE ; FAO, méthodologie des indices de production (Laspeyres).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Productions et superficies disponibles par culture dans FAOSTAT ; qualité des superficies vivrières et des superficies en production des cultures pérennes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la liste des cultures et le système de prix ; documenter la superficie en production des cultures pérennes ; reconstituer les séries 2015-2025.</w:t>
            </w:r>
          </w:p>
        </w:tc>
      </w:tr>
    </w:tbl>
    <w:p>
      <w:pPr>
        <w:pStyle w:val="Heading2"/>
        <w:pageBreakBefore/>
      </w:pPr>
      <w:r>
        <w:t xml:space="preserve">Fiche 2.2 — Taux de pertes post-récolte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Taux de pertes post-récolte (TPR)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2 — Compétitivité de l’agriculture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la part de la production perdue entre la récolte et la mise en marché ou l’entrée en transformation.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part de la production récoltée est perdue avant d’atteindre le marché ou l’unité de transformation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entre les quantités perdues après la récolte (manutention, stockage, transport, jusqu’à l’entrée en transformation ou la mise sur le marché) et la production, agrégé par moyenne pondérée sur les produits suivis.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TPR</m:t>
                  </m:r>
                </m:e>
                <m:sub>
                  <m:r>
                    <m:t>t</m:t>
                  </m:r>
                </m:sub>
              </m:sSub>
              <m:r>
                <m:t>=</m:t>
              </m:r>
              <m:nary>
                <m:naryPr>
                  <m:chr m:val="∑"/>
                  <m:limLoc m:val="undOvr"/>
                  <m:supHide m:val="1"/>
                </m:naryPr>
                <m:sub>
                  <m:r>
                    <m:t>i</m:t>
                  </m:r>
                </m:sub>
                <m:sup/>
                <m:e>
                  <m:sSubSup>
                    <m:sSubSupPr/>
                    <m:e>
                      <m:r>
                        <m:t>w</m:t>
                      </m:r>
                    </m:e>
                    <m:sub>
                      <m:r>
                        <m:t>i</m:t>
                      </m:r>
                    </m:sub>
                    <m:sup>
                      <m:r>
                        <m:t>0</m:t>
                      </m:r>
                    </m:sup>
                  </m:sSubSup>
                  <m:sSub>
                    <m:sSubPr/>
                    <m:e>
                      <m:r>
                        <m:t>TPR</m:t>
                      </m:r>
                    </m:e>
                    <m:sub>
                      <m:r>
                        <m:t>i,t</m:t>
                      </m:r>
                    </m:sub>
                  </m:sSub>
                </m:e>
              </m:nary>
              <m:r>
                <m:t xml:space="preserve">,   </m:t>
              </m:r>
              <m:sSub>
                <m:sSubPr/>
                <m:e>
                  <m:r>
                    <m:t>TPR</m:t>
                  </m:r>
                </m:e>
                <m:sub>
                  <m:r>
                    <m:t>i,t</m:t>
                  </m:r>
                </m:sub>
              </m:sSub>
              <m:r>
                <m:t>=</m:t>
              </m:r>
              <m:f>
                <m:num>
                  <m:sSub>
                    <m:sSubPr/>
                    <m:e>
                      <m:r>
                        <m:t>L</m:t>
                      </m:r>
                    </m:e>
                    <m:sub>
                      <m:r>
                        <m:t>i,t</m:t>
                      </m:r>
                    </m:sub>
                  </m:sSub>
                </m:num>
                <m:den>
                  <m:sSub>
                    <m:sSubPr/>
                    <m:e>
                      <m:r>
                        <m:t>Q</m:t>
                      </m:r>
                    </m:e>
                    <m:sub>
                      <m:r>
                        <m:t>i,t</m:t>
                      </m:r>
                    </m:sub>
                  </m:sSub>
                </m:den>
              </m:f>
              <m:r>
                <m:t>×100</m:t>
              </m:r>
            </m:oMath>
          </w:p>
          <w:p>
            <w:pPr>
              <w:spacing w:after="30"/>
            </w:pPr>
            <w:r>
              <w:rPr>
                <w:rFonts w:ascii="Garamond" w:cs="Garamond" w:eastAsia="Garamond" w:hAnsi="Garamond"/>
                <w:sz w:val="18"/>
                <w:szCs w:val="18"/>
              </w:rPr>
              <w:t xml:space="preserve">Numérateur : Pertes quantitatives post-récolte du produit i (L), de la récolte à l’entrée en transformation ou à la mise en marché.</w:t>
            </w:r>
          </w:p>
          <w:p>
            <w:pPr>
              <w:spacing w:after="30"/>
            </w:pPr>
            <w:r>
              <w:rPr>
                <w:rFonts w:ascii="Garamond" w:cs="Garamond" w:eastAsia="Garamond" w:hAnsi="Garamond"/>
                <w:sz w:val="18"/>
                <w:szCs w:val="18"/>
              </w:rPr>
              <w:t xml:space="preserve">Dénominateur : Production du produit i (Q).</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Pertes quantitatives par produit et par étape ; production ; valeur de la production de la période de référence (pondération).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Baisse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 avec enquêtes approfondies périodiques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Enquêtes nationales de pertes post-récolte ; APHLIS pour les céréales.</w:t>
            </w:r>
          </w:p>
          <w:p>
            <w:pPr>
              <w:spacing w:after="30" w:before="30" w:line="240" w:lineRule="auto"/>
              <w:jc w:val="left"/>
            </w:pPr>
            <w:r>
              <w:rPr>
                <w:rFonts w:ascii="Garamond" w:cs="Garamond" w:eastAsia="Garamond" w:hAnsi="Garamond"/>
                <w:sz w:val="18"/>
                <w:szCs w:val="18"/>
              </w:rPr>
              <w:t xml:space="preserve">Secondaires : FAOSTAT (élément « pertes » des bilans alimentaires) ; FAO, indicateur ODD 12.3.1a ; études de filières.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Moyenne pondérée à poids fixes.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Recommandation : valeur de la production de la période de référence à prix constants, comme pour l’indice des pertes alimentaires de la FAO ; variante calorique possible pour une lecture de sécurité alimentaire.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Distinguer pertes quantitatives, pertes qualitatives et gaspillage à la consommation ; couvrir les mêmes étapes pour tous les produits.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 directe coûteuse ; dépendance aux coefficients modélisés ; les pertes qualitatives échappent à l’indicateur principal.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FAO (2019), La situation mondiale de l’alimentation et de l’agriculture 2019 ; FAO, métadonnées ODD 12.3.1a ; Affognon et al. (2015).</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Aucune série nationale harmonisée identifiée à ce stade ; estimations APHLIS (céréales) et imputations FAOSTAT à examiner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les produits et les étapes couverts ; concevoir un dispositif d’enquête ; arbitrer définitivement la pondération.</w:t>
            </w:r>
          </w:p>
        </w:tc>
      </w:tr>
    </w:tbl>
    <w:p>
      <w:pPr>
        <w:pStyle w:val="Heading2"/>
        <w:pageBreakBefore/>
      </w:pPr>
      <w:r>
        <w:t xml:space="preserve">Fiche 2.3 — Taux de transformation nationale des produits agricoles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Taux de transformation nationale des produits agricoles (TT)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2 — Compétitivité de l’agriculture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la capacité du pays à retenir la valeur ajoutée par la transformation locale de sa production agricole.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part de la production agricole nationale est transformée en Côte d’Ivoire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Moyenne pondérée, sur les filières suivies, du rapport entre la quantité de produit national transformée dans le pays à un stade de référence défini par filière et la production nationale disponible pour la transformation.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TT</m:t>
                  </m:r>
                </m:e>
                <m:sub>
                  <m:r>
                    <m:t>t</m:t>
                  </m:r>
                </m:sub>
              </m:sSub>
              <m:r>
                <m:t>=</m:t>
              </m:r>
              <m:nary>
                <m:naryPr>
                  <m:chr m:val="∑"/>
                  <m:limLoc m:val="undOvr"/>
                  <m:supHide m:val="1"/>
                </m:naryPr>
                <m:sub>
                  <m:r>
                    <m:t>i</m:t>
                  </m:r>
                </m:sub>
                <m:sup/>
                <m:e>
                  <m:sSubSup>
                    <m:sSubSupPr/>
                    <m:e>
                      <m:r>
                        <m:t>w</m:t>
                      </m:r>
                    </m:e>
                    <m:sub>
                      <m:r>
                        <m:t>i</m:t>
                      </m:r>
                    </m:sub>
                    <m:sup>
                      <m:r>
                        <m:t>0</m:t>
                      </m:r>
                    </m:sup>
                  </m:sSubSup>
                  <m:sSub>
                    <m:sSubPr/>
                    <m:e>
                      <m:r>
                        <m:t>TT</m:t>
                      </m:r>
                    </m:e>
                    <m:sub>
                      <m:r>
                        <m:t>i,t</m:t>
                      </m:r>
                    </m:sub>
                  </m:sSub>
                </m:e>
              </m:nary>
              <m:r>
                <m:t xml:space="preserve">,   </m:t>
              </m:r>
              <m:sSub>
                <m:sSubPr/>
                <m:e>
                  <m:r>
                    <m:t>TT</m:t>
                  </m:r>
                </m:e>
                <m:sub>
                  <m:r>
                    <m:t>i,t</m:t>
                  </m:r>
                </m:sub>
              </m:sSub>
              <m:r>
                <m:t>=</m:t>
              </m:r>
              <m:f>
                <m:num>
                  <m:sSub>
                    <m:sSubPr/>
                    <m:e>
                      <m:r>
                        <m:t>QT</m:t>
                      </m:r>
                    </m:e>
                    <m:sub>
                      <m:r>
                        <m:t>i,t</m:t>
                      </m:r>
                    </m:sub>
                  </m:sSub>
                </m:num>
                <m:den>
                  <m:sSub>
                    <m:sSubPr/>
                    <m:e>
                      <m:r>
                        <m:t>QD</m:t>
                      </m:r>
                    </m:e>
                    <m:sub>
                      <m:r>
                        <m:t>i,t</m:t>
                      </m:r>
                    </m:sub>
                  </m:sSub>
                </m:den>
              </m:f>
              <m:r>
                <m:t>×100</m:t>
              </m:r>
            </m:oMath>
          </w:p>
          <w:p>
            <w:pPr>
              <w:spacing w:after="30"/>
            </w:pPr>
            <w:r>
              <w:rPr>
                <w:rFonts w:ascii="Garamond" w:cs="Garamond" w:eastAsia="Garamond" w:hAnsi="Garamond"/>
                <w:sz w:val="18"/>
                <w:szCs w:val="18"/>
              </w:rPr>
              <w:t xml:space="preserve">Numérateur : Quantité de produit i d’origine nationale transformée en Côte d’Ivoire au stade de référence (QT), en équivalent matière première.</w:t>
            </w:r>
          </w:p>
          <w:p>
            <w:pPr>
              <w:spacing w:after="30"/>
            </w:pPr>
            <w:r>
              <w:rPr>
                <w:rFonts w:ascii="Garamond" w:cs="Garamond" w:eastAsia="Garamond" w:hAnsi="Garamond"/>
                <w:sz w:val="18"/>
                <w:szCs w:val="18"/>
              </w:rPr>
              <w:t xml:space="preserve">Dénominateur : Production nationale du produit i disponible pour la transformation (QD).</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Quantités transformées localement par filière ; production disponible pour la transformation ; coefficients de conversion ; valeur de la production de référence.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 (campagne de commercialisation)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Organes de régulation des filières (notamment broyages de cacao et transformation de l’anacarde) ; ministère chargé de l’Industrie.</w:t>
            </w:r>
          </w:p>
          <w:p>
            <w:pPr>
              <w:spacing w:after="30" w:before="30" w:line="240" w:lineRule="auto"/>
              <w:jc w:val="left"/>
            </w:pPr>
            <w:r>
              <w:rPr>
                <w:rFonts w:ascii="Garamond" w:cs="Garamond" w:eastAsia="Garamond" w:hAnsi="Garamond"/>
                <w:sz w:val="18"/>
                <w:szCs w:val="18"/>
              </w:rPr>
              <w:t xml:space="preserve">Secondaires : ANStat (comptes nationaux, production industrielle) ; statistiques d’exportation par stade de transformation ; ICCO pour le cacao.</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Moyenne pondérée à poids fixes ; publication systématique des taux par filière.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Part de chaque filière dans la valeur de la production agricole de la période de référence.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Fixer un stade de transformation de référence par filière ; exprimer les quantités en équivalent matière première ; exclure les matières premières importées ; aligner campagne et année civile.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Ne mesure ni la profondeur de la transformation ni la valeur ajoutée ; données dispersées pour les filières vivrières et artisanales.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Barrett et al. (2022), Journal of Economic Literature ; Banque mondiale (2013), Growing Africa.</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Séries de broyage du cacao et de transformation de l’anacarde publiées par les organes de filière ; profondeur historique homogène 2015-2025 : disponibilité de la série à vérifier. Autres filières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la liste des filières et les stades de référence ; fixer les coefficients de conversion ; organiser la collecte auprès des organes de filière.</w:t>
            </w:r>
          </w:p>
        </w:tc>
      </w:tr>
    </w:tbl>
    <w:p>
      <w:pPr>
        <w:pStyle w:val="Heading2"/>
        <w:pageBreakBefore/>
      </w:pPr>
      <w:r>
        <w:t xml:space="preserve">Fiche 3.1 — Taux de couverture de la demande de financement agricole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Taux de couverture de la demande de financement agricole (TCF)</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3 — Accès au financement agricole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dans quelle mesure la demande formelle de financement agricole est satisfaite par le système financier.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part des montants de financement agricole formellement demandés est effectivement accordée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entre le montant des financements agricoles effectivement accordés et le montant total des financements agricoles formellement demandés aux institutions financières formelles au cours de l’année.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TCF</m:t>
                  </m:r>
                </m:e>
                <m:sub>
                  <m:r>
                    <m:t>t</m:t>
                  </m:r>
                </m:sub>
              </m:sSub>
              <m:r>
                <m:t>=</m:t>
              </m:r>
              <m:f>
                <m:num>
                  <m:sSub>
                    <m:sSubPr/>
                    <m:e>
                      <m:r>
                        <m:t>MA</m:t>
                      </m:r>
                    </m:e>
                    <m:sub>
                      <m:r>
                        <m:t>t</m:t>
                      </m:r>
                    </m:sub>
                  </m:sSub>
                </m:num>
                <m:den>
                  <m:sSub>
                    <m:sSubPr/>
                    <m:e>
                      <m:r>
                        <m:t>MD</m:t>
                      </m:r>
                    </m:e>
                    <m:sub>
                      <m:r>
                        <m:t>t</m:t>
                      </m:r>
                    </m:sub>
                  </m:sSub>
                </m:den>
              </m:f>
              <m:r>
                <m:t>×100</m:t>
              </m:r>
            </m:oMath>
          </w:p>
          <w:p>
            <w:pPr>
              <w:spacing w:after="30"/>
            </w:pPr>
            <w:r>
              <w:rPr>
                <w:rFonts w:ascii="Garamond" w:cs="Garamond" w:eastAsia="Garamond" w:hAnsi="Garamond"/>
                <w:sz w:val="18"/>
                <w:szCs w:val="18"/>
              </w:rPr>
              <w:t xml:space="preserve">Numérateur : Montant des financements agricoles effectivement accordés au titre des demandes de l’année t (MA).</w:t>
            </w:r>
          </w:p>
          <w:p>
            <w:pPr>
              <w:spacing w:after="30"/>
            </w:pPr>
            <w:r>
              <w:rPr>
                <w:rFonts w:ascii="Garamond" w:cs="Garamond" w:eastAsia="Garamond" w:hAnsi="Garamond"/>
                <w:sz w:val="18"/>
                <w:szCs w:val="18"/>
              </w:rPr>
              <w:t xml:space="preserve">Dénominateur : Montant total des financements agricoles formellement demandés au cours de l’année t (MD).</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Montants demandés et accordés, par institution, catégorie d’acteur, filière et maturité ; nombre de dossiers.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Déclarations périodiques harmonisées des banques et des SFD (dispositif de collecte à instituer).</w:t>
            </w:r>
          </w:p>
          <w:p>
            <w:pPr>
              <w:spacing w:after="30" w:before="30" w:line="240" w:lineRule="auto"/>
              <w:jc w:val="left"/>
            </w:pPr>
            <w:r>
              <w:rPr>
                <w:rFonts w:ascii="Garamond" w:cs="Garamond" w:eastAsia="Garamond" w:hAnsi="Garamond"/>
                <w:sz w:val="18"/>
                <w:szCs w:val="18"/>
              </w:rPr>
              <w:t xml:space="preserve">Secondaires : Enquêtes auprès des exploitants (demande, refus, découragement) ; rapports des dispositifs publics de financement.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de sommes (et non moyenne des ratios par institution).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Implicites, par les montants.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Distinguer demande exprimée, demande éligible et besoin total ; rattacher chaque décision à l’année de la demande ; neutraliser les demandes multiples d’un même acteur.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Ignore les emprunteurs découragés ; dépend des pratiques d’enregistrement des demandes par les institutions.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Stiglitz et Weiss (1981) ; Kon et Storey (2003) ; Boucher, Carter et Guirkinger (2008).</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Aucune série publique des montants demandés identifiée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Définir « financement agricole » et « demande formelle » ; instituer la collecte ; ajouter un module sur le découragement dans les enquêtes.</w:t>
            </w:r>
          </w:p>
        </w:tc>
      </w:tr>
    </w:tbl>
    <w:p>
      <w:pPr>
        <w:pStyle w:val="Heading2"/>
        <w:pageBreakBefore/>
      </w:pPr>
      <w:r>
        <w:t xml:space="preserve">Fiche 3.2 — Taux d’accès effectif des acteurs agricoles au financement formel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Taux d’accès effectif des acteurs agricoles au financement formel (TAF)</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3 — Accès au financement agricole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l’étendue de l’accès effectif des acteurs agricoles au financement formel.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proportion des acteurs agricoles a effectivement obtenu un financement formel au cours des douze derniers mois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Proportion des acteurs agricoles (exploitations et entreprises agricoles) ayant obtenu au moins un financement auprès d’une institution formelle réglementée au cours des douze derniers mois.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TAF</m:t>
                  </m:r>
                </m:e>
                <m:sub>
                  <m:r>
                    <m:t>t</m:t>
                  </m:r>
                </m:sub>
              </m:sSub>
              <m:r>
                <m:t>=</m:t>
              </m:r>
              <m:f>
                <m:num>
                  <m:sSub>
                    <m:sSubPr/>
                    <m:e>
                      <m:r>
                        <m:t>NF</m:t>
                      </m:r>
                    </m:e>
                    <m:sub>
                      <m:r>
                        <m:t>t</m:t>
                      </m:r>
                    </m:sub>
                  </m:sSub>
                </m:num>
                <m:den>
                  <m:sSub>
                    <m:sSubPr/>
                    <m:e>
                      <m:r>
                        <m:t>NA</m:t>
                      </m:r>
                    </m:e>
                    <m:sub>
                      <m:r>
                        <m:t>t</m:t>
                      </m:r>
                    </m:sub>
                  </m:sSub>
                </m:den>
              </m:f>
              <m:r>
                <m:t>×100</m:t>
              </m:r>
            </m:oMath>
          </w:p>
          <w:p>
            <w:pPr>
              <w:spacing w:after="30"/>
            </w:pPr>
            <w:r>
              <w:rPr>
                <w:rFonts w:ascii="Garamond" w:cs="Garamond" w:eastAsia="Garamond" w:hAnsi="Garamond"/>
                <w:sz w:val="18"/>
                <w:szCs w:val="18"/>
              </w:rPr>
              <w:t xml:space="preserve">Numérateur : Nombre d’acteurs agricoles ayant obtenu au moins un financement formel au cours des douze derniers mois (NF), sans double compte.</w:t>
            </w:r>
          </w:p>
          <w:p>
            <w:pPr>
              <w:spacing w:after="30"/>
            </w:pPr>
            <w:r>
              <w:rPr>
                <w:rFonts w:ascii="Garamond" w:cs="Garamond" w:eastAsia="Garamond" w:hAnsi="Garamond"/>
                <w:sz w:val="18"/>
                <w:szCs w:val="18"/>
              </w:rPr>
              <w:t xml:space="preserve">Dénominateur : Nombre total d’acteurs agricoles (NA).</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Acteurs financés par type d’institution ; nombre total d’acteurs ; ventilations par sexe, taille, filière et région.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 ou selon la périodicité des enquêtes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Enquêtes auprès des ménages et des exploitations (EHCVM, enquêtes agricoles) ; REEA 2015-2016 pour le dénominateur.</w:t>
            </w:r>
          </w:p>
          <w:p>
            <w:pPr>
              <w:spacing w:after="30" w:before="30" w:line="240" w:lineRule="auto"/>
              <w:jc w:val="left"/>
            </w:pPr>
            <w:r>
              <w:rPr>
                <w:rFonts w:ascii="Garamond" w:cs="Garamond" w:eastAsia="Garamond" w:hAnsi="Garamond"/>
                <w:sz w:val="18"/>
                <w:szCs w:val="18"/>
              </w:rPr>
              <w:t xml:space="preserve">Secondaires : Données administratives des banques et SFD (nombre d’emprunteurs agricoles) ; Global Findex (Banque mondiale) pour le contexte.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d’effectifs, avec pondérations de sondage.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Pondérations de sondage des enquêtes.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Ne pas assimiler possession d’un compte, usage du mobile money ou inclusion financière générale à l’accès au financement agricole ; exclure de l’indicateur principal le crédit fournisseur, le crédit informel et les avances non réglementées.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Hétérogénéité des unités (ménage, exploitation, entreprise) ; dénominateur recensé à une date ancienne ; acteurs financés par plusieurs institutions.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Christen et Anderson (2013), CGAP Focus Note 85 ; Banque mondiale, Global Findex.</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Pas de série annuelle identifiée ; points d’enquête ponctuels à exploiter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l’unité statistique ; intégrer un module harmonisé dans les enquêtes nationales ; actualiser le dénominateur.</w:t>
            </w:r>
          </w:p>
        </w:tc>
      </w:tr>
    </w:tbl>
    <w:p>
      <w:pPr>
        <w:pStyle w:val="Heading2"/>
        <w:pageBreakBefore/>
      </w:pPr>
      <w:r>
        <w:t xml:space="preserve">Fiche 3.3 — Part des financements agricoles à moyen et long terme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Part des financements agricoles à moyen et long terme (PMLT)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3 — Accès au financement agricole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l’adaptation du financement agricole aux besoins d’investissement productif.</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part du crédit agricole finance des besoins de moyen et long terme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Part des crédits à moyen et long terme dans le total des crédits accordés aux activités agricoles.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PMLT</m:t>
                  </m:r>
                </m:e>
                <m:sub>
                  <m:r>
                    <m:t>t</m:t>
                  </m:r>
                </m:sub>
              </m:sSub>
              <m:r>
                <m:t>=</m:t>
              </m:r>
              <m:f>
                <m:num>
                  <m:sSub>
                    <m:sSubPr/>
                    <m:e>
                      <m:r>
                        <m:t>CMT</m:t>
                      </m:r>
                    </m:e>
                    <m:sub>
                      <m:r>
                        <m:t>t</m:t>
                      </m:r>
                    </m:sub>
                  </m:sSub>
                  <m:r>
                    <m:t>+</m:t>
                  </m:r>
                  <m:sSub>
                    <m:sSubPr/>
                    <m:e>
                      <m:r>
                        <m:t>CLT</m:t>
                      </m:r>
                    </m:e>
                    <m:sub>
                      <m:r>
                        <m:t>t</m:t>
                      </m:r>
                    </m:sub>
                  </m:sSub>
                </m:num>
                <m:den>
                  <m:sSub>
                    <m:sSubPr/>
                    <m:e>
                      <m:r>
                        <m:t>CT</m:t>
                      </m:r>
                    </m:e>
                    <m:sub>
                      <m:r>
                        <m:t>t</m:t>
                      </m:r>
                    </m:sub>
                  </m:sSub>
                </m:den>
              </m:f>
              <m:r>
                <m:t>×100</m:t>
              </m:r>
            </m:oMath>
          </w:p>
          <w:p>
            <w:pPr>
              <w:spacing w:after="30"/>
            </w:pPr>
            <w:r>
              <w:rPr>
                <w:rFonts w:ascii="Garamond" w:cs="Garamond" w:eastAsia="Garamond" w:hAnsi="Garamond"/>
                <w:sz w:val="18"/>
                <w:szCs w:val="18"/>
              </w:rPr>
              <w:t xml:space="preserve">Numérateur : Crédits agricoles à moyen terme (CMT) et à long terme (CLT).</w:t>
            </w:r>
          </w:p>
          <w:p>
            <w:pPr>
              <w:spacing w:after="30"/>
            </w:pPr>
            <w:r>
              <w:rPr>
                <w:rFonts w:ascii="Garamond" w:cs="Garamond" w:eastAsia="Garamond" w:hAnsi="Garamond"/>
                <w:sz w:val="18"/>
                <w:szCs w:val="18"/>
              </w:rPr>
              <w:t xml:space="preserve">Dénominateur : Crédits agricoles totaux, tous termes confondus (CT).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Encours (ou mises en place) de crédits par secteur d’activité et par terme ; données des SFD.</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 (données infra-annuelles disponibles)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BCEAO, Centrale des risques : utilisations de crédits déclarées par secteur d’activité et par terme (Bulletin mensuel des statistiques).</w:t>
            </w:r>
          </w:p>
          <w:p>
            <w:pPr>
              <w:spacing w:after="30" w:before="30" w:line="240" w:lineRule="auto"/>
              <w:jc w:val="left"/>
            </w:pPr>
            <w:r>
              <w:rPr>
                <w:rFonts w:ascii="Garamond" w:cs="Garamond" w:eastAsia="Garamond" w:hAnsi="Garamond"/>
                <w:sz w:val="18"/>
                <w:szCs w:val="18"/>
              </w:rPr>
              <w:t xml:space="preserve">Secondaires : Base de données EDEN de la BCEAO ; données prudentielles et statistiques des SFD.</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de sommes.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Sans objet.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Ne pas mélanger encours et mises en place ; retenir la nomenclature sectorielle de la BCEAO et documenter les branches incluses ; tenir compte du seuil de déclaration.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La Centrale des risques ne couvre pas les crédits inférieurs au seuil de déclaration ni l’ensemble des SFD ; le crédit aux exportateurs et aux agro-industries peut être classé hors agriculture.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BCEAO, Bulletin mensuel des statistiques (Centrale des risques).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Tableaux par secteur et par terme publiés par la BCEAO pour la Côte d’Ivoire ; profondeur historique homogène 2015-2025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Extraire les séries par secteur et par terme ; vérifier les définitions des termes et le seuil de déclaration ; intégrer les SFD.</w:t>
            </w:r>
          </w:p>
        </w:tc>
      </w:tr>
    </w:tbl>
    <w:p>
      <w:pPr>
        <w:pStyle w:val="Heading2"/>
        <w:pageBreakBefore/>
      </w:pPr>
      <w:r>
        <w:t xml:space="preserve">Fiche 4.1 — Taux de couverture du domaine foncier rural par des droits fonciers formalisés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Taux de couverture du domaine foncier rural par des droits fonciers formalisés (TCDF)</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4 — Sécurisation du foncier rural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l’avancement de la formalisation des droits sur les terres du domaine foncier rural.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part du domaine foncier rural est couverte par des droits fonciers formalisés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entre la superficie cumulée, sans double compte, des terres couvertes par un acte de formalisation admissible (certificat foncier individuel ou collectif, titre foncier) et la superficie totale du domaine foncier rural.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TCDF</m:t>
                  </m:r>
                </m:e>
                <m:sub>
                  <m:r>
                    <m:t>t</m:t>
                  </m:r>
                </m:sub>
              </m:sSub>
              <m:r>
                <m:t>=</m:t>
              </m:r>
              <m:f>
                <m:num>
                  <m:sSub>
                    <m:sSubPr/>
                    <m:e>
                      <m:r>
                        <m:t>SDF</m:t>
                      </m:r>
                    </m:e>
                    <m:sub>
                      <m:r>
                        <m:t>t</m:t>
                      </m:r>
                    </m:sub>
                  </m:sSub>
                </m:num>
                <m:den>
                  <m:r>
                    <m:t>SDFR</m:t>
                  </m:r>
                </m:den>
              </m:f>
              <m:r>
                <m:t>×100</m:t>
              </m:r>
            </m:oMath>
          </w:p>
          <w:p>
            <w:pPr>
              <w:spacing w:after="30"/>
            </w:pPr>
            <w:r>
              <w:rPr>
                <w:rFonts w:ascii="Garamond" w:cs="Garamond" w:eastAsia="Garamond" w:hAnsi="Garamond"/>
                <w:sz w:val="18"/>
                <w:szCs w:val="18"/>
              </w:rPr>
              <w:t xml:space="preserve">Numérateur : Superficie cumulée couverte par des droits fonciers formalisés (SDF), chaque parcelle étant comptée une seule fois.</w:t>
            </w:r>
          </w:p>
          <w:p>
            <w:pPr>
              <w:spacing w:after="30"/>
            </w:pPr>
            <w:r>
              <w:rPr>
                <w:rFonts w:ascii="Garamond" w:cs="Garamond" w:eastAsia="Garamond" w:hAnsi="Garamond"/>
                <w:sz w:val="18"/>
                <w:szCs w:val="18"/>
              </w:rPr>
              <w:t xml:space="preserve">Dénominateur : Superficie totale du domaine foncier rural (SDFR), fixée par convention.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Registre parcellaire avec identifiant unique, superficie et statut juridique de chaque parcelle ; superficie de référence du domaine foncier rural.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 (stock au 31 décembre)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AFOR, Système d’information foncière rurale (SIFOR).</w:t>
            </w:r>
          </w:p>
          <w:p>
            <w:pPr>
              <w:spacing w:after="30" w:before="30" w:line="240" w:lineRule="auto"/>
              <w:jc w:val="left"/>
            </w:pPr>
            <w:r>
              <w:rPr>
                <w:rFonts w:ascii="Garamond" w:cs="Garamond" w:eastAsia="Garamond" w:hAnsi="Garamond"/>
                <w:sz w:val="18"/>
                <w:szCs w:val="18"/>
              </w:rPr>
              <w:t xml:space="preserve">Secondaires : Services de la conservation foncière (titres issus de l’immatriculation) ; ObservaTerra.</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Somme des superficies par parcelle, sur la base d’un identifiant unique.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Sans objet.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Définir limitativement les actes admissibles ; éviter le double compte lors de la conversion d’un certificat en titre ; préciser le traitement des certificats dont la validité serait échue.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La formalisation ne garantit pas la sécurité perçue ; les mutations ultérieures doivent être tenues à jour ; le dénominateur doit être fixé officiellement.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Loi n° 98-750 modifiée ; FAO (2012), Directives volontaires ; Lawry et al. (2017).</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Bilans de délivrance publiés par l’AFOR ; séries annuelles de superficies certifiées 2015-2025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la liste des actes admissibles ; fixer la superficie de référence ; extraire les séries du SIFOR.</w:t>
            </w:r>
          </w:p>
        </w:tc>
      </w:tr>
    </w:tbl>
    <w:p>
      <w:pPr>
        <w:pStyle w:val="Heading2"/>
        <w:pageBreakBefore/>
      </w:pPr>
      <w:r>
        <w:t xml:space="preserve">Fiche 4.2 — Taux de délimitation juridiquement achevée des territoires villageois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Taux de délimitation juridiquement achevée des territoires villageois (TDV)</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4 — Sécurisation du foncier rural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la sécurisation des territoires villageois, préalable à la certification des parcelles.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part des villages dispose d’un territoire dont la délimitation est juridiquement achevée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Proportion des villages officiels dont la délimitation du territoire a été consacrée par l’acte administratif définitif prévu par la réglementation en vigueur.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TDV</m:t>
                  </m:r>
                </m:e>
                <m:sub>
                  <m:r>
                    <m:t>t</m:t>
                  </m:r>
                </m:sub>
              </m:sSub>
              <m:r>
                <m:t>=</m:t>
              </m:r>
              <m:f>
                <m:num>
                  <m:sSub>
                    <m:sSubPr/>
                    <m:e>
                      <m:r>
                        <m:t>VDJ</m:t>
                      </m:r>
                    </m:e>
                    <m:sub>
                      <m:r>
                        <m:t>t</m:t>
                      </m:r>
                    </m:sub>
                  </m:sSub>
                </m:num>
                <m:den>
                  <m:sSub>
                    <m:sSubPr/>
                    <m:e>
                      <m:r>
                        <m:t>VO</m:t>
                      </m:r>
                    </m:e>
                    <m:sub>
                      <m:r>
                        <m:t>t</m:t>
                      </m:r>
                    </m:sub>
                  </m:sSub>
                </m:den>
              </m:f>
              <m:r>
                <m:t>×100</m:t>
              </m:r>
            </m:oMath>
          </w:p>
          <w:p>
            <w:pPr>
              <w:spacing w:after="30"/>
            </w:pPr>
            <w:r>
              <w:rPr>
                <w:rFonts w:ascii="Garamond" w:cs="Garamond" w:eastAsia="Garamond" w:hAnsi="Garamond"/>
                <w:sz w:val="18"/>
                <w:szCs w:val="18"/>
              </w:rPr>
              <w:t xml:space="preserve">Numérateur : Nombre de villages dont la délimitation est juridiquement achevée (VDJ).</w:t>
            </w:r>
          </w:p>
          <w:p>
            <w:pPr>
              <w:spacing w:after="30"/>
            </w:pPr>
            <w:r>
              <w:rPr>
                <w:rFonts w:ascii="Garamond" w:cs="Garamond" w:eastAsia="Garamond" w:hAnsi="Garamond"/>
                <w:sz w:val="18"/>
                <w:szCs w:val="18"/>
              </w:rPr>
              <w:t xml:space="preserve">Dénominateur : Nombre total de villages officiels (VO).</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Liste officielle des villages ; statut de chaque village à chaque étape de la procédure ; date de l’acte définitif.</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AFOR (SIFOR) ; actes de consécration de la délimitation.</w:t>
            </w:r>
          </w:p>
          <w:p>
            <w:pPr>
              <w:spacing w:after="30" w:before="30" w:line="240" w:lineRule="auto"/>
              <w:jc w:val="left"/>
            </w:pPr>
            <w:r>
              <w:rPr>
                <w:rFonts w:ascii="Garamond" w:cs="Garamond" w:eastAsia="Garamond" w:hAnsi="Garamond"/>
                <w:sz w:val="18"/>
                <w:szCs w:val="18"/>
              </w:rPr>
              <w:t xml:space="preserve">Secondaires : Ministère chargé de l’Intérieur (liste officielle des villages) ; ObservaTerra.</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Comptage.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Sans objet ; variante pondérée par la superficie en complément.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Ne pas assimiler territoire bouclé-borné et délimitation juridiquement achevée ; suivre les étapes intermédiaires comme sous-indicateurs.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Chaque village compte pour une unité quelle que soit sa superficie ; des contestations de limites peuvent subsister.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Décret n° 2019-263 du 27 mars 2019 ; décret n° 2024-850 du 30 septembre 2024 ; PNSFR 2023-2033.</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Bilans d’étape publiés par l’AFOR ; série annuelle distinguant les étapes de la procédure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Confirmer l’acte définitif dans la procédure en vigueur ; figer la liste des villages ; reconstituer l’historique par étape.</w:t>
            </w:r>
          </w:p>
        </w:tc>
      </w:tr>
    </w:tbl>
    <w:p>
      <w:pPr>
        <w:pStyle w:val="Heading2"/>
        <w:pageBreakBefore/>
      </w:pPr>
      <w:r>
        <w:t xml:space="preserve">Fiche 4.3 — Taux de formalisation des relations foncières d’exploitation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Taux de formalisation des relations foncières d’exploitation (TFR)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4 — Sécurisation du foncier rural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la sécurisation des relations entre détenteurs de droits et exploitants non propriétaires.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part des relations d’exploitation par des non-propriétaires est couverte par un contrat écrit enregistré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Proportion des relations d’exploitation de terres rurales par un non-propriétaire (location, prêt, droits d’usage, planter-partager et autres formes reconnues) couvertes par un contrat écrit enregistré.</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TFR</m:t>
                  </m:r>
                </m:e>
                <m:sub>
                  <m:r>
                    <m:t>t</m:t>
                  </m:r>
                </m:sub>
              </m:sSub>
              <m:r>
                <m:t>=</m:t>
              </m:r>
              <m:f>
                <m:num>
                  <m:sSub>
                    <m:sSubPr/>
                    <m:e>
                      <m:r>
                        <m:t>RCE</m:t>
                      </m:r>
                    </m:e>
                    <m:sub>
                      <m:r>
                        <m:t>t</m:t>
                      </m:r>
                    </m:sub>
                  </m:sSub>
                </m:num>
                <m:den>
                  <m:sSub>
                    <m:sSubPr/>
                    <m:e>
                      <m:r>
                        <m:t>RNP</m:t>
                      </m:r>
                    </m:e>
                    <m:sub>
                      <m:r>
                        <m:t>t</m:t>
                      </m:r>
                    </m:sub>
                  </m:sSub>
                </m:den>
              </m:f>
              <m:r>
                <m:t>×100</m:t>
              </m:r>
            </m:oMath>
          </w:p>
          <w:p>
            <w:pPr>
              <w:spacing w:after="30"/>
            </w:pPr>
            <w:r>
              <w:rPr>
                <w:rFonts w:ascii="Garamond" w:cs="Garamond" w:eastAsia="Garamond" w:hAnsi="Garamond"/>
                <w:sz w:val="18"/>
                <w:szCs w:val="18"/>
              </w:rPr>
              <w:t xml:space="preserve">Numérateur : Nombre de relations d’exploitation non-propriétaire couvertes par un contrat écrit enregistré (RCE).</w:t>
            </w:r>
          </w:p>
          <w:p>
            <w:pPr>
              <w:spacing w:after="30"/>
            </w:pPr>
            <w:r>
              <w:rPr>
                <w:rFonts w:ascii="Garamond" w:cs="Garamond" w:eastAsia="Garamond" w:hAnsi="Garamond"/>
                <w:sz w:val="18"/>
                <w:szCs w:val="18"/>
              </w:rPr>
              <w:t xml:space="preserve">Dénominateur : Nombre total de relations d’exploitation non-propriétaire identifiées (RNP).</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Contrats enregistrés par type ; relations d’exploitation identifiées lors des opérations foncières ou des enquêtes.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 (numérateur) ; dénominateur selon les enquêtes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AFOR (SIFOR) pour les contrats enregistrés ; enquêtes des opérations de sécurisation foncière.</w:t>
            </w:r>
          </w:p>
          <w:p>
            <w:pPr>
              <w:spacing w:after="30" w:before="30" w:line="240" w:lineRule="auto"/>
              <w:jc w:val="left"/>
            </w:pPr>
            <w:r>
              <w:rPr>
                <w:rFonts w:ascii="Garamond" w:cs="Garamond" w:eastAsia="Garamond" w:hAnsi="Garamond"/>
                <w:sz w:val="18"/>
                <w:szCs w:val="18"/>
              </w:rPr>
              <w:t xml:space="preserve">Secondaires : Recensement et enquêtes agricoles (mode de faire-valoir) ; études de terrain.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Comptage, ventilé par type de relation.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Sans objet.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Définir précisément « enregistré » ; retenir comme unité le couple parcelle-exploitant ; ne pas compter deux fois un renouvellement.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Dénominateur difficile à observer ; contrats écrits non enregistrés exclus.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Colin (2013), Land Use Policy, 31 ; FAO (2012), Directives volontaires.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Nombre de contrats signés publié ponctuellement par l’AFOR ; dénominateur non disponible en série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la typologie des relations ; estimer le dénominateur par enquête ; reconstituer la série des contrats.</w:t>
            </w:r>
          </w:p>
        </w:tc>
      </w:tr>
    </w:tbl>
    <w:p>
      <w:pPr>
        <w:pStyle w:val="Heading2"/>
        <w:pageBreakBefore/>
      </w:pPr>
      <w:r>
        <w:t xml:space="preserve">Fiche 5.1 — Part de la superficie agricole sous pratiques de production durable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Part de la superficie agricole sous pratiques de production durable (PAD)</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5 — Durabilité des systèmes de production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la diffusion de modes de production qui préservent les ressources productives.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part de la superficie agricole est conduite selon des pratiques reconnues comme durables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entre la superficie agricole sur laquelle au moins une pratique inscrite sur une liste nationale harmonisée est effectivement appliquée et la superficie agricole totale.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PAD</m:t>
                  </m:r>
                </m:e>
                <m:sub>
                  <m:r>
                    <m:t>t</m:t>
                  </m:r>
                </m:sub>
              </m:sSub>
              <m:r>
                <m:t>=</m:t>
              </m:r>
              <m:f>
                <m:num>
                  <m:sSub>
                    <m:sSubPr/>
                    <m:e>
                      <m:r>
                        <m:t>SPD</m:t>
                      </m:r>
                    </m:e>
                    <m:sub>
                      <m:r>
                        <m:t>t</m:t>
                      </m:r>
                    </m:sub>
                  </m:sSub>
                </m:num>
                <m:den>
                  <m:sSub>
                    <m:sSubPr/>
                    <m:e>
                      <m:r>
                        <m:t>SAT</m:t>
                      </m:r>
                    </m:e>
                    <m:sub>
                      <m:r>
                        <m:t>t</m:t>
                      </m:r>
                    </m:sub>
                  </m:sSub>
                </m:den>
              </m:f>
              <m:r>
                <m:t>×100</m:t>
              </m:r>
            </m:oMath>
          </w:p>
          <w:p>
            <w:pPr>
              <w:spacing w:after="30"/>
            </w:pPr>
            <w:r>
              <w:rPr>
                <w:rFonts w:ascii="Garamond" w:cs="Garamond" w:eastAsia="Garamond" w:hAnsi="Garamond"/>
                <w:sz w:val="18"/>
                <w:szCs w:val="18"/>
              </w:rPr>
              <w:t xml:space="preserve">Numérateur : Superficie agricole sous au moins une pratique reconnue (SPD), chaque parcelle étant comptée une fois.</w:t>
            </w:r>
          </w:p>
          <w:p>
            <w:pPr>
              <w:spacing w:after="30"/>
            </w:pPr>
            <w:r>
              <w:rPr>
                <w:rFonts w:ascii="Garamond" w:cs="Garamond" w:eastAsia="Garamond" w:hAnsi="Garamond"/>
                <w:sz w:val="18"/>
                <w:szCs w:val="18"/>
              </w:rPr>
              <w:t xml:space="preserve">Dénominateur : Superficie agricole totale (SAT), selon le périmètre retenu.</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Pratiques appliquées par parcelle et superficies correspondantes ; superficie agricole totale.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Hausse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 ou selon la périodicité des enquêtes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Enquêtes agricoles avec module « pratiques » ; registres de la norme ARS 1000 et des certifications.</w:t>
            </w:r>
          </w:p>
          <w:p>
            <w:pPr>
              <w:spacing w:after="30" w:before="30" w:line="240" w:lineRule="auto"/>
              <w:jc w:val="left"/>
            </w:pPr>
            <w:r>
              <w:rPr>
                <w:rFonts w:ascii="Garamond" w:cs="Garamond" w:eastAsia="Garamond" w:hAnsi="Garamond"/>
                <w:sz w:val="18"/>
                <w:szCs w:val="18"/>
              </w:rPr>
              <w:t xml:space="preserve">Secondaires : ANADER, programmes et projets ; télédétection (agroforesterie) ; dispositif ODD 2.4.1.</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Union des superficies (et non somme des superficies par pratique).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Sans objet.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Adopter une liste nationale harmonisée et des critères minimaux d’application ; compter chaque parcelle une seule fois.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La présence d’une pratique ne garantit pas un résultat environnemental ; données dispersées entre projets.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FAO, métadonnées de l’ODD 2.4.1 ; Pretty et al. (2018), Nature Sustainability.</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Pas de série nationale harmonisée identifiée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la liste des pratiques et les critères ; concevoir le module d’enquête ; fixer le périmètre du dénominateur.</w:t>
            </w:r>
          </w:p>
        </w:tc>
      </w:tr>
    </w:tbl>
    <w:p>
      <w:pPr>
        <w:pStyle w:val="Heading2"/>
        <w:pageBreakBefore/>
      </w:pPr>
      <w:r>
        <w:t xml:space="preserve">Fiche 5.2 — Taux de déforestation imputable à l’expansion agricole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Taux de déforestation imputable à l’expansion agricole (TDA)</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5 — Durabilité des systèmes de production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la pression de l’expansion agricole sur les forêts.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part de la forêt existante est convertie chaque année en terres agricoles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entre la superficie forestière convertie en terres agricoles au cours de la période et la superficie forestière au début de la période.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TDA</m:t>
                  </m:r>
                </m:e>
                <m:sub>
                  <m:r>
                    <m:t>t</m:t>
                  </m:r>
                </m:sub>
              </m:sSub>
              <m:r>
                <m:t>=</m:t>
              </m:r>
              <m:f>
                <m:num>
                  <m:sSub>
                    <m:sSubPr/>
                    <m:e>
                      <m:r>
                        <m:t>SFA</m:t>
                      </m:r>
                    </m:e>
                    <m:sub>
                      <m:r>
                        <m:t>t</m:t>
                      </m:r>
                    </m:sub>
                  </m:sSub>
                </m:num>
                <m:den>
                  <m:sSub>
                    <m:sSubPr/>
                    <m:e>
                      <m:r>
                        <m:t>SF</m:t>
                      </m:r>
                    </m:e>
                    <m:sub>
                      <m:r>
                        <m:t>t−1</m:t>
                      </m:r>
                    </m:sub>
                  </m:sSub>
                </m:den>
              </m:f>
              <m:r>
                <m:t>×100</m:t>
              </m:r>
            </m:oMath>
          </w:p>
          <w:p>
            <w:pPr>
              <w:spacing w:after="30"/>
            </w:pPr>
            <w:r>
              <w:rPr>
                <w:rFonts w:ascii="Garamond" w:cs="Garamond" w:eastAsia="Garamond" w:hAnsi="Garamond"/>
                <w:sz w:val="18"/>
                <w:szCs w:val="18"/>
              </w:rPr>
              <w:t xml:space="preserve">Numérateur : Superficie forestière dont l’usage final est agricole (SFA), en déforestation brute.</w:t>
            </w:r>
          </w:p>
          <w:p>
            <w:pPr>
              <w:spacing w:after="30"/>
            </w:pPr>
            <w:r>
              <w:rPr>
                <w:rFonts w:ascii="Garamond" w:cs="Garamond" w:eastAsia="Garamond" w:hAnsi="Garamond"/>
                <w:sz w:val="18"/>
                <w:szCs w:val="18"/>
              </w:rPr>
              <w:t xml:space="preserve">Dénominateur : Superficie forestière au début de la période (SF).</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Cartes d’occupation des terres à deux dates au moins ; matrice de changement par usage final ; définition nationale de la forêt.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par an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Baisse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 ou annualisée à partir de cartes périodiques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Cartographie nationale de l’occupation des terres (BNETD-CCT, SEP-REDD+, ministère chargé des Eaux et Forêts).</w:t>
            </w:r>
          </w:p>
          <w:p>
            <w:pPr>
              <w:spacing w:after="30" w:before="30" w:line="240" w:lineRule="auto"/>
              <w:jc w:val="left"/>
            </w:pPr>
            <w:r>
              <w:rPr>
                <w:rFonts w:ascii="Garamond" w:cs="Garamond" w:eastAsia="Garamond" w:hAnsi="Garamond"/>
                <w:sz w:val="18"/>
                <w:szCs w:val="18"/>
              </w:rPr>
              <w:t xml:space="preserve">Secondaires : FAO FRA ; Global Forest Watch (Hansen et al.) ; JRC TMF ; cartes du cacao (Kalischek et al., 2023).</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Somme sur le territoire national.</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Sans objet.</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Appliquer la définition nationale de la forêt ; mesurer une déforestation brute ; distinguer les causes ; fixer une règle de classement de l’agroforesterie cacaoyère.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Confusion possible entre couvert arboré et forêt ; incertitude sur l’attribution des causes ; décalage de détection.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FAO (2020), FRA 2020 ; Curtis et al. (2018) ; Pendrill et al. (2022) ; Puyravaud (2003).</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Produits satellitaires annuels couvrant la Côte d’Ivoire (perte de couvert arboré depuis 2001 ; forêts tropicales humides du JRC depuis 1990) ; attribution nationale par usage final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la définition et la source de référence ; produire la matrice de changement ; fixer la règle d’annualisation.</w:t>
            </w:r>
          </w:p>
        </w:tc>
      </w:tr>
    </w:tbl>
    <w:p>
      <w:pPr>
        <w:pStyle w:val="Heading2"/>
        <w:pageBreakBefore/>
      </w:pPr>
      <w:r>
        <w:t xml:space="preserve">Fiche 5.3 — Intensité des émissions de gaz à effet de serre de la production agricole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Nom de l’indicateur</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Intensité des émissions de gaz à effet de serre de la production agricole (IC)</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Axe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Axe 5 — Durabilité des systèmes de production</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Finalité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Mesurer l’efficacité climatique de la production agricole.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Question à laquelle il répond</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Quelle quantité de gaz à effet de serre la production agricole émet-elle par unité de valeur produite ?</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Définition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entre les émissions de gaz à effet de serre de l’agriculture, hors changement d’affectation des terres, et la valeur réelle de la production agricole ou, selon la série la plus robuste, la valeur ajoutée agricole réelle.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Formule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60" w:before="60"/>
              <w:jc w:val="left"/>
            </w:pPr>
            <m:oMath>
              <m:sSub>
                <m:sSubPr/>
                <m:e>
                  <m:r>
                    <m:t>IC</m:t>
                  </m:r>
                </m:e>
                <m:sub>
                  <m:r>
                    <m:t>t</m:t>
                  </m:r>
                </m:sub>
              </m:sSub>
              <m:r>
                <m:t>=</m:t>
              </m:r>
              <m:f>
                <m:num>
                  <m:sSub>
                    <m:sSubPr/>
                    <m:e>
                      <m:r>
                        <m:t>E</m:t>
                      </m:r>
                    </m:e>
                    <m:sub>
                      <m:r>
                        <m:t>t</m:t>
                      </m:r>
                    </m:sub>
                  </m:sSub>
                </m:num>
                <m:den>
                  <m:sSub>
                    <m:sSubPr/>
                    <m:e>
                      <m:r>
                        <m:t>V</m:t>
                      </m:r>
                    </m:e>
                    <m:sub>
                      <m:r>
                        <m:t>t</m:t>
                      </m:r>
                    </m:sub>
                  </m:sSub>
                </m:den>
              </m:f>
            </m:oMath>
          </w:p>
          <w:p>
            <w:pPr>
              <w:spacing w:after="30"/>
            </w:pPr>
            <w:r>
              <w:rPr>
                <w:rFonts w:ascii="Garamond" w:cs="Garamond" w:eastAsia="Garamond" w:hAnsi="Garamond"/>
                <w:sz w:val="18"/>
                <w:szCs w:val="18"/>
              </w:rPr>
              <w:t xml:space="preserve">Numérateur : Émissions agricoles « à la ferme » (E) : fermentation entérique, gestion des déjections, riziculture, sols agricoles et engrais, brûlage des résidus, autres sources agricoles de l’inventaire, en tCO₂e.</w:t>
            </w:r>
          </w:p>
          <w:p>
            <w:pPr>
              <w:spacing w:after="30"/>
            </w:pPr>
            <w:r>
              <w:rPr>
                <w:rFonts w:ascii="Garamond" w:cs="Garamond" w:eastAsia="Garamond" w:hAnsi="Garamond"/>
                <w:sz w:val="18"/>
                <w:szCs w:val="18"/>
              </w:rPr>
              <w:t xml:space="preserve">Dénominateur : Valeur réelle de la production agricole ou valeur ajoutée agricole réelle (V), en millions de FCFA constants.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Variables nécessaires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Émissions par source et par gaz ; potentiels de réchauffement global ; valeur de la production ou valeur ajoutée à prix constants.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Unité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tCO₂e par million de FCFA constants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Sens souhaité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 Baisse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Périodicité</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Annuelle</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Sources possibles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Principale : Inventaire national des gaz à effet de serre (secteur agriculture), communiqué à la CCNUCC.</w:t>
            </w:r>
          </w:p>
          <w:p>
            <w:pPr>
              <w:spacing w:after="30" w:before="30" w:line="240" w:lineRule="auto"/>
              <w:jc w:val="left"/>
            </w:pPr>
            <w:r>
              <w:rPr>
                <w:rFonts w:ascii="Garamond" w:cs="Garamond" w:eastAsia="Garamond" w:hAnsi="Garamond"/>
                <w:sz w:val="18"/>
                <w:szCs w:val="18"/>
              </w:rPr>
              <w:t xml:space="preserve">Secondaires : FAOSTAT (Émissions totales ; indicateurs d’émissions) ; ANStat (comptes nationaux).</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Méthode d’agrégation</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Rapport de sommes.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Pondérations éventuelles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Sans objet (potentiels de réchauffement fixes).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Précautions méthodologiques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Exclure les émissions liées au changement d’affectation des terres ; retenir un jeu unique de potentiels de réchauffement ; aligner le périmètre du numérateur et du dénominateur ; raisonner à prix constants.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Limites</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Émissions souvent estimées avec des facteurs par défaut peu sensibles aux pratiques ; effets de prix et de composition sur le dénominateur ; une baisse de l’intensité peut coexister avec une hausse des émissions absolues.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Référence scientifique principale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GIEC (2006, 2019) ; Tubiello et al. (2013) ; FAOSTAT, note méthodologique des indicateurs d’émissions.</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Disponibilité pour la Côte d’Ivoire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FAOSTAT publie pour la Côte d’Ivoire les émissions agricoles et une intensité par valeur de production ; série d’inventaire national annuelle et homogène : disponibilité de la série à vérifier.</w:t>
            </w:r>
          </w:p>
        </w:tc>
      </w:tr>
      <w:tr>
        <w:trPr>
          <w:cantSplit/>
        </w:trPr>
        <w:tc>
          <w:tcPr>
            <w:tcW w:type="dxa" w:w="2500"/>
            <w:tcBorders>
              <w:top w:val="single" w:color="B7C9BE" w:sz="4"/>
              <w:left w:val="single" w:color="B7C9BE" w:sz="4"/>
              <w:bottom w:val="single" w:color="B7C9BE" w:sz="4"/>
              <w:right w:val="single" w:color="B7C9BE" w:sz="4"/>
            </w:tcBorders>
            <w:shd w:fill="EDF3EF" w:color="auto" w:val="clear"/>
            <w:tcMar>
              <w:top w:type="dxa" w:w="50"/>
              <w:left w:type="dxa" w:w="90"/>
              <w:bottom w:type="dxa" w:w="50"/>
              <w:right w:type="dxa" w:w="90"/>
            </w:tcMar>
            <w:vAlign w:val="top"/>
          </w:tcPr>
          <w:p>
            <w:pPr>
              <w:spacing w:after="30" w:before="30" w:line="240" w:lineRule="auto"/>
              <w:jc w:val="left"/>
            </w:pPr>
            <w:r>
              <w:rPr>
                <w:rFonts w:ascii="Garamond" w:cs="Garamond" w:eastAsia="Garamond" w:hAnsi="Garamond"/>
                <w:b/>
                <w:bCs/>
                <w:color w:val="1F4E3D"/>
                <w:sz w:val="18"/>
                <w:szCs w:val="18"/>
              </w:rPr>
              <w:t xml:space="preserve">Travaux restant à conduire</w:t>
            </w:r>
          </w:p>
        </w:tc>
        <w:tc>
          <w:tcPr>
            <w:tcW w:type="dxa" w:w="6570"/>
            <w:tcBorders>
              <w:top w:val="single" w:color="B7C9BE" w:sz="4"/>
              <w:left w:val="single" w:color="B7C9BE" w:sz="4"/>
              <w:bottom w:val="single" w:color="B7C9BE" w:sz="4"/>
              <w:right w:val="single" w:color="B7C9BE" w:sz="4"/>
            </w:tcBorders>
            <w:tcMar>
              <w:top w:type="dxa" w:w="50"/>
              <w:left w:type="dxa" w:w="90"/>
              <w:bottom w:type="dxa" w:w="50"/>
              <w:right w:type="dxa" w:w="90"/>
            </w:tcMar>
            <w:vAlign w:val="top"/>
          </w:tcPr>
          <w:p>
            <w:pPr>
              <w:spacing w:after="30" w:before="30" w:line="240" w:lineRule="auto"/>
              <w:jc w:val="left"/>
            </w:pPr>
            <w:r>
              <w:rPr>
                <w:rFonts w:ascii="Garamond" w:cs="Garamond" w:eastAsia="Garamond" w:hAnsi="Garamond"/>
                <w:sz w:val="18"/>
                <w:szCs w:val="18"/>
              </w:rPr>
              <w:t xml:space="preserve">Arrêter le dénominateur ; rapprocher inventaire national et FAOSTAT ; fixer les potentiels de réchauffement.</w:t>
            </w:r>
          </w:p>
        </w:tc>
      </w:tr>
    </w:tbl>
    <w:sectPr>
      <w:headerReference w:type="default" r:id="rId10"/>
      <w:footerReference w:type="default" r:id="rId11"/>
      <w:type w:val="nextPage"/>
      <w:pgSz w:w="11906" w:h="16838" w:orient="portrait"/>
      <w:pgMar w:top="1418" w:right="1418" w:bottom="1304" w:left="1418" w:header="709" w:footer="62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4A4A4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4A4A4A"/>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4A4A4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BE" w:sz="4" w:space="4"/>
      </w:pBdr>
      <w:tabs>
        <w:tab w:val="right" w:pos="9070"/>
      </w:tabs>
    </w:pPr>
    <w:r>
      <w:rPr>
        <w:rFonts w:ascii="Garamond" w:cs="Garamond" w:eastAsia="Garamond" w:hAnsi="Garamond"/>
        <w:smallCaps/>
        <w:color w:val="4A4A4A"/>
        <w:sz w:val="17"/>
        <w:szCs w:val="17"/>
      </w:rPr>
      <w:t xml:space="preserve">Cadre méthodologique des indicateurs de la vision agricole</w:t>
    </w:r>
    <w:r>
      <w:rPr>
        <w:rFonts w:ascii="Garamond" w:cs="Garamond" w:eastAsia="Garamond" w:hAnsi="Garamond"/>
        <w:i/>
        <w:iCs/>
        <w:color w:val="4A4A4A"/>
        <w:sz w:val="17"/>
        <w:szCs w:val="17"/>
      </w:rPr>
      <w:t xml:space="preserve">	Document méthodologique de travail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BE" w:sz="4" w:space="4"/>
      </w:pBdr>
      <w:tabs>
        <w:tab w:val="right" w:pos="14570"/>
      </w:tabs>
    </w:pPr>
    <w:r>
      <w:rPr>
        <w:rFonts w:ascii="Garamond" w:cs="Garamond" w:eastAsia="Garamond" w:hAnsi="Garamond"/>
        <w:smallCaps/>
        <w:color w:val="4A4A4A"/>
        <w:sz w:val="17"/>
        <w:szCs w:val="17"/>
      </w:rPr>
      <w:t xml:space="preserve">Cadre méthodologique des indicateurs de la vision agricole</w:t>
    </w:r>
    <w:r>
      <w:rPr>
        <w:rFonts w:ascii="Garamond" w:cs="Garamond" w:eastAsia="Garamond" w:hAnsi="Garamond"/>
        <w:i/>
        <w:iCs/>
        <w:color w:val="4A4A4A"/>
        <w:sz w:val="17"/>
        <w:szCs w:val="17"/>
      </w:rPr>
      <w:t xml:space="preserve">	Document méthodologique de travail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BE" w:sz="4" w:space="4"/>
      </w:pBdr>
      <w:tabs>
        <w:tab w:val="right" w:pos="9070"/>
      </w:tabs>
    </w:pPr>
    <w:r>
      <w:rPr>
        <w:rFonts w:ascii="Garamond" w:cs="Garamond" w:eastAsia="Garamond" w:hAnsi="Garamond"/>
        <w:smallCaps/>
        <w:color w:val="4A4A4A"/>
        <w:sz w:val="17"/>
        <w:szCs w:val="17"/>
      </w:rPr>
      <w:t xml:space="preserve">Cadre méthodologique des indicateurs de la vision agricole</w:t>
    </w:r>
    <w:r>
      <w:rPr>
        <w:rFonts w:ascii="Garamond" w:cs="Garamond" w:eastAsia="Garamond" w:hAnsi="Garamond"/>
        <w:i/>
        <w:iCs/>
        <w:color w:val="4A4A4A"/>
        <w:sz w:val="17"/>
        <w:szCs w:val="17"/>
      </w:rPr>
      <w:t xml:space="preserve">	Document méthodologique de travail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1F4E3D"/>
      </w:r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rPr>
        <w:b/>
        <w:bCs/>
        <w:color w:val="1F4E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pPr>
        <w:spacing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3D" w:sz="6" w:space="6"/>
      </w:pBdr>
      <w:spacing w:after="280" w:before="120"/>
      <w:outlineLvl w:val="0"/>
    </w:pPr>
    <w:rPr>
      <w:rFonts w:ascii="Garamond" w:cs="Garamond" w:eastAsia="Garamond" w:hAnsi="Garamond"/>
      <w:b/>
      <w:bCs/>
      <w:color w:val="1F4E3D"/>
      <w:sz w:val="36"/>
      <w:szCs w:val="36"/>
    </w:rPr>
  </w:style>
  <w:style w:type="paragraph" w:styleId="Heading2">
    <w:name w:val="Heading 2"/>
    <w:basedOn w:val="Normal"/>
    <w:next w:val="Normal"/>
    <w:qFormat/>
    <w:pPr>
      <w:keepNext/>
      <w:keepLines/>
      <w:spacing w:after="140" w:before="320"/>
      <w:outlineLvl w:val="1"/>
    </w:pPr>
    <w:rPr>
      <w:rFonts w:ascii="Garamond" w:cs="Garamond" w:eastAsia="Garamond" w:hAnsi="Garamond"/>
      <w:b/>
      <w:bCs/>
      <w:color w:val="1F4E3D"/>
      <w:sz w:val="27"/>
      <w:szCs w:val="27"/>
    </w:rPr>
  </w:style>
  <w:style w:type="paragraph" w:styleId="Heading3">
    <w:name w:val="Heading 3"/>
    <w:basedOn w:val="Normal"/>
    <w:next w:val="Normal"/>
    <w:qFormat/>
    <w:pPr>
      <w:keepNext/>
      <w:spacing w:after="100" w:before="240"/>
      <w:outlineLvl w:val="2"/>
    </w:pPr>
    <w:rPr>
      <w:rFonts w:ascii="Garamond" w:cs="Garamond" w:eastAsia="Garamond" w:hAnsi="Garamond"/>
      <w:b/>
      <w:bCs/>
      <w:i/>
      <w:iCs/>
      <w:color w:val="3333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Cadre méthodologique des indicateurs de suivi de la vision agricole</dc:title>
  <dc:creator>Cabinet du Ministre de l’Agriculture</dc:creator>
  <dc:description>Définitions, indicateurs, méthodes de calcul et fondements scientifiques</dc:description>
  <cp:lastModifiedBy>Un-named</cp:lastModifiedBy>
  <cp:revision>1</cp:revision>
  <dcterms:created xsi:type="dcterms:W3CDTF">2026-09-29T11:40:17.538Z</dcterms:created>
  <dcterms:modified xsi:type="dcterms:W3CDTF">2026-09-29T11:40:17.538Z</dcterms:modified>
</cp:coreProperties>
</file>

<file path=docProps/custom.xml><?xml version="1.0" encoding="utf-8"?>
<Properties xmlns="http://schemas.openxmlformats.org/officeDocument/2006/custom-properties" xmlns:vt="http://schemas.openxmlformats.org/officeDocument/2006/docPropsVTypes"/>
</file>