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89"/>
        <w:gridCol w:w="8533"/>
      </w:tblGrid>
      <w:tr>
        <w:trPr>
          <w:cantSplit/>
        </w:trPr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D9730D" w:sz="12"/>
              <w:right w:val="none" w:color="FFFFFF" w:sz="0"/>
            </w:tcBorders>
            <w:tcMar>
              <w:top w:type="dxa" w:w="0"/>
              <w:left w:type="dxa" w:w="0"/>
              <w:bottom w:type="dxa" w:w="150"/>
              <w:right w:type="dxa" w:w="0"/>
            </w:tcMar>
            <w:vAlign w:val="center"/>
          </w:tcPr>
          <w:p>
            <w:pPr>
              <w:spacing w:after="0" w:before="0" w:line="252" w:lineRule="auto"/>
            </w:pPr>
            <w:r>
              <w:drawing>
                <wp:inline distT="0" distB="0" distL="0" distR="0">
                  <wp:extent cx="738000" cy="653868"/>
                  <wp:effectExtent t="0" r="0" b="0" l="0"/>
                  <wp:docPr id="1" name="Armoiries" descr="Armoiries officielles de la République de Côte d’Ivoire" title="Armoiries de la République de Côte d’Ivo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000" cy="653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3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0"/>
              <w:left w:type="dxa" w:w="200"/>
              <w:bottom w:type="dxa" w:w="150"/>
              <w:right w:type="dxa" w:w="0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aps/>
                <w:color w:val="1F2328"/>
                <w:spacing w:val="16"/>
                <w:sz w:val="21"/>
                <w:szCs w:val="21"/>
                <w:lang w:val="fr-FR"/>
              </w:rPr>
              <w:t xml:space="preserve">République de Côte d’Ivoire</w:t>
            </w:r>
          </w:p>
          <w:p>
            <w:pPr>
              <w:spacing w:after="30" w:before="0" w:line="252" w:lineRule="auto"/>
            </w:pPr>
            <w:r>
              <w:rPr>
                <w:rFonts w:ascii="Garamond" w:cs="Garamond" w:eastAsia="Garamond" w:hAnsi="Garamond"/>
                <w:i/>
                <w:iCs/>
                <w:color w:val="4A5058"/>
                <w:sz w:val="19"/>
                <w:szCs w:val="19"/>
                <w:lang w:val="fr-FR"/>
              </w:rPr>
              <w:t xml:space="preserve">Union – Discipline – Travail</w:t>
            </w:r>
          </w:p>
          <w:p>
            <w:pPr>
              <w:pBdr>
                <w:bottom w:val="single" w:color="D9730D" w:sz="6"/>
              </w:pBdr>
              <w:spacing w:after="70" w:before="0" w:line="70" w:lineRule="exact"/>
              <w:ind w:right="7823"/>
            </w:pP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aps/>
                <w:color w:val="1F2328"/>
                <w:spacing w:val="6"/>
                <w:sz w:val="19"/>
                <w:szCs w:val="19"/>
                <w:lang w:val="fr-FR"/>
              </w:rPr>
              <w:t xml:space="preserve">Ministère de l’Agriculture, du Développement Rural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aps/>
                <w:color w:val="1F2328"/>
                <w:spacing w:val="6"/>
                <w:sz w:val="19"/>
                <w:szCs w:val="19"/>
                <w:lang w:val="fr-FR"/>
              </w:rPr>
              <w:t xml:space="preserve">et des Productions Vivrières</w:t>
            </w:r>
          </w:p>
          <w:p>
            <w:pPr>
              <w:spacing w:after="0" w:before="6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1B7A4C"/>
                <w:spacing w:val="40"/>
                <w:sz w:val="16"/>
                <w:szCs w:val="16"/>
                <w:lang w:val="fr-FR"/>
              </w:rPr>
              <w:t xml:space="preserve">Cabinet du Ministre</w:t>
            </w:r>
          </w:p>
        </w:tc>
      </w:tr>
    </w:tbl>
    <w:p>
      <w:pPr>
        <w:spacing w:after="30" w:before="250" w:line="252" w:lineRule="auto"/>
      </w:pPr>
      <w:r>
        <w:rPr>
          <w:rFonts w:ascii="Garamond" w:cs="Garamond" w:eastAsia="Garamond" w:hAnsi="Garamond"/>
          <w:b/>
          <w:bCs/>
          <w:color w:val="1F2328"/>
          <w:spacing w:val="10"/>
          <w:sz w:val="33"/>
          <w:szCs w:val="33"/>
          <w:lang w:val="fr-FR"/>
        </w:rPr>
        <w:t xml:space="preserve">FICHE DE SUIVI DES CORRECTIONS</w:t>
      </w:r>
    </w:p>
    <w:p>
      <w:pPr>
        <w:spacing w:after="130" w:before="0" w:line="252" w:lineRule="auto"/>
      </w:pPr>
      <w:r>
        <w:rPr>
          <w:rFonts w:ascii="Garamond" w:cs="Garamond" w:eastAsia="Garamond" w:hAnsi="Garamond"/>
          <w:i/>
          <w:iCs/>
          <w:color w:val="4A5058"/>
          <w:sz w:val="23"/>
          <w:szCs w:val="23"/>
          <w:lang w:val="fr-FR"/>
        </w:rPr>
        <w:t xml:space="preserve">Réponse de la structure émettrice aux observations de la fiche de revue du 1</w:t>
      </w:r>
      <w:r>
        <w:rPr>
          <w:rFonts w:ascii="Garamond" w:cs="Garamond" w:eastAsia="Garamond" w:hAnsi="Garamond"/>
          <w:i/>
          <w:iCs/>
          <w:color w:val="4A5058"/>
          <w:sz w:val="23"/>
          <w:szCs w:val="23"/>
          <w:vertAlign w:val="superscript"/>
          <w:lang w:val="fr-FR"/>
        </w:rPr>
        <w:t xml:space="preserve">er</w:t>
      </w:r>
      <w:r>
        <w:rPr>
          <w:rFonts w:ascii="Garamond" w:cs="Garamond" w:eastAsia="Garamond" w:hAnsi="Garamond"/>
          <w:i/>
          <w:iCs/>
          <w:color w:val="4A5058"/>
          <w:sz w:val="23"/>
          <w:szCs w:val="23"/>
          <w:lang w:val="fr-FR"/>
        </w:rPr>
        <w:t xml:space="preserve"> octobre 2026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80"/>
        <w:gridCol w:w="2480"/>
        <w:gridCol w:w="2480"/>
        <w:gridCol w:w="2482"/>
      </w:tblGrid>
      <w:tr>
        <w:trPr>
          <w:cantSplit/>
        </w:trPr>
        <w:tc>
          <w:tcPr>
            <w:tcW w:type="dxa" w:w="9922"/>
            <w:gridSpan w:val="4"/>
            <w:tcBorders>
              <w:top w:val="single" w:color="1B7A4C" w:sz="8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90"/>
            </w:tcMar>
            <w:vAlign w:val="top"/>
          </w:tcPr>
          <w:p>
            <w:pPr>
              <w:spacing w:after="4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Document examiné</w:t>
            </w:r>
          </w:p>
          <w:p>
            <w:pPr>
              <w:spacing w:after="0" w:before="0" w:line="260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24"/>
                <w:szCs w:val="24"/>
                <w:lang w:val="fr-FR"/>
              </w:rPr>
              <w:t xml:space="preserve">Communication en Conseil des Ministres – Informations relatives à la collecte et à l’utilisation des redevances prélevées sur la filière café-cacao au 30 juin 2026</w:t>
            </w:r>
          </w:p>
        </w:tc>
      </w:tr>
      <w:tr>
        <w:trPr>
          <w:cantSplit/>
        </w:trPr>
        <w:tc>
          <w:tcPr>
            <w:tcW w:type="dxa" w:w="2480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Structure émettrice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MINADER – MEFB</w:t>
            </w:r>
          </w:p>
          <w:p>
            <w:pPr>
              <w:spacing w:after="0" w:before="20" w:line="252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Communication conjointe</w:t>
            </w:r>
          </w:p>
        </w:tc>
        <w:tc>
          <w:tcPr>
            <w:tcW w:type="dxa" w:w="2480"/>
            <w:tcBorders>
              <w:top w:val="none" w:color="FFFFFF" w:sz="0"/>
              <w:left w:val="single" w:color="E3E6E9" w:sz="4"/>
              <w:bottom w:val="single" w:color="E3E6E9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Version examinée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Version du 12 août 2026</w:t>
            </w:r>
          </w:p>
        </w:tc>
        <w:tc>
          <w:tcPr>
            <w:tcW w:type="dxa" w:w="2480"/>
            <w:tcBorders>
              <w:top w:val="none" w:color="FFFFFF" w:sz="0"/>
              <w:left w:val="single" w:color="E3E6E9" w:sz="4"/>
              <w:bottom w:val="single" w:color="E3E6E9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Fiche de revue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1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vertAlign w:val="superscript"/>
                <w:lang w:val="fr-FR"/>
              </w:rPr>
              <w:t xml:space="preserve">er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 octobre 2026</w:t>
            </w:r>
          </w:p>
          <w:p>
            <w:pPr>
              <w:spacing w:after="0" w:before="20" w:line="252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21 observations · 2 arbitrages</w:t>
            </w:r>
          </w:p>
        </w:tc>
        <w:tc>
          <w:tcPr>
            <w:tcW w:type="dxa" w:w="2482"/>
            <w:tcBorders>
              <w:top w:val="none" w:color="FFFFFF" w:sz="0"/>
              <w:left w:val="single" w:color="E3E6E9" w:sz="4"/>
              <w:bottom w:val="single" w:color="E3E6E9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Version corrigée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i/>
                <w:iCs/>
                <w:color w:val="6B7280"/>
                <w:sz w:val="21"/>
                <w:szCs w:val="21"/>
                <w:lang w:val="fr-FR"/>
              </w:rPr>
              <w:t xml:space="preserve">[Date à renseigner]</w:t>
            </w:r>
          </w:p>
        </w:tc>
      </w:tr>
      <w:tr>
        <w:trPr>
          <w:cantSplit/>
        </w:trPr>
        <w:tc>
          <w:tcPr>
            <w:tcW w:type="dxa" w:w="9922"/>
            <w:gridSpan w:val="4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80"/>
              <w:left w:type="dxa" w:w="0"/>
              <w:bottom w:type="dxa" w:w="9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Objet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Retour, observation par observation, sur la prise en compte des corrections demandées</w:t>
            </w:r>
          </w:p>
        </w:tc>
      </w:tr>
    </w:tbl>
    <w:p>
      <w:pPr>
        <w:pStyle w:val="Heading1"/>
        <w:keepNext/>
        <w:keepLines/>
        <w:pBdr>
          <w:left w:val="single" w:color="D9730D" w:sz="18" w:space="5"/>
        </w:pBdr>
        <w:spacing w:after="100" w:before="26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Consignes</w:t>
      </w:r>
    </w:p>
    <w:p>
      <w:pPr>
        <w:spacing w:after="60" w:before="0" w:line="264" w:lineRule="auto"/>
      </w:pPr>
      <w:r>
        <w:rPr>
          <w:rFonts w:ascii="Garamond" w:cs="Garamond" w:eastAsia="Garamond" w:hAnsi="Garamond"/>
          <w:color w:val="1F2328"/>
          <w:sz w:val="21"/>
          <w:szCs w:val="21"/>
          <w:lang w:val="fr-FR"/>
        </w:rPr>
        <w:t xml:space="preserve">Pour chaque observation, choisir le statut retenu dans la colonne « Statut » (liste déroulante sous Word) et indiquer la suite donnée ou, en cas de maintien de la rédaction initiale, sa justification. Les références OBS et A renvoient à la fiche de revue du 1</w:t>
      </w:r>
      <w:r>
        <w:rPr>
          <w:rFonts w:ascii="Garamond" w:cs="Garamond" w:eastAsia="Garamond" w:hAnsi="Garamond"/>
          <w:color w:val="1F2328"/>
          <w:sz w:val="21"/>
          <w:szCs w:val="21"/>
          <w:vertAlign w:val="superscript"/>
          <w:lang w:val="fr-FR"/>
        </w:rPr>
        <w:t xml:space="preserve">er</w:t>
      </w:r>
      <w:r>
        <w:rPr>
          <w:rFonts w:ascii="Garamond" w:cs="Garamond" w:eastAsia="Garamond" w:hAnsi="Garamond"/>
          <w:color w:val="1F2328"/>
          <w:sz w:val="21"/>
          <w:szCs w:val="21"/>
          <w:lang w:val="fr-FR"/>
        </w:rPr>
        <w:t xml:space="preserve"> octobre 2026.</w:t>
      </w:r>
    </w:p>
    <w:p>
      <w:pPr>
        <w:spacing w:after="40" w:before="0" w:line="252" w:lineRule="auto"/>
      </w:pPr>
      <w:r>
        <w:rPr>
          <w:rFonts w:ascii="Calibri" w:cs="Calibri" w:eastAsia="Calibri" w:hAnsi="Calibri"/>
          <w:b/>
          <w:bCs/>
          <w:caps/>
          <w:color w:val="6B7280"/>
          <w:spacing w:val="20"/>
          <w:sz w:val="14"/>
          <w:szCs w:val="14"/>
          <w:lang w:val="fr-FR"/>
        </w:rPr>
        <w:t xml:space="preserve">Statuts  </w:t>
      </w:r>
      <w:r>
        <w:rPr>
          <w:rFonts w:ascii="Calibri" w:cs="Calibri" w:eastAsia="Calibri" w:hAnsi="Calibri"/>
          <w:b/>
          <w:bCs/>
          <w:color w:val="4A5058"/>
          <w:sz w:val="16"/>
          <w:szCs w:val="16"/>
          <w:lang w:val="fr-FR"/>
        </w:rPr>
        <w:t xml:space="preserve">À CORRIGER  ·  CORRIGÉ  ·  À VÉRIFIER  ·  À ARBITRER  ·  MAINTENU</w:t>
      </w:r>
    </w:p>
    <w:p>
      <w:pPr>
        <w:pStyle w:val="Heading1"/>
        <w:keepNext/>
        <w:keepLines/>
        <w:pBdr>
          <w:left w:val="single" w:color="D9730D" w:sz="18" w:space="5"/>
        </w:pBdr>
        <w:spacing w:after="100" w:before="26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Suivi des observations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2"/>
        <w:gridCol w:w="2835"/>
        <w:gridCol w:w="1049"/>
        <w:gridCol w:w="1389"/>
        <w:gridCol w:w="3827"/>
      </w:tblGrid>
      <w:tr>
        <w:trPr>
          <w:cantSplit/>
          <w:tblHeader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30"/>
              <w:bottom w:type="dxa" w:w="60"/>
              <w:right w:type="dxa" w:w="6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Réf.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6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Objet et localisation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60"/>
            </w:tcMar>
            <w:vAlign w:val="bottom"/>
          </w:tcPr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Priorité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60"/>
            </w:tcMar>
            <w:vAlign w:val="bottom"/>
          </w:tcPr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Statut</w:t>
            </w:r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6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Suite donnée par la structure émettrice</w:t>
            </w: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01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Revenu brut des producteurs de cacao (janvier-juin 2026)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1.1 – Prix du cacao, § 1 ; Conclusion, § 2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B03A12"/>
                <w:sz w:val="16"/>
                <w:szCs w:val="16"/>
                <w:lang w:val="fr-FR"/>
              </w:rPr>
              <w:t xml:space="preserve">■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CRITIQUE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355808012"/>
                <w:dropDownList w:lastValue="À VÉRIFI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VÉRIFIER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02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Production de cacao présentée comme ayant « doublé »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1.1 – Prix du cacao, § 1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D9730D"/>
                <w:sz w:val="16"/>
                <w:szCs w:val="16"/>
                <w:lang w:val="fr-FR"/>
              </w:rPr>
              <w:t xml:space="preserve">▲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MAJEUR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786087736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03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Exportations de café : hausse ou baisse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1.1 – Production du café, § 2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D9730D"/>
                <w:sz w:val="16"/>
                <w:szCs w:val="16"/>
                <w:lang w:val="fr-FR"/>
              </w:rPr>
              <w:t xml:space="preserve">▲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MAJEUR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179144365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04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Objectif de traçabilité « au moins 15 % »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3.1 – SNT, résultats (point 4)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D9730D"/>
                <w:sz w:val="16"/>
                <w:szCs w:val="16"/>
                <w:lang w:val="fr-FR"/>
              </w:rPr>
              <w:t xml:space="preserve">▲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MAJEUR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2142992638"/>
                <w:dropDownList w:lastValue="À ARBITR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ARBITRER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05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Cumuls éducation : nombres en lettres et en chiffres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Partie 3 – Éducation, § 4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D9730D"/>
                <w:sz w:val="16"/>
                <w:szCs w:val="16"/>
                <w:lang w:val="fr-FR"/>
              </w:rPr>
              <w:t xml:space="preserve">▲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MAJEUR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199130909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06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Pompes posées et forages réalisés (2012-2026)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Partie 3 – Hydraulique, § 3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D9730D"/>
                <w:sz w:val="16"/>
                <w:szCs w:val="16"/>
                <w:lang w:val="fr-FR"/>
              </w:rPr>
              <w:t xml:space="preserve">▲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MAJEUR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489847499"/>
                <w:dropDownList w:lastValue="À VÉRIFI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VÉRIFIER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07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Montant logé à la BNI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Partie 3 – Soldes bancaires, § 2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D9730D"/>
                <w:sz w:val="16"/>
                <w:szCs w:val="16"/>
                <w:lang w:val="fr-FR"/>
              </w:rPr>
              <w:t xml:space="preserve">▲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MAJEUR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946837192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08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Plan annoncé en introduction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Introduction, dernier §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6"/>
                <w:szCs w:val="16"/>
                <w:lang w:val="fr-FR"/>
              </w:rPr>
              <w:t xml:space="preserve">●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À CORRIGER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2146445860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09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Dénomination des fonds et programmes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Introduction ; 1.3 ; Tableaux 2, 3, 7 et 8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6"/>
                <w:szCs w:val="16"/>
                <w:lang w:val="fr-FR"/>
              </w:rPr>
              <w:t xml:space="preserve">●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À CORRIGER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320410946"/>
                <w:dropDownList w:lastValue="À VÉRIFI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VÉRIFIER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10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Comparaisons « par rapport à l’année 2025 »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1.2, § 2 ; 1.3, § 2 ; Conclusion, § 5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6"/>
                <w:szCs w:val="16"/>
                <w:lang w:val="fr-FR"/>
              </w:rPr>
              <w:t xml:space="preserve">●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À CORRIGER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998632805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11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Titre du Tableau 3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1.4 – Tableau 3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6"/>
                <w:szCs w:val="16"/>
                <w:lang w:val="fr-FR"/>
              </w:rPr>
              <w:t xml:space="preserve">●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À CORRIGER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579499921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12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Renvoi au Tableau 4 et intitulé de la ligne H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1.5, § 1 ; Tableau 4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6"/>
                <w:szCs w:val="16"/>
                <w:lang w:val="fr-FR"/>
              </w:rPr>
              <w:t xml:space="preserve">●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À CORRIGER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2021583681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13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Dates erronées ou incomplètes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2.1 – Prix du cacao, § 2 ; Tableau 8 ; 3.1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6"/>
                <w:szCs w:val="16"/>
                <w:lang w:val="fr-FR"/>
              </w:rPr>
              <w:t xml:space="preserve">●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À CORRIGER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390703502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14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Tableau 9 non aligné sur le Tableau 10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Partie 3 – Tableau 9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6"/>
                <w:szCs w:val="16"/>
                <w:lang w:val="fr-FR"/>
              </w:rPr>
              <w:t xml:space="preserve">●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À CORRIGER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434626946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15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Hausse de 66,69 % en conclusion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Conclusion, § 5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6"/>
                <w:szCs w:val="16"/>
                <w:lang w:val="fr-FR"/>
              </w:rPr>
              <w:t xml:space="preserve">●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À CORRIGER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295201396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16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Accentuation des majuscules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En-tête ; titres des parties 1 et 2 ; Tableaux 3 et 8 ; signatures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8A9096"/>
                <w:sz w:val="16"/>
                <w:szCs w:val="16"/>
                <w:lang w:val="fr-FR"/>
              </w:rPr>
              <w:t xml:space="preserve">○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FORME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003263729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17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Accords et orthographe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Introduction ; Tableau 2 ; 3.1 ; partie 3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8A9096"/>
                <w:sz w:val="16"/>
                <w:szCs w:val="16"/>
                <w:lang w:val="fr-FR"/>
              </w:rPr>
              <w:t xml:space="preserve">○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FORME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782281530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18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Doublons et mots superflus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Tableaux 1 et 2 ; 3.1 ; partie 3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8A9096"/>
                <w:sz w:val="16"/>
                <w:szCs w:val="16"/>
                <w:lang w:val="fr-FR"/>
              </w:rPr>
              <w:t xml:space="preserve">○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FORME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329582151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19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Écriture des nombres et des unités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1.1 ; 2.1 ; 3.1 ; Partie 3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8A9096"/>
                <w:sz w:val="16"/>
                <w:szCs w:val="16"/>
                <w:lang w:val="fr-FR"/>
              </w:rPr>
              <w:t xml:space="preserve">○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FORME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276416139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20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Règles d’arrondi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Tableau 1 ; 3.1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8A9096"/>
                <w:sz w:val="16"/>
                <w:szCs w:val="16"/>
                <w:lang w:val="fr-FR"/>
              </w:rPr>
              <w:t xml:space="preserve">○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FORME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909043942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21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Période du total d’arrachage (swollen shoot)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3.1 – Swollen shoot, § 4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8A9096"/>
                <w:sz w:val="16"/>
                <w:szCs w:val="16"/>
                <w:lang w:val="fr-FR"/>
              </w:rPr>
              <w:t xml:space="preserve">○</w:t>
            </w:r>
          </w:p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  <w:lang w:val="fr-FR"/>
              </w:rPr>
              <w:t xml:space="preserve">FORME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668820540"/>
                <w:dropDownList w:lastValue="À CORRIG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CORRIGER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B7A4C"/>
                <w:sz w:val="18"/>
                <w:szCs w:val="18"/>
                <w:lang w:val="fr-FR"/>
              </w:rPr>
              <w:t xml:space="preserve">A</w:t>
              <w:noBreakHyphen/>
              <w:t xml:space="preserve">1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Objectif de traçabilité 2025-2026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Lien : OBS</w:t>
              <w:noBreakHyphen/>
              <w:t xml:space="preserve">04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C"/>
                <w:sz w:val="16"/>
                <w:szCs w:val="16"/>
                <w:lang w:val="fr-FR"/>
              </w:rPr>
              <w:t xml:space="preserve">Arbitrage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767676916"/>
                <w:dropDownList w:lastValue="À ARBITR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ARBITRER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  <w:tr>
        <w:trPr>
          <w:cantSplit/>
          <w:trHeight w:val="595" w:hRule="atLeast"/>
        </w:trPr>
        <w:tc>
          <w:tcPr>
            <w:tcW w:type="dxa" w:w="82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B7A4C"/>
                <w:sz w:val="18"/>
                <w:szCs w:val="18"/>
                <w:lang w:val="fr-FR"/>
              </w:rPr>
              <w:t xml:space="preserve">A</w:t>
              <w:noBreakHyphen/>
              <w:t xml:space="preserve">2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Échéances postérieures au 30 juin 2026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Lien : 3.1 ; partie 3 ; introduction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30"/>
              <w:bottom w:type="dxa" w:w="60"/>
              <w:right w:type="dxa" w:w="3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C"/>
                <w:sz w:val="16"/>
                <w:szCs w:val="16"/>
                <w:lang w:val="fr-FR"/>
              </w:rPr>
              <w:t xml:space="preserve">Arbitrage</w:t>
            </w:r>
          </w:p>
        </w:tc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shd w:fill="F4F5F6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 w:line="252" w:lineRule="auto"/>
              <w:jc w:val="center"/>
            </w:pPr>
            <w:sdt>
              <w:sdtPr>
                <w:rPr>
                  <w:rFonts w:ascii="Calibri" w:cs="Calibri" w:eastAsia="Calibri" w:hAnsi="Calibri"/>
                  <w:b/>
                  <w:bCs/>
                  <w:color w:val="1F2328"/>
                  <w:sz w:val="18"/>
                  <w:szCs w:val="18"/>
                  <w:lang w:val="fr-FR"/>
                </w:rPr>
                <w:alias w:val="Statut"/>
                <w:tag w:val="statut"/>
                <w:id w:val="1749515103"/>
                <w:dropDownList w:lastValue="À ARBITRER">
                  <w:listItem w:displayText="À CORRIGER" w:value="À CORRIGER"/>
                  <w:listItem w:displayText="CORRIGÉ" w:value="CORRIGÉ"/>
                  <w:listItem w:displayText="À VÉRIFIER" w:value="À VÉRIFIER"/>
                  <w:listItem w:displayText="À ARBITRER" w:value="À ARBITRER"/>
                  <w:listItem w:displayText="MAINTENU" w:value="MAINTENU"/>
                </w:dropDownList>
              </w:sdtPr>
              <w:sdtContent>
                <w:r>
                  <w:rPr>
                    <w:rFonts w:ascii="Calibri" w:cs="Calibri" w:eastAsia="Calibri" w:hAnsi="Calibri"/>
                    <w:b/>
                    <w:bCs/>
                    <w:color w:val="1F2328"/>
                    <w:sz w:val="18"/>
                    <w:szCs w:val="18"/>
                    <w:lang w:val="fr-FR"/>
                  </w:rPr>
                  <w:t xml:space="preserve">À ARBITRER</w:t>
                </w:r>
              </w:sdtContent>
            </w:sdt>
          </w:p>
        </w:tc>
        <w:tc>
          <w:tcPr>
            <w:tcW w:type="dxa" w:w="382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</w:p>
        </w:tc>
      </w:tr>
    </w:tbl>
    <w:p>
      <w:pPr>
        <w:pStyle w:val="Heading1"/>
        <w:keepNext/>
        <w:keepLines/>
        <w:pBdr>
          <w:left w:val="single" w:color="D9730D" w:sz="18" w:space="5"/>
        </w:pBdr>
        <w:spacing w:after="100" w:before="32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Visas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  <w:tcBorders>
              <w:top w:val="single" w:color="1B7A4C" w:sz="8"/>
              <w:left w:val="single" w:color="E3E6E9" w:sz="4"/>
              <w:bottom w:val="single" w:color="C9CDD2" w:sz="4"/>
              <w:right w:val="single" w:color="E3E6E9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6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Pour la structure émettrice</w:t>
            </w:r>
          </w:p>
          <w:p>
            <w:pPr>
              <w:spacing w:after="900" w:before="0" w:line="252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Nom, fonction et date</w:t>
            </w:r>
          </w:p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Visa</w:t>
            </w:r>
          </w:p>
        </w:tc>
        <w:tc>
          <w:tcPr>
            <w:tcW w:type="dxa" w:w="4961"/>
            <w:tcBorders>
              <w:top w:val="single" w:color="1B7A4C" w:sz="8"/>
              <w:left w:val="single" w:color="E3E6E9" w:sz="4"/>
              <w:bottom w:val="single" w:color="C9CDD2" w:sz="4"/>
              <w:right w:val="single" w:color="E3E6E9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6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Pour le Cabinet – contrôle des corrections</w:t>
            </w:r>
          </w:p>
          <w:p>
            <w:pPr>
              <w:spacing w:after="900" w:before="0" w:line="252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Nom, fonction et date</w:t>
            </w:r>
          </w:p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Visa</w:t>
            </w:r>
          </w:p>
        </w:tc>
      </w:tr>
    </w:tbl>
    <w:sectPr>
      <w:footerReference w:type="default" r:id="rId7"/>
      <w:pgSz w:w="11906" w:h="16838" w:orient="portrait"/>
      <w:pgMar w:top="851" w:right="992" w:bottom="1020" w:left="992" w:header="454" w:footer="48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DePageCabinet"/>
      <w:pBdr>
        <w:top w:val="single" w:color="C9CDD2" w:sz="4" w:space="6"/>
      </w:pBdr>
      <w:tabs>
        <w:tab w:val="right" w:pos="9922"/>
      </w:tabs>
      <w:spacing w:after="0" w:before="0" w:line="252" w:lineRule="auto"/>
    </w:pPr>
    <w:r>
      <w:rPr>
        <w:rFonts w:ascii="Calibri" w:cs="Calibri" w:eastAsia="Calibri" w:hAnsi="Calibri"/>
        <w:color w:val="6B7280"/>
        <w:sz w:val="14"/>
        <w:szCs w:val="14"/>
        <w:lang w:val="fr-FR"/>
      </w:rPr>
      <w:t xml:space="preserve">Cabinet du Ministre  ·  Fiche de suivi des corrections  ·  CCM café-cacao au 30 juin 2026</w:t>
    </w:r>
    <w:r>
      <w:rPr>
        <w:rFonts w:ascii="Calibri" w:cs="Calibri" w:eastAsia="Calibri" w:hAnsi="Calibri"/>
        <w:sz w:val="14"/>
        <w:szCs w:val="14"/>
      </w:rPr>
      <w:tab/>
    </w:r>
    <w:r>
      <w:rPr>
        <w:rFonts w:ascii="Calibri" w:cs="Calibri" w:eastAsia="Calibri" w:hAnsi="Calibri"/>
        <w:color w:val="6B7280"/>
        <w:sz w:val="14"/>
        <w:szCs w:val="14"/>
        <w:lang w:val="fr-FR"/>
      </w:rPr>
      <w:t xml:space="preserve">1</w:t>
    </w:r>
    <w:r>
      <w:rPr>
        <w:rFonts w:ascii="Calibri" w:cs="Calibri" w:eastAsia="Calibri" w:hAnsi="Calibri"/>
        <w:color w:val="6B7280"/>
        <w:sz w:val="14"/>
        <w:szCs w:val="14"/>
        <w:vertAlign w:val="superscript"/>
        <w:lang w:val="fr-FR"/>
      </w:rPr>
      <w:t xml:space="preserve">er</w:t>
    </w:r>
    <w:r>
      <w:rPr>
        <w:rFonts w:ascii="Calibri" w:cs="Calibri" w:eastAsia="Calibri" w:hAnsi="Calibri"/>
        <w:color w:val="6B7280"/>
        <w:sz w:val="14"/>
        <w:szCs w:val="14"/>
        <w:lang w:val="fr-FR"/>
      </w:rPr>
      <w:t xml:space="preserve"> octobre 2026  ·  </w:t>
    </w:r>
    <w:r>
      <w:rPr>
        <w:rFonts w:ascii="Calibri" w:cs="Calibri" w:eastAsia="Calibri" w:hAnsi="Calibri"/>
        <w:color w:val="4A5058"/>
        <w:sz w:val="14"/>
        <w:szCs w:val="14"/>
        <w:lang w:val="fr-FR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1F2328"/>
        <w:sz w:val="22"/>
        <w:szCs w:val="22"/>
        <w:lang w:val="fr-FR"/>
      </w:rPr>
    </w:rPrDefault>
    <w:pPrDefault>
      <w:pPr>
        <w:spacing w:after="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50"/>
      <w:outlineLvl w:val="0"/>
    </w:pPr>
    <w:rPr>
      <w:rFonts w:ascii="Calibri" w:cs="Calibri" w:eastAsia="Calibri" w:hAnsi="Calibri"/>
      <w:b/>
      <w:bCs/>
      <w:color w:val="1B7A4C"/>
      <w:sz w:val="18"/>
      <w:szCs w:val="18"/>
    </w:rPr>
  </w:style>
  <w:style w:type="paragraph" w:styleId="PiedDePageCabinet">
    <w:name w:val="Pied de page Cabinet"/>
    <w:basedOn w:val="Normal"/>
    <w:qFormat/>
    <w:rPr>
      <w:rFonts w:ascii="Calibri" w:cs="Calibri" w:eastAsia="Calibri" w:hAnsi="Calibri"/>
      <w:color w:val="4A5058"/>
      <w:sz w:val="14"/>
      <w:szCs w:val="1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d35b96083e71235bdb1e77794537f25c579b4e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suivi des corrections – CCM café-cacao au 30 juin 2026</dc:title>
  <dc:subject>Suivi des corrections demandées sur la Communication en Conseil des Ministres relative aux redevances café-cacao au 30 juin 2026</dc:subject>
  <dc:creator>Cabinet du Ministre – MINADER</dc:creator>
  <cp:keywords>revue documentaire, Cabinet, MINADER, café-cacao, redevances, Conseil des Ministres</cp:keywords>
  <dc:description>Suivi des corrections demandées sur la Communication en Conseil des Ministres relative aux redevances café-cacao au 30 juin 2026</dc:description>
  <cp:lastModifiedBy>Cabinet du Ministre – MINADER</cp:lastModifiedBy>
  <cp:revision>1</cp:revision>
  <dcterms:created xsi:type="dcterms:W3CDTF">2026-10-01T01:17:20.430Z</dcterms:created>
  <dcterms:modified xsi:type="dcterms:W3CDTF">2026-10-01T01:17:20.430Z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