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Use-Case Flow Specification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Lab 1: Requirements Engineering &amp; UML Use-Case Modelling — Problem Statement #40</w:t>
      </w:r>
    </w:p>
    <w:p>
      <w:pPr>
        <w:spacing w:after="200"/>
      </w:pPr>
      <w:r>
        <w:rPr>
          <w:rFonts w:ascii="Calibri" w:cs="Calibri" w:eastAsia="Calibri" w:hAnsi="Calibri"/>
          <w:color w:val="777777"/>
          <w:sz w:val="16"/>
          <w:szCs w:val="16"/>
        </w:rPr>
        <w:t xml:space="preserve">N Bhuvan Teja  |  PES1UG24CS286  |  Software Engineering  |  5th Semester — 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UC-02 — Pledge Funds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Actor: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Campaign Backer</w:t>
            </w:r>
          </w:p>
        </w:tc>
      </w:tr>
    </w:tbl>
    <w:p>
      <w:pPr>
        <w:spacing w:after="1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Includes: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UC-05 — Process Payment (mandatory)</w:t>
            </w:r>
          </w:p>
        </w:tc>
      </w:tr>
    </w:tbl>
    <w:p>
      <w:pPr>
        <w:spacing w:after="1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Extended by: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UC-06 — Apply Early-Bird Bonus (optional, first 48 hours of a campaign)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Preconditions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Campaign Backer is authenticated and is viewing an active, published campaign that has at least one reward tier defined.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Postconditions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 success: a pledge record exists linking the backer, the selected reward tier, and the authorized payment; the pledged amount is held in escrow against the campaign's milestone ledger. On failure: no pledge record is created and no funds are captured.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Main Success Scenario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 </w:t>
      </w:r>
      <w:r>
        <w:rPr>
          <w:rFonts w:ascii="Calibri" w:cs="Calibri" w:eastAsia="Calibri" w:hAnsi="Calibri"/>
          <w:sz w:val="20"/>
          <w:szCs w:val="20"/>
        </w:rPr>
        <w:t xml:space="preserve">Backer selects “Back This Campaign” on the campaign page. System displays the defined reward tiers and a pledge-amount field.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 </w:t>
      </w:r>
      <w:r>
        <w:rPr>
          <w:rFonts w:ascii="Calibri" w:cs="Calibri" w:eastAsia="Calibri" w:hAnsi="Calibri"/>
          <w:sz w:val="20"/>
          <w:szCs w:val="20"/>
        </w:rPr>
        <w:t xml:space="preserve">Backer selects a reward tier and enters a pledge amount. [If the campaign is within its first 48 hours, UC-06 — Apply Early-Bird Bonus extends this step, applying a bonus multiplier to the backer's reward tier.]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 </w:t>
      </w:r>
      <w:r>
        <w:rPr>
          <w:rFonts w:ascii="Calibri" w:cs="Calibri" w:eastAsia="Calibri" w:hAnsi="Calibri"/>
          <w:sz w:val="20"/>
          <w:szCs w:val="20"/>
        </w:rPr>
        <w:t xml:space="preserve">System validates the entered amount against the selected tier's minimum threshold.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 </w:t>
      </w:r>
      <w:r>
        <w:rPr>
          <w:rFonts w:ascii="Calibri" w:cs="Calibri" w:eastAsia="Calibri" w:hAnsi="Calibri"/>
          <w:sz w:val="20"/>
          <w:szCs w:val="20"/>
        </w:rPr>
        <w:t xml:space="preserve">System invokes UC-05 — Process Payment («include»): it requests payment-method selection from the backer.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 </w:t>
      </w:r>
      <w:r>
        <w:rPr>
          <w:rFonts w:ascii="Calibri" w:cs="Calibri" w:eastAsia="Calibri" w:hAnsi="Calibri"/>
          <w:sz w:val="20"/>
          <w:szCs w:val="20"/>
        </w:rPr>
        <w:t xml:space="preserve">Backer selects a payment method and confirms.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 </w:t>
      </w:r>
      <w:r>
        <w:rPr>
          <w:rFonts w:ascii="Calibri" w:cs="Calibri" w:eastAsia="Calibri" w:hAnsi="Calibri"/>
          <w:sz w:val="20"/>
          <w:szCs w:val="20"/>
        </w:rPr>
        <w:t xml:space="preserve">System submits a tokenized authorization request to the Payment Gateway.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 </w:t>
      </w:r>
      <w:r>
        <w:rPr>
          <w:rFonts w:ascii="Calibri" w:cs="Calibri" w:eastAsia="Calibri" w:hAnsi="Calibri"/>
          <w:sz w:val="20"/>
          <w:szCs w:val="20"/>
        </w:rPr>
        <w:t xml:space="preserve">Payment is authorized.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 </w:t>
      </w:r>
      <w:r>
        <w:rPr>
          <w:rFonts w:ascii="Calibri" w:cs="Calibri" w:eastAsia="Calibri" w:hAnsi="Calibri"/>
          <w:sz w:val="20"/>
          <w:szCs w:val="20"/>
        </w:rPr>
        <w:t xml:space="preserve">System records the pledge — backer, reward tier, and escrowed amount — against the campaign's milestone ledger.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 </w:t>
      </w:r>
      <w:r>
        <w:rPr>
          <w:rFonts w:ascii="Calibri" w:cs="Calibri" w:eastAsia="Calibri" w:hAnsi="Calibri"/>
          <w:sz w:val="20"/>
          <w:szCs w:val="20"/>
        </w:rPr>
        <w:t xml:space="preserve">System displays a confirmation and emails a receipt to the backer.</w:t>
      </w:r>
    </w:p>
    <w:p>
      <w:pPr>
        <w:spacing w:after="40"/>
        <w:ind w:left="260" w:hanging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10.  </w:t>
      </w:r>
      <w:r>
        <w:rPr>
          <w:rFonts w:ascii="Calibri" w:cs="Calibri" w:eastAsia="Calibri" w:hAnsi="Calibri"/>
          <w:sz w:val="20"/>
          <w:szCs w:val="20"/>
        </w:rPr>
        <w:t xml:space="preserve">Use case ends successfully.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Alternate Flow — 6a. Payment Declined</w:t>
      </w:r>
    </w:p>
    <w:p>
      <w:pPr>
        <w:spacing w:after="30"/>
        <w:ind w:left="520" w:hanging="260"/>
      </w:pPr>
      <w:r>
        <w:rPr>
          <w:rFonts w:ascii="Calibri" w:cs="Calibri" w:eastAsia="Calibri" w:hAnsi="Calibri"/>
          <w:b/>
          <w:bCs/>
          <w:color w:val="8A4B00"/>
          <w:sz w:val="19"/>
          <w:szCs w:val="19"/>
        </w:rPr>
        <w:t xml:space="preserve">6a1.  </w:t>
      </w:r>
      <w:r>
        <w:rPr>
          <w:rFonts w:ascii="Calibri" w:cs="Calibri" w:eastAsia="Calibri" w:hAnsi="Calibri"/>
          <w:sz w:val="19"/>
          <w:szCs w:val="19"/>
        </w:rPr>
        <w:t xml:space="preserve">System displays a payment-failed message.</w:t>
      </w:r>
    </w:p>
    <w:p>
      <w:pPr>
        <w:spacing w:after="30"/>
        <w:ind w:left="520" w:hanging="260"/>
      </w:pPr>
      <w:r>
        <w:rPr>
          <w:rFonts w:ascii="Calibri" w:cs="Calibri" w:eastAsia="Calibri" w:hAnsi="Calibri"/>
          <w:b/>
          <w:bCs/>
          <w:color w:val="8A4B00"/>
          <w:sz w:val="19"/>
          <w:szCs w:val="19"/>
        </w:rPr>
        <w:t xml:space="preserve">6a2.  </w:t>
      </w:r>
      <w:r>
        <w:rPr>
          <w:rFonts w:ascii="Calibri" w:cs="Calibri" w:eastAsia="Calibri" w:hAnsi="Calibri"/>
          <w:sz w:val="19"/>
          <w:szCs w:val="19"/>
        </w:rPr>
        <w:t xml:space="preserve">Backer is prompted to select a different payment method.</w:t>
      </w:r>
    </w:p>
    <w:p>
      <w:pPr>
        <w:spacing w:after="30"/>
        <w:ind w:left="520" w:hanging="260"/>
      </w:pPr>
      <w:r>
        <w:rPr>
          <w:rFonts w:ascii="Calibri" w:cs="Calibri" w:eastAsia="Calibri" w:hAnsi="Calibri"/>
          <w:b/>
          <w:bCs/>
          <w:color w:val="8A4B00"/>
          <w:sz w:val="19"/>
          <w:szCs w:val="19"/>
        </w:rPr>
        <w:t xml:space="preserve">6a3.  </w:t>
      </w:r>
      <w:r>
        <w:rPr>
          <w:rFonts w:ascii="Calibri" w:cs="Calibri" w:eastAsia="Calibri" w:hAnsi="Calibri"/>
          <w:sz w:val="19"/>
          <w:szCs w:val="19"/>
        </w:rPr>
        <w:t xml:space="preserve">If payment fails again (second consecutive attempt), the pledge is cancelled, no funds are captured, and the backer is notified. Use case ends in failure.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2026-08-30T08:31:22.626Z</dcterms:created>
  <dcterms:modified xsi:type="dcterms:W3CDTF">2026-08-30T08:31:22.626Z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