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HOME-12 / fictional coordination record / 2026-06-30</w:t>
      </w:r>
    </w:p>
    <w:p>
      <w:r>
        <w:t>The Contractor Programme extract is partial. A governed baseline revision has not been supplied.</w:t>
      </w:r>
    </w:p>
    <w:p>
      <w:r>
        <w:t>Electrical layout excludes the external utility connection. The trade register still lists this interface under H12.99.</w:t>
      </w:r>
    </w:p>
    <w:p>
      <w:r>
        <w:t>No professional relationship decisions or payment certifications have been recorded for this trial.</w:t>
      </w:r>
    </w:p>
  </w:body>
</w:document>
</file>