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NORTHLINE-04 / fictional change notice / 2026-08-01</w:t>
      </w:r>
    </w:p>
    <w:p>
      <w:r>
        <w:t>Separately fabricated data-centre demonstration. No actual client, site, contract or approved reporting cycle.</w:t>
      </w:r>
    </w:p>
    <w:p>
      <w:r>
        <w:t>N-S01 revision A finishes on 2026-08-21. Proposed revision B finishes on 2026-09-04. Applicability is unresolved; neither is an approved delay or approved baseline.</w:t>
      </w:r>
    </w:p>
    <w:p>
      <w:r>
        <w:t>N-C01 is the parent electrical allowance. N-C02 is included in N-C01 and is not additive. No commissioning cost allocation is supplied; absence is not zero cost.</w:t>
      </w:r>
    </w:p>
    <w:p>
      <w:r>
        <w:t>N-P01 covers parent-level electrical installation, including commissioning. Its scope is not a child-level assignment or value allocation. N-P02 is switchboard supply only.</w:t>
      </w:r>
    </w:p>
    <w:p>
      <w:r>
        <w:t>All connections are source-supported proposals or unresolved assertions. No individual professional decisions, whole-version approvals or payment certifications have been recorded.</w:t>
      </w:r>
    </w:p>
  </w:body>
</w:document>
</file>