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C83B1" w14:textId="1256E0ED" w:rsidR="00194966" w:rsidRDefault="00A64D14" w:rsidP="00A64D14">
      <w:pPr>
        <w:pStyle w:val="Heading1"/>
      </w:pPr>
      <w:proofErr w:type="spellStart"/>
      <w:r>
        <w:t>Wieloagentowy</w:t>
      </w:r>
      <w:proofErr w:type="spellEnd"/>
      <w:r>
        <w:t xml:space="preserve"> symulator dystrybucji</w:t>
      </w:r>
    </w:p>
    <w:p w14:paraId="29FFADE8" w14:textId="50BB2336" w:rsidR="00A64D14" w:rsidRDefault="00A64D14" w:rsidP="00A64D14">
      <w:pPr>
        <w:pStyle w:val="Subtitle"/>
      </w:pPr>
      <w:r>
        <w:t>Instrukcja dla użytkownika (klienta)</w:t>
      </w:r>
    </w:p>
    <w:p w14:paraId="3642A875" w14:textId="59563798" w:rsidR="00A64D14" w:rsidRPr="00A64D14" w:rsidRDefault="00A64D14" w:rsidP="00A64D14">
      <w:pPr>
        <w:pStyle w:val="Heading2"/>
      </w:pPr>
      <w:r>
        <w:t>Menu główne</w:t>
      </w:r>
    </w:p>
    <w:p w14:paraId="513DB49B" w14:textId="3E8355D9" w:rsidR="00BA5BFF" w:rsidRDefault="00A64D14" w:rsidP="00A64D14">
      <w:r>
        <w:t xml:space="preserve">Po wejściu na stronę główną aplikacji przez przeglądarkę (wpisując odpowiedni URL) wyświetlane jest menu główne. Przyciskiem „Nowa </w:t>
      </w:r>
      <w:r w:rsidR="00BA5BFF">
        <w:t>s</w:t>
      </w:r>
      <w:r>
        <w:t>ymulacja” przechodzimy do kreatora symulacji (</w:t>
      </w:r>
      <w:proofErr w:type="gramStart"/>
      <w:r>
        <w:t>strony</w:t>
      </w:r>
      <w:proofErr w:type="gramEnd"/>
      <w:r>
        <w:t xml:space="preserve"> na której za pomocą formularzy będziemy mogli wprowadzać żądane parametry symulacji). Jeśli już wcześniej w danej sesji symulowaliśmy, to za pomocą przycisku „Symulacja” można bezpośrednio przejść do „starej” symulacji, w innym przypadku przycisk „Symulacja” jest zablokowany. [Funkcja niedostępna] Za pomocą przycisku „Załaduj” można</w:t>
      </w:r>
      <w:r w:rsidR="00BA5BFF">
        <w:t xml:space="preserve"> wczytać plik zawierający symulację, dzięki czemu będziemy mogli wprowadzać zmiany do zadanego obrazu. [Funkcja niedostępna] Kolejnym przyciskiem są „Opcje”, w których to można dokonać zmiany szaty graficznej symulacji (np. ikony pojazdu, kolorystyki itp.) oraz np. dźwięku. „Autorzy” zawiera krótką informację o wykonawcach. [Funkcja niedostępna] W lewym dolnym rogu znajduje się</w:t>
      </w:r>
      <w:r w:rsidR="00BA5BFF">
        <w:t xml:space="preserve"> „?” -</w:t>
      </w:r>
      <w:r w:rsidR="00BA5BFF">
        <w:t xml:space="preserve"> pomoc wraz ze wskazówkami.</w:t>
      </w:r>
    </w:p>
    <w:p w14:paraId="30AAB842" w14:textId="77777777" w:rsidR="000B5C1C" w:rsidRDefault="000B5C1C" w:rsidP="00BA5BFF">
      <w:pPr>
        <w:jc w:val="center"/>
        <w:rPr>
          <w:noProof/>
        </w:rPr>
      </w:pPr>
    </w:p>
    <w:p w14:paraId="3D5DD511" w14:textId="51257AF4" w:rsidR="001144FA" w:rsidRDefault="000B5C1C" w:rsidP="001144FA">
      <w:pPr>
        <w:jc w:val="center"/>
      </w:pPr>
      <w:r>
        <w:rPr>
          <w:noProof/>
        </w:rPr>
        <w:drawing>
          <wp:inline distT="0" distB="0" distL="0" distR="0" wp14:anchorId="2462F831" wp14:editId="7A02E74D">
            <wp:extent cx="2614457" cy="337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947"/>
                    <a:stretch/>
                  </pic:blipFill>
                  <pic:spPr bwMode="auto">
                    <a:xfrm>
                      <a:off x="0" y="0"/>
                      <a:ext cx="2635505" cy="340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AB537" w14:textId="58BC1152" w:rsidR="001144FA" w:rsidRDefault="001144FA" w:rsidP="001144FA">
      <w:pPr>
        <w:jc w:val="center"/>
      </w:pPr>
    </w:p>
    <w:p w14:paraId="41F16CF4" w14:textId="65ED9146" w:rsidR="001144FA" w:rsidRDefault="001144FA" w:rsidP="001144FA">
      <w:pPr>
        <w:jc w:val="center"/>
      </w:pPr>
    </w:p>
    <w:p w14:paraId="65EB12F4" w14:textId="06430365" w:rsidR="001144FA" w:rsidRDefault="001144FA" w:rsidP="001144FA">
      <w:pPr>
        <w:jc w:val="center"/>
      </w:pPr>
    </w:p>
    <w:p w14:paraId="53E5EA9E" w14:textId="3666A0B1" w:rsidR="001144FA" w:rsidRDefault="001144FA" w:rsidP="001144FA">
      <w:pPr>
        <w:jc w:val="center"/>
      </w:pPr>
    </w:p>
    <w:p w14:paraId="1A2F725B" w14:textId="2942CE8C" w:rsidR="001144FA" w:rsidRDefault="001144FA" w:rsidP="001144FA">
      <w:pPr>
        <w:jc w:val="center"/>
      </w:pPr>
    </w:p>
    <w:p w14:paraId="02FAA143" w14:textId="77777777" w:rsidR="001144FA" w:rsidRDefault="001144FA" w:rsidP="001144FA">
      <w:pPr>
        <w:jc w:val="center"/>
      </w:pPr>
    </w:p>
    <w:p w14:paraId="00767750" w14:textId="53C3B5DB" w:rsidR="00BA5BFF" w:rsidRDefault="00BA5BFF" w:rsidP="00BA5BFF">
      <w:pPr>
        <w:pStyle w:val="Heading2"/>
      </w:pPr>
      <w:r>
        <w:lastRenderedPageBreak/>
        <w:t>Kreator</w:t>
      </w:r>
    </w:p>
    <w:p w14:paraId="35D8D04E" w14:textId="0013E753" w:rsidR="00BA5BFF" w:rsidRDefault="00BA5BFF" w:rsidP="00BA5BFF">
      <w:r>
        <w:t xml:space="preserve">Po wybraniu w menu głównym „Nowej symulacji” zostaniemy przekierowani na stronę z formularzami. Aby przejść do symulacji należy </w:t>
      </w:r>
      <w:r w:rsidRPr="000B5C1C">
        <w:rPr>
          <w:b/>
          <w:bCs/>
        </w:rPr>
        <w:t>wypełnić formularze i wszystkie zatwierdzić</w:t>
      </w:r>
      <w:r>
        <w:t xml:space="preserve"> przyciskiem „Zatwierdź”</w:t>
      </w:r>
      <w:r w:rsidR="00EB34E6">
        <w:t xml:space="preserve"> znajdującym się na końcu każdego formularza</w:t>
      </w:r>
      <w:r w:rsidR="000B5C1C">
        <w:t>, a następnie kliknąć „Symuluj” na dolnym pasku, skrajny lewy przycisk</w:t>
      </w:r>
      <w:r w:rsidR="00EB34E6">
        <w:t>.</w:t>
      </w:r>
      <w:r w:rsidR="000B5C1C">
        <w:t xml:space="preserve"> Jeśli wypełnimy coś niepoprawnie, otrzymamy stosowny komunikat. Przed przejściem do formularza „Transport” należy uprzednio wypełnić i zatwierdzić „Miasta”. Na pasku zadań są jeszcze trzy przyciski które działają analogicznie do ich nazw.</w:t>
      </w:r>
      <w:r w:rsidR="006C60FB">
        <w:t xml:space="preserve"> [„Zapisz parametry” oraz „Załaduj parametry” niedostępne]</w:t>
      </w:r>
    </w:p>
    <w:p w14:paraId="2AD8C4C6" w14:textId="77777777" w:rsidR="000B5C1C" w:rsidRDefault="000B5C1C" w:rsidP="00BA5BFF">
      <w:pPr>
        <w:rPr>
          <w:noProof/>
        </w:rPr>
      </w:pPr>
    </w:p>
    <w:p w14:paraId="77B9472C" w14:textId="0CB791F6" w:rsidR="000B5C1C" w:rsidRDefault="000B5C1C" w:rsidP="00BA5BFF">
      <w:r>
        <w:rPr>
          <w:noProof/>
        </w:rPr>
        <w:drawing>
          <wp:inline distT="0" distB="0" distL="0" distR="0" wp14:anchorId="7D581640" wp14:editId="3B4CCF40">
            <wp:extent cx="5793119" cy="3377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977"/>
                    <a:stretch/>
                  </pic:blipFill>
                  <pic:spPr bwMode="auto">
                    <a:xfrm>
                      <a:off x="0" y="0"/>
                      <a:ext cx="5824856" cy="339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3526C" w14:textId="226DC9EF" w:rsidR="001144FA" w:rsidRDefault="001144FA" w:rsidP="001144FA"/>
    <w:p w14:paraId="68E8A15A" w14:textId="3F82D722" w:rsidR="001144FA" w:rsidRDefault="001144FA" w:rsidP="001144FA"/>
    <w:p w14:paraId="1983FA3D" w14:textId="7723A330" w:rsidR="001144FA" w:rsidRDefault="001144FA" w:rsidP="001144FA"/>
    <w:p w14:paraId="2D386F03" w14:textId="69078241" w:rsidR="001144FA" w:rsidRDefault="001144FA" w:rsidP="001144FA"/>
    <w:p w14:paraId="601CF258" w14:textId="518A080A" w:rsidR="001144FA" w:rsidRDefault="001144FA" w:rsidP="001144FA"/>
    <w:p w14:paraId="37633AF4" w14:textId="74D97BE1" w:rsidR="001144FA" w:rsidRDefault="001144FA" w:rsidP="001144FA"/>
    <w:p w14:paraId="56724D64" w14:textId="7A0FC978" w:rsidR="001144FA" w:rsidRDefault="001144FA" w:rsidP="001144FA"/>
    <w:p w14:paraId="4AB1001F" w14:textId="035E8519" w:rsidR="001144FA" w:rsidRDefault="001144FA" w:rsidP="001144FA"/>
    <w:p w14:paraId="5C24CFC5" w14:textId="0B43A18B" w:rsidR="001144FA" w:rsidRDefault="001144FA" w:rsidP="001144FA"/>
    <w:p w14:paraId="3C991754" w14:textId="5820D671" w:rsidR="001144FA" w:rsidRDefault="001144FA" w:rsidP="001144FA"/>
    <w:p w14:paraId="508F9C32" w14:textId="77777777" w:rsidR="001144FA" w:rsidRDefault="001144FA" w:rsidP="001144FA"/>
    <w:p w14:paraId="79673752" w14:textId="640936FE" w:rsidR="000B5C1C" w:rsidRDefault="000B5C1C" w:rsidP="000B5C1C">
      <w:pPr>
        <w:pStyle w:val="Heading2"/>
      </w:pPr>
      <w:r>
        <w:lastRenderedPageBreak/>
        <w:t>Symulacja</w:t>
      </w:r>
    </w:p>
    <w:p w14:paraId="7690F2FA" w14:textId="6E9E99A9" w:rsidR="001144FA" w:rsidRPr="006C60FB" w:rsidRDefault="006C60FB" w:rsidP="000B5C1C">
      <w:r>
        <w:t>Symulacją sterujemy za pomocą przycisków na dolnym pasku, gdzie również znajduje się przycisk „Modyfikacje”. Obsługujemy je jak przy oglądaniu filmu – mamy tryby: pauzy (</w:t>
      </w:r>
      <w:proofErr w:type="spellStart"/>
      <w:r>
        <w:t>pause</w:t>
      </w:r>
      <w:proofErr w:type="spellEnd"/>
      <w:r>
        <w:t>), czas normalny (</w:t>
      </w:r>
      <w:proofErr w:type="spellStart"/>
      <w:r>
        <w:t>play</w:t>
      </w:r>
      <w:proofErr w:type="spellEnd"/>
      <w:r>
        <w:t xml:space="preserve">), </w:t>
      </w:r>
      <w:r w:rsidR="001144FA">
        <w:t>przyspieszenie</w:t>
      </w:r>
      <w:r>
        <w:t xml:space="preserve"> do przodu (</w:t>
      </w:r>
      <w:proofErr w:type="spellStart"/>
      <w:r>
        <w:t>forward</w:t>
      </w:r>
      <w:proofErr w:type="spellEnd"/>
      <w:r>
        <w:t xml:space="preserve">), </w:t>
      </w:r>
      <w:r w:rsidR="001144FA">
        <w:t>większe przyspieszenie</w:t>
      </w:r>
      <w:r>
        <w:t xml:space="preserve"> do przodu (fast </w:t>
      </w:r>
      <w:proofErr w:type="spellStart"/>
      <w:r>
        <w:t>forward</w:t>
      </w:r>
      <w:proofErr w:type="spellEnd"/>
      <w:r>
        <w:t>) i analogicznie do tyłu. „</w:t>
      </w:r>
      <w:r w:rsidRPr="006C60FB">
        <w:rPr>
          <w:b/>
          <w:bCs/>
        </w:rPr>
        <w:t>Modyfikacje</w:t>
      </w:r>
      <w:r>
        <w:rPr>
          <w:b/>
          <w:bCs/>
        </w:rPr>
        <w:t>”</w:t>
      </w:r>
      <w:r>
        <w:t xml:space="preserve"> na mapie możemy wprowadzać tylko i wyłącznie </w:t>
      </w:r>
      <w:r w:rsidRPr="006C60FB">
        <w:rPr>
          <w:b/>
          <w:bCs/>
        </w:rPr>
        <w:t>w trybie pauzy</w:t>
      </w:r>
      <w:r>
        <w:rPr>
          <w:b/>
          <w:bCs/>
        </w:rPr>
        <w:t xml:space="preserve">. </w:t>
      </w:r>
      <w:r w:rsidRPr="006C60FB">
        <w:t>Po k</w:t>
      </w:r>
      <w:r>
        <w:t>liknięciu przycisku wysunie nam się menu z możliwymi modyfikacjami. Naraz można wprowadzać tylko jedną modyfikację. W tym celu należy wybrać odpowiedni przycisk. Blokady i korki można ustawiać dowolnie na mapie [</w:t>
      </w:r>
      <w:r w:rsidRPr="001144FA">
        <w:rPr>
          <w:b/>
          <w:bCs/>
        </w:rPr>
        <w:t>jeśli chcemy ustawić blokadę na drodze, to należy blisko trasy</w:t>
      </w:r>
      <w:r>
        <w:t xml:space="preserve"> ją postawić (przy klikaniu na trasę nie ustawimy blokad/korków – droga oddzielnym obiektem nieobsługującym zdarzenia ‘</w:t>
      </w:r>
      <w:proofErr w:type="spellStart"/>
      <w:r>
        <w:t>click</w:t>
      </w:r>
      <w:proofErr w:type="spellEnd"/>
      <w:r>
        <w:t>’)]. Kolejne trzy modyfikacje</w:t>
      </w:r>
      <w:r w:rsidR="001144FA">
        <w:t xml:space="preserve"> wprowadzamy</w:t>
      </w:r>
      <w:bookmarkStart w:id="0" w:name="_GoBack"/>
      <w:bookmarkEnd w:id="0"/>
      <w:r w:rsidR="001144FA">
        <w:t xml:space="preserve"> klikając na pojazdy. </w:t>
      </w:r>
      <w:r w:rsidR="001144FA" w:rsidRPr="001144FA">
        <w:rPr>
          <w:b/>
          <w:bCs/>
        </w:rPr>
        <w:t>Aby wprowadzić zmiany należy kliknąć przycisk „Zatwierdź modyfikacje”</w:t>
      </w:r>
      <w:r w:rsidR="001144FA">
        <w:rPr>
          <w:b/>
          <w:bCs/>
        </w:rPr>
        <w:t xml:space="preserve">. </w:t>
      </w:r>
      <w:r w:rsidR="001144FA" w:rsidRPr="001144FA">
        <w:t xml:space="preserve">W </w:t>
      </w:r>
      <w:r w:rsidR="001144FA">
        <w:t>przeciwnym wypadku przy zamknięciu panelu lub zmiany trybu symulacji (</w:t>
      </w:r>
      <w:proofErr w:type="spellStart"/>
      <w:r w:rsidR="001144FA">
        <w:t>pause</w:t>
      </w:r>
      <w:proofErr w:type="spellEnd"/>
      <w:r w:rsidR="001144FA">
        <w:t xml:space="preserve">, </w:t>
      </w:r>
      <w:proofErr w:type="spellStart"/>
      <w:r w:rsidR="001144FA">
        <w:t>play</w:t>
      </w:r>
      <w:proofErr w:type="spellEnd"/>
      <w:r w:rsidR="001144FA">
        <w:t xml:space="preserve">, …) modyfikacje zostaną anulowane. Po prawej stronie symulacji możemy wysunąć panel, który zawiera informacje transportach oraz ich statusach. Dodatkową </w:t>
      </w:r>
      <w:r w:rsidR="001144FA" w:rsidRPr="001144FA">
        <w:rPr>
          <w:b/>
          <w:bCs/>
        </w:rPr>
        <w:t>informację o pojazdach</w:t>
      </w:r>
      <w:r w:rsidR="001144FA">
        <w:t xml:space="preserve"> możemy uzyskać </w:t>
      </w:r>
      <w:r w:rsidR="001144FA" w:rsidRPr="001144FA">
        <w:rPr>
          <w:b/>
          <w:bCs/>
        </w:rPr>
        <w:t>najeżdżając kursorem na pojazd</w:t>
      </w:r>
      <w:r w:rsidR="001144FA">
        <w:t xml:space="preserve">. Na dolnym pasku są </w:t>
      </w:r>
      <w:r w:rsidR="001144FA">
        <w:t>przyciski które działają analogicznie do ich nazw</w:t>
      </w:r>
      <w:r w:rsidR="001144FA">
        <w:t xml:space="preserve">. </w:t>
      </w:r>
      <w:r w:rsidR="001144FA">
        <w:t xml:space="preserve">[„Zapisz </w:t>
      </w:r>
      <w:r w:rsidR="001144FA">
        <w:t>symulacje</w:t>
      </w:r>
      <w:r w:rsidR="001144FA">
        <w:t xml:space="preserve">” oraz „Załaduj </w:t>
      </w:r>
      <w:r w:rsidR="001144FA">
        <w:t>symulacje</w:t>
      </w:r>
      <w:r w:rsidR="001144FA">
        <w:t>” niedostępne]</w:t>
      </w:r>
    </w:p>
    <w:p w14:paraId="58DF2445" w14:textId="1E7C1FA4" w:rsidR="000B5C1C" w:rsidRPr="000B5C1C" w:rsidRDefault="006C60FB" w:rsidP="000B5C1C">
      <w:r>
        <w:rPr>
          <w:noProof/>
        </w:rPr>
        <w:drawing>
          <wp:inline distT="0" distB="0" distL="0" distR="0" wp14:anchorId="211C00EB" wp14:editId="7C2E7CF1">
            <wp:extent cx="5724525" cy="29003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2"/>
                    <a:stretch/>
                  </pic:blipFill>
                  <pic:spPr bwMode="auto">
                    <a:xfrm>
                      <a:off x="0" y="0"/>
                      <a:ext cx="5724525" cy="29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5C1C" w:rsidRPr="000B5C1C" w:rsidSect="001144FA">
      <w:pgSz w:w="11906" w:h="16838"/>
      <w:pgMar w:top="141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F43"/>
    <w:rsid w:val="000275E0"/>
    <w:rsid w:val="000B5C1C"/>
    <w:rsid w:val="001144FA"/>
    <w:rsid w:val="00194966"/>
    <w:rsid w:val="006C60FB"/>
    <w:rsid w:val="007840AA"/>
    <w:rsid w:val="00A64D14"/>
    <w:rsid w:val="00B47F43"/>
    <w:rsid w:val="00BA5BFF"/>
    <w:rsid w:val="00EB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30028"/>
  <w15:chartTrackingRefBased/>
  <w15:docId w15:val="{8BABF2BC-8003-46E3-B1DF-9107715E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D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D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D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64D14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A64D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431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Rokicki</dc:creator>
  <cp:keywords/>
  <dc:description/>
  <cp:lastModifiedBy>Wojciech Rokicki</cp:lastModifiedBy>
  <cp:revision>5</cp:revision>
  <dcterms:created xsi:type="dcterms:W3CDTF">2020-01-19T22:43:00Z</dcterms:created>
  <dcterms:modified xsi:type="dcterms:W3CDTF">2020-01-19T23:43:00Z</dcterms:modified>
</cp:coreProperties>
</file>