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3E97" w14:textId="3F2E0CFA" w:rsidR="00464AE9" w:rsidRPr="00E635A9" w:rsidRDefault="005B0260">
      <w:pPr>
        <w:rPr>
          <w:rFonts w:ascii="Times New Roman" w:hAnsi="Times New Roman" w:cs="Times New Roman"/>
          <w:sz w:val="24"/>
          <w:szCs w:val="24"/>
        </w:rPr>
      </w:pPr>
      <w:r>
        <w:rPr>
          <w:rFonts w:ascii="Times New Roman" w:hAnsi="Times New Roman" w:cs="Times New Roman"/>
          <w:sz w:val="24"/>
          <w:szCs w:val="24"/>
        </w:rPr>
        <w:t>Red Spruce Transcriptomics</w:t>
      </w:r>
      <w:r w:rsidR="00E960C0">
        <w:rPr>
          <w:rFonts w:ascii="Times New Roman" w:hAnsi="Times New Roman" w:cs="Times New Roman"/>
          <w:sz w:val="24"/>
          <w:szCs w:val="24"/>
        </w:rPr>
        <w:t xml:space="preserve"> -</w:t>
      </w:r>
      <w:r w:rsidR="00F113D1" w:rsidRPr="00E635A9">
        <w:rPr>
          <w:rFonts w:ascii="Times New Roman" w:hAnsi="Times New Roman" w:cs="Times New Roman"/>
          <w:sz w:val="24"/>
          <w:szCs w:val="24"/>
        </w:rPr>
        <w:t xml:space="preserve"> Zoe Portlas</w:t>
      </w:r>
    </w:p>
    <w:p w14:paraId="2BAECAF7" w14:textId="438B2EF9" w:rsidR="00F113D1"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Background</w:t>
      </w:r>
    </w:p>
    <w:p w14:paraId="68BB4E70" w14:textId="77777777" w:rsidR="00ED0036" w:rsidRDefault="00E635A9" w:rsidP="00152603">
      <w:pPr>
        <w:ind w:firstLine="720"/>
        <w:rPr>
          <w:rFonts w:ascii="Times New Roman" w:hAnsi="Times New Roman" w:cs="Times New Roman"/>
          <w:sz w:val="24"/>
          <w:szCs w:val="24"/>
        </w:rPr>
      </w:pPr>
      <w:r>
        <w:rPr>
          <w:rFonts w:ascii="Times New Roman" w:hAnsi="Times New Roman" w:cs="Times New Roman"/>
          <w:sz w:val="24"/>
          <w:szCs w:val="24"/>
        </w:rPr>
        <w:t>Red Spruce (</w:t>
      </w:r>
      <w:proofErr w:type="spellStart"/>
      <w:r>
        <w:rPr>
          <w:rFonts w:ascii="Times New Roman" w:hAnsi="Times New Roman" w:cs="Times New Roman"/>
          <w:i/>
          <w:iCs/>
          <w:sz w:val="24"/>
          <w:szCs w:val="24"/>
        </w:rPr>
        <w:t>Picea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rubens</w:t>
      </w:r>
      <w:proofErr w:type="spellEnd"/>
      <w:r>
        <w:rPr>
          <w:rFonts w:ascii="Times New Roman" w:hAnsi="Times New Roman" w:cs="Times New Roman"/>
          <w:sz w:val="24"/>
          <w:szCs w:val="24"/>
        </w:rPr>
        <w:t xml:space="preserve">) is a montane tree native to the Eastern United States and Canada. Its habitat is usually characterized as cool and moist (Blum, 1990), but it can also exist in warmer and drier sites. In this experiment, sites were separated by their climate of origin either being cool and wet or hot and dry based on the precipitation of the warmest quarter and the temperature of the warmest month. The expression of individuals from these habitats was assessed in response to a heat and a heat and drought </w:t>
      </w:r>
      <w:r w:rsidR="00ED0036">
        <w:rPr>
          <w:rFonts w:ascii="Times New Roman" w:hAnsi="Times New Roman" w:cs="Times New Roman"/>
          <w:sz w:val="24"/>
          <w:szCs w:val="24"/>
        </w:rPr>
        <w:t>treatment.</w:t>
      </w:r>
    </w:p>
    <w:p w14:paraId="42095484" w14:textId="5BBE2439" w:rsidR="00D93DEA" w:rsidRDefault="00ED0036" w:rsidP="00152603">
      <w:pPr>
        <w:ind w:firstLine="720"/>
        <w:rPr>
          <w:rFonts w:ascii="Times New Roman" w:hAnsi="Times New Roman" w:cs="Times New Roman"/>
          <w:sz w:val="24"/>
          <w:szCs w:val="24"/>
        </w:rPr>
      </w:pPr>
      <w:r>
        <w:rPr>
          <w:rFonts w:ascii="Times New Roman" w:hAnsi="Times New Roman" w:cs="Times New Roman"/>
          <w:sz w:val="24"/>
          <w:szCs w:val="24"/>
        </w:rPr>
        <w:t xml:space="preserve">There were ten maternal families in the experiment, five families from each source climate, and there were three treatment groups in the experiment. </w:t>
      </w:r>
      <w:r w:rsidR="00DE406E">
        <w:rPr>
          <w:rFonts w:ascii="Times New Roman" w:hAnsi="Times New Roman" w:cs="Times New Roman"/>
          <w:sz w:val="24"/>
          <w:szCs w:val="24"/>
        </w:rPr>
        <w:t xml:space="preserve">Seedlings were grown in a common garden environment for 10 weeks and then moved to growth chambers under control conditions for 2 weeks before beginning the 3 treatments. </w:t>
      </w:r>
      <w:r>
        <w:rPr>
          <w:rFonts w:ascii="Times New Roman" w:hAnsi="Times New Roman" w:cs="Times New Roman"/>
          <w:sz w:val="24"/>
          <w:szCs w:val="24"/>
        </w:rPr>
        <w:t xml:space="preserve">The control group was watered every day and had a 16:8 L:D photoperiod, meaning a cycle of 16 hours of light at 23 °C followed by 8 hours of dark at 17 °C. The heat group experienced the same watering and photoperiod, but there was a 50% increase of temperature, so light/day was at 35 </w:t>
      </w:r>
      <w:r>
        <w:rPr>
          <w:rFonts w:ascii="Times New Roman" w:hAnsi="Times New Roman" w:cs="Times New Roman"/>
          <w:sz w:val="24"/>
          <w:szCs w:val="24"/>
        </w:rPr>
        <w:t>°C</w:t>
      </w:r>
      <w:r>
        <w:rPr>
          <w:rFonts w:ascii="Times New Roman" w:hAnsi="Times New Roman" w:cs="Times New Roman"/>
          <w:sz w:val="24"/>
          <w:szCs w:val="24"/>
        </w:rPr>
        <w:t xml:space="preserve"> and dark/night was at 26 </w:t>
      </w:r>
      <w:r>
        <w:rPr>
          <w:rFonts w:ascii="Times New Roman" w:hAnsi="Times New Roman" w:cs="Times New Roman"/>
          <w:sz w:val="24"/>
          <w:szCs w:val="24"/>
        </w:rPr>
        <w:t>°C</w:t>
      </w:r>
      <w:r>
        <w:rPr>
          <w:rFonts w:ascii="Times New Roman" w:hAnsi="Times New Roman" w:cs="Times New Roman"/>
          <w:sz w:val="24"/>
          <w:szCs w:val="24"/>
        </w:rPr>
        <w:t>. Finally, the heat/drought group experienced the same photoperiod and temperatures as the heat group, but in addition, water was withheld.</w:t>
      </w:r>
    </w:p>
    <w:p w14:paraId="1430B76A" w14:textId="0F4AF2DF" w:rsidR="00ED0036" w:rsidRPr="00E635A9" w:rsidRDefault="00ED0036" w:rsidP="00152603">
      <w:pPr>
        <w:ind w:firstLine="720"/>
        <w:rPr>
          <w:rFonts w:ascii="Times New Roman" w:hAnsi="Times New Roman" w:cs="Times New Roman"/>
          <w:sz w:val="24"/>
          <w:szCs w:val="24"/>
        </w:rPr>
      </w:pPr>
      <w:r>
        <w:rPr>
          <w:rFonts w:ascii="Times New Roman" w:hAnsi="Times New Roman" w:cs="Times New Roman"/>
          <w:sz w:val="24"/>
          <w:szCs w:val="24"/>
        </w:rPr>
        <w:t>Tissue was sampled on days 0, 5, and 10 for each of the groups. RNA was extracted from the whole seedlings, which includes root, stem, and needle tissue. This analysis focuses on the samples from day 10, which had 5 reps per source climate and treatment (total n = 30)</w:t>
      </w:r>
      <w:r w:rsidR="000C65B4">
        <w:rPr>
          <w:rFonts w:ascii="Times New Roman" w:hAnsi="Times New Roman" w:cs="Times New Roman"/>
          <w:sz w:val="24"/>
          <w:szCs w:val="24"/>
        </w:rPr>
        <w:t>.</w:t>
      </w:r>
      <w:r w:rsidR="00C40313">
        <w:rPr>
          <w:rFonts w:ascii="Times New Roman" w:hAnsi="Times New Roman" w:cs="Times New Roman"/>
          <w:sz w:val="24"/>
          <w:szCs w:val="24"/>
        </w:rPr>
        <w:t xml:space="preserve"> Samples were quantified for RNA quantity and concentration on a Bioanalyzer, which is a chip based capillary electrophoresis machine. Samples with more than 1 ng/</w:t>
      </w:r>
      <w:proofErr w:type="spellStart"/>
      <w:r w:rsidR="00C40313">
        <w:rPr>
          <w:rFonts w:ascii="Times New Roman" w:hAnsi="Times New Roman" w:cs="Times New Roman"/>
          <w:sz w:val="24"/>
          <w:szCs w:val="24"/>
        </w:rPr>
        <w:t>μL</w:t>
      </w:r>
      <w:proofErr w:type="spellEnd"/>
      <w:r w:rsidR="00C40313">
        <w:rPr>
          <w:rFonts w:ascii="Times New Roman" w:hAnsi="Times New Roman" w:cs="Times New Roman"/>
          <w:sz w:val="24"/>
          <w:szCs w:val="24"/>
        </w:rPr>
        <w:t xml:space="preserve"> were sent to Cornell for 3’ tag sequencing</w:t>
      </w:r>
      <w:r w:rsidR="00152603">
        <w:rPr>
          <w:rFonts w:ascii="Times New Roman" w:hAnsi="Times New Roman" w:cs="Times New Roman"/>
          <w:sz w:val="24"/>
          <w:szCs w:val="24"/>
        </w:rPr>
        <w:t xml:space="preserve">. Library prep followed the </w:t>
      </w:r>
      <w:proofErr w:type="spellStart"/>
      <w:r w:rsidR="00152603">
        <w:rPr>
          <w:rFonts w:ascii="Times New Roman" w:hAnsi="Times New Roman" w:cs="Times New Roman"/>
          <w:sz w:val="24"/>
          <w:szCs w:val="24"/>
        </w:rPr>
        <w:t>LexoGen</w:t>
      </w:r>
      <w:proofErr w:type="spellEnd"/>
      <w:r w:rsidR="00152603">
        <w:rPr>
          <w:rFonts w:ascii="Times New Roman" w:hAnsi="Times New Roman" w:cs="Times New Roman"/>
          <w:sz w:val="24"/>
          <w:szCs w:val="24"/>
        </w:rPr>
        <w:t xml:space="preserve"> protocol for 3’ tag sequencing, which is useful for detecting short transcripts.</w:t>
      </w:r>
    </w:p>
    <w:p w14:paraId="37A71E62" w14:textId="6DDC5FBD"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Bioinformatics</w:t>
      </w:r>
    </w:p>
    <w:p w14:paraId="5B55648B" w14:textId="5CCDF213" w:rsidR="00DD3769" w:rsidRDefault="00DD3769" w:rsidP="00F7788D">
      <w:pPr>
        <w:ind w:firstLine="720"/>
        <w:rPr>
          <w:rFonts w:ascii="Times New Roman" w:hAnsi="Times New Roman" w:cs="Times New Roman"/>
          <w:sz w:val="24"/>
          <w:szCs w:val="24"/>
        </w:rPr>
      </w:pPr>
      <w:r>
        <w:rPr>
          <w:rFonts w:ascii="Times New Roman" w:hAnsi="Times New Roman" w:cs="Times New Roman"/>
          <w:sz w:val="24"/>
          <w:szCs w:val="24"/>
        </w:rPr>
        <w:t xml:space="preserve">The quality of the reads was </w:t>
      </w:r>
      <w:r w:rsidR="00C46D66">
        <w:rPr>
          <w:rFonts w:ascii="Times New Roman" w:hAnsi="Times New Roman" w:cs="Times New Roman"/>
          <w:sz w:val="24"/>
          <w:szCs w:val="24"/>
        </w:rPr>
        <w:t xml:space="preserve">assessed using </w:t>
      </w:r>
      <w:proofErr w:type="spellStart"/>
      <w:r w:rsidR="00C46D66">
        <w:rPr>
          <w:rFonts w:ascii="Times New Roman" w:hAnsi="Times New Roman" w:cs="Times New Roman"/>
          <w:sz w:val="24"/>
          <w:szCs w:val="24"/>
        </w:rPr>
        <w:t>FastQC</w:t>
      </w:r>
      <w:proofErr w:type="spellEnd"/>
      <w:r>
        <w:rPr>
          <w:rFonts w:ascii="Times New Roman" w:hAnsi="Times New Roman" w:cs="Times New Roman"/>
          <w:sz w:val="24"/>
          <w:szCs w:val="24"/>
        </w:rPr>
        <w:t xml:space="preserve"> before and after cleaning. </w:t>
      </w:r>
      <w:proofErr w:type="spellStart"/>
      <w:r>
        <w:rPr>
          <w:rFonts w:ascii="Times New Roman" w:hAnsi="Times New Roman" w:cs="Times New Roman"/>
          <w:sz w:val="24"/>
          <w:szCs w:val="24"/>
        </w:rPr>
        <w:t>Trimmomatic</w:t>
      </w:r>
      <w:proofErr w:type="spellEnd"/>
      <w:r>
        <w:rPr>
          <w:rFonts w:ascii="Times New Roman" w:hAnsi="Times New Roman" w:cs="Times New Roman"/>
          <w:sz w:val="24"/>
          <w:szCs w:val="24"/>
        </w:rPr>
        <w:t xml:space="preserve"> was used to trim the raw reads</w:t>
      </w:r>
      <w:r w:rsidR="007A3363">
        <w:rPr>
          <w:rFonts w:ascii="Times New Roman" w:hAnsi="Times New Roman" w:cs="Times New Roman"/>
          <w:sz w:val="24"/>
          <w:szCs w:val="24"/>
        </w:rPr>
        <w:t xml:space="preserve"> (Bolger et al., 2014)</w:t>
      </w:r>
      <w:r>
        <w:rPr>
          <w:rFonts w:ascii="Times New Roman" w:hAnsi="Times New Roman" w:cs="Times New Roman"/>
          <w:sz w:val="24"/>
          <w:szCs w:val="24"/>
        </w:rPr>
        <w:t xml:space="preserve">. </w:t>
      </w:r>
      <w:proofErr w:type="spellStart"/>
      <w:r>
        <w:rPr>
          <w:rFonts w:ascii="Times New Roman" w:hAnsi="Times New Roman" w:cs="Times New Roman"/>
          <w:sz w:val="24"/>
          <w:szCs w:val="24"/>
        </w:rPr>
        <w:t>Trimmomatic</w:t>
      </w:r>
      <w:proofErr w:type="spellEnd"/>
      <w:r>
        <w:rPr>
          <w:rFonts w:ascii="Times New Roman" w:hAnsi="Times New Roman" w:cs="Times New Roman"/>
          <w:sz w:val="24"/>
          <w:szCs w:val="24"/>
        </w:rPr>
        <w:t xml:space="preserve"> cut Illumina specific adaptor sequences from the raw reads</w:t>
      </w:r>
      <w:r w:rsidR="004226D8">
        <w:rPr>
          <w:rFonts w:ascii="Times New Roman" w:hAnsi="Times New Roman" w:cs="Times New Roman"/>
          <w:sz w:val="24"/>
          <w:szCs w:val="24"/>
        </w:rPr>
        <w:t xml:space="preserve">, </w:t>
      </w:r>
      <w:r>
        <w:rPr>
          <w:rFonts w:ascii="Times New Roman" w:hAnsi="Times New Roman" w:cs="Times New Roman"/>
          <w:sz w:val="24"/>
          <w:szCs w:val="24"/>
        </w:rPr>
        <w:t>cut bases below</w:t>
      </w:r>
      <w:r w:rsidR="004226D8">
        <w:rPr>
          <w:rFonts w:ascii="Times New Roman" w:hAnsi="Times New Roman" w:cs="Times New Roman"/>
          <w:sz w:val="24"/>
          <w:szCs w:val="24"/>
        </w:rPr>
        <w:t xml:space="preserve"> a</w:t>
      </w:r>
      <w:r>
        <w:rPr>
          <w:rFonts w:ascii="Times New Roman" w:hAnsi="Times New Roman" w:cs="Times New Roman"/>
          <w:sz w:val="24"/>
          <w:szCs w:val="24"/>
        </w:rPr>
        <w:t xml:space="preserve"> quality</w:t>
      </w:r>
      <w:r w:rsidR="004226D8">
        <w:rPr>
          <w:rFonts w:ascii="Times New Roman" w:hAnsi="Times New Roman" w:cs="Times New Roman"/>
          <w:sz w:val="24"/>
          <w:szCs w:val="24"/>
        </w:rPr>
        <w:t xml:space="preserve"> score of 20</w:t>
      </w:r>
      <w:r>
        <w:rPr>
          <w:rFonts w:ascii="Times New Roman" w:hAnsi="Times New Roman" w:cs="Times New Roman"/>
          <w:sz w:val="24"/>
          <w:szCs w:val="24"/>
        </w:rPr>
        <w:t xml:space="preserve"> off the leading and trailing ends</w:t>
      </w:r>
      <w:r w:rsidR="004226D8">
        <w:rPr>
          <w:rFonts w:ascii="Times New Roman" w:hAnsi="Times New Roman" w:cs="Times New Roman"/>
          <w:sz w:val="24"/>
          <w:szCs w:val="24"/>
        </w:rPr>
        <w:t>, and did a head</w:t>
      </w:r>
      <w:r w:rsidR="004226D8">
        <w:rPr>
          <w:rFonts w:ascii="Times New Roman" w:hAnsi="Times New Roman" w:cs="Times New Roman"/>
          <w:sz w:val="24"/>
          <w:szCs w:val="24"/>
        </w:rPr>
        <w:t xml:space="preserve"> </w:t>
      </w:r>
      <w:r w:rsidR="004226D8">
        <w:rPr>
          <w:rFonts w:ascii="Times New Roman" w:hAnsi="Times New Roman" w:cs="Times New Roman"/>
          <w:sz w:val="24"/>
          <w:szCs w:val="24"/>
        </w:rPr>
        <w:t>crop to cut 12 bases from the start of the read</w:t>
      </w:r>
      <w:r w:rsidR="004226D8">
        <w:rPr>
          <w:rFonts w:ascii="Times New Roman" w:hAnsi="Times New Roman" w:cs="Times New Roman"/>
          <w:sz w:val="24"/>
          <w:szCs w:val="24"/>
        </w:rPr>
        <w:t>.</w:t>
      </w:r>
      <w:r>
        <w:rPr>
          <w:rFonts w:ascii="Times New Roman" w:hAnsi="Times New Roman" w:cs="Times New Roman"/>
          <w:sz w:val="24"/>
          <w:szCs w:val="24"/>
        </w:rPr>
        <w:t xml:space="preserve"> </w:t>
      </w:r>
      <w:r w:rsidR="004226D8">
        <w:rPr>
          <w:rFonts w:ascii="Times New Roman" w:hAnsi="Times New Roman" w:cs="Times New Roman"/>
          <w:sz w:val="24"/>
          <w:szCs w:val="24"/>
        </w:rPr>
        <w:t xml:space="preserve">The program </w:t>
      </w:r>
      <w:r>
        <w:rPr>
          <w:rFonts w:ascii="Times New Roman" w:hAnsi="Times New Roman" w:cs="Times New Roman"/>
          <w:sz w:val="24"/>
          <w:szCs w:val="24"/>
        </w:rPr>
        <w:t>performed a sliding window trimming approach to clip the read when the quality within a window of 6 bases drops below an average quality of 20. If the read was below 35</w:t>
      </w:r>
      <w:r w:rsidR="004226D8">
        <w:rPr>
          <w:rFonts w:ascii="Times New Roman" w:hAnsi="Times New Roman" w:cs="Times New Roman"/>
          <w:sz w:val="24"/>
          <w:szCs w:val="24"/>
        </w:rPr>
        <w:t xml:space="preserve"> bases</w:t>
      </w:r>
      <w:r>
        <w:rPr>
          <w:rFonts w:ascii="Times New Roman" w:hAnsi="Times New Roman" w:cs="Times New Roman"/>
          <w:sz w:val="24"/>
          <w:szCs w:val="24"/>
        </w:rPr>
        <w:t>, it was dropped.</w:t>
      </w:r>
    </w:p>
    <w:p w14:paraId="389214F4" w14:textId="0A718C99" w:rsidR="00F7788D" w:rsidRDefault="00BC5A4E" w:rsidP="00F7788D">
      <w:pPr>
        <w:ind w:firstLine="720"/>
        <w:rPr>
          <w:rFonts w:ascii="Times New Roman" w:hAnsi="Times New Roman" w:cs="Times New Roman"/>
          <w:sz w:val="24"/>
          <w:szCs w:val="24"/>
        </w:rPr>
      </w:pPr>
      <w:r>
        <w:rPr>
          <w:rFonts w:ascii="Times New Roman" w:hAnsi="Times New Roman" w:cs="Times New Roman"/>
          <w:sz w:val="24"/>
          <w:szCs w:val="24"/>
        </w:rPr>
        <w:t xml:space="preserve">Cleaned reads were mapped </w:t>
      </w:r>
      <w:r w:rsidR="00C40808">
        <w:rPr>
          <w:rFonts w:ascii="Times New Roman" w:hAnsi="Times New Roman" w:cs="Times New Roman"/>
          <w:sz w:val="24"/>
          <w:szCs w:val="24"/>
        </w:rPr>
        <w:t xml:space="preserve">to the </w:t>
      </w:r>
      <w:proofErr w:type="spellStart"/>
      <w:r w:rsidR="00C40808">
        <w:rPr>
          <w:rFonts w:ascii="Times New Roman" w:hAnsi="Times New Roman" w:cs="Times New Roman"/>
          <w:i/>
          <w:iCs/>
          <w:sz w:val="24"/>
          <w:szCs w:val="24"/>
        </w:rPr>
        <w:t>Picea</w:t>
      </w:r>
      <w:proofErr w:type="spellEnd"/>
      <w:r w:rsidR="00C40808">
        <w:rPr>
          <w:rFonts w:ascii="Times New Roman" w:hAnsi="Times New Roman" w:cs="Times New Roman"/>
          <w:i/>
          <w:iCs/>
          <w:sz w:val="24"/>
          <w:szCs w:val="24"/>
        </w:rPr>
        <w:t xml:space="preserve"> </w:t>
      </w:r>
      <w:proofErr w:type="spellStart"/>
      <w:r w:rsidR="00C40808">
        <w:rPr>
          <w:rFonts w:ascii="Times New Roman" w:hAnsi="Times New Roman" w:cs="Times New Roman"/>
          <w:i/>
          <w:iCs/>
          <w:sz w:val="24"/>
          <w:szCs w:val="24"/>
        </w:rPr>
        <w:t>abies</w:t>
      </w:r>
      <w:proofErr w:type="spellEnd"/>
      <w:r w:rsidR="00C40808">
        <w:rPr>
          <w:rFonts w:ascii="Times New Roman" w:hAnsi="Times New Roman" w:cs="Times New Roman"/>
          <w:sz w:val="24"/>
          <w:szCs w:val="24"/>
        </w:rPr>
        <w:t xml:space="preserve"> reference transcriptome (</w:t>
      </w:r>
      <w:proofErr w:type="spellStart"/>
      <w:r w:rsidR="00C40808" w:rsidRPr="00C40808">
        <w:rPr>
          <w:rFonts w:ascii="Times New Roman" w:hAnsi="Times New Roman" w:cs="Times New Roman"/>
          <w:sz w:val="24"/>
          <w:szCs w:val="24"/>
        </w:rPr>
        <w:t>Nystedt</w:t>
      </w:r>
      <w:proofErr w:type="spellEnd"/>
      <w:r w:rsidR="00C40808">
        <w:rPr>
          <w:rFonts w:ascii="Times New Roman" w:hAnsi="Times New Roman" w:cs="Times New Roman"/>
          <w:sz w:val="24"/>
          <w:szCs w:val="24"/>
        </w:rPr>
        <w:t xml:space="preserve"> et al., 2013) </w:t>
      </w:r>
      <w:r>
        <w:rPr>
          <w:rFonts w:ascii="Times New Roman" w:hAnsi="Times New Roman" w:cs="Times New Roman"/>
          <w:sz w:val="24"/>
          <w:szCs w:val="24"/>
        </w:rPr>
        <w:t>and abundance was quantified using Salmon (</w:t>
      </w:r>
      <w:proofErr w:type="spellStart"/>
      <w:r>
        <w:rPr>
          <w:rFonts w:ascii="Times New Roman" w:hAnsi="Times New Roman" w:cs="Times New Roman"/>
          <w:sz w:val="24"/>
          <w:szCs w:val="24"/>
        </w:rPr>
        <w:t>Patro</w:t>
      </w:r>
      <w:proofErr w:type="spellEnd"/>
      <w:r>
        <w:rPr>
          <w:rFonts w:ascii="Times New Roman" w:hAnsi="Times New Roman" w:cs="Times New Roman"/>
          <w:sz w:val="24"/>
          <w:szCs w:val="24"/>
        </w:rPr>
        <w:t xml:space="preserve"> et al., 2017).</w:t>
      </w:r>
      <w:r w:rsidR="00B22088">
        <w:rPr>
          <w:rFonts w:ascii="Times New Roman" w:hAnsi="Times New Roman" w:cs="Times New Roman"/>
          <w:sz w:val="24"/>
          <w:szCs w:val="24"/>
        </w:rPr>
        <w:t xml:space="preserve"> Because 3’ </w:t>
      </w:r>
      <w:proofErr w:type="spellStart"/>
      <w:r w:rsidR="00B22088">
        <w:rPr>
          <w:rFonts w:ascii="Times New Roman" w:hAnsi="Times New Roman" w:cs="Times New Roman"/>
          <w:sz w:val="24"/>
          <w:szCs w:val="24"/>
        </w:rPr>
        <w:t>RNASeq</w:t>
      </w:r>
      <w:proofErr w:type="spellEnd"/>
      <w:r w:rsidR="00B22088">
        <w:rPr>
          <w:rFonts w:ascii="Times New Roman" w:hAnsi="Times New Roman" w:cs="Times New Roman"/>
          <w:sz w:val="24"/>
          <w:szCs w:val="24"/>
        </w:rPr>
        <w:t xml:space="preserve"> includes part of the untranslated region (UTR), the reads were mapping at a very low rate to a reference transcriptome that only included the exome (~2%). Instead, we mapped them to a reference that combined the UTR and the exome, which increased mapping to</w:t>
      </w:r>
      <w:r w:rsidR="00EC113A">
        <w:rPr>
          <w:rFonts w:ascii="Times New Roman" w:hAnsi="Times New Roman" w:cs="Times New Roman"/>
          <w:sz w:val="24"/>
          <w:szCs w:val="24"/>
        </w:rPr>
        <w:t xml:space="preserve"> 40-70% of reads mapping across samples, with a mean of</w:t>
      </w:r>
      <w:r w:rsidR="00B22088">
        <w:rPr>
          <w:rFonts w:ascii="Times New Roman" w:hAnsi="Times New Roman" w:cs="Times New Roman"/>
          <w:sz w:val="24"/>
          <w:szCs w:val="24"/>
        </w:rPr>
        <w:t xml:space="preserve"> </w:t>
      </w:r>
      <w:r w:rsidR="00EC113A">
        <w:rPr>
          <w:rFonts w:ascii="Times New Roman" w:hAnsi="Times New Roman" w:cs="Times New Roman"/>
          <w:sz w:val="24"/>
          <w:szCs w:val="24"/>
        </w:rPr>
        <w:t>about</w:t>
      </w:r>
      <w:r w:rsidR="00B22088">
        <w:rPr>
          <w:rFonts w:ascii="Times New Roman" w:hAnsi="Times New Roman" w:cs="Times New Roman"/>
          <w:sz w:val="24"/>
          <w:szCs w:val="24"/>
        </w:rPr>
        <w:t xml:space="preserve"> 52%.</w:t>
      </w:r>
    </w:p>
    <w:p w14:paraId="69FDF06A" w14:textId="286E95CD" w:rsidR="00B22088" w:rsidRPr="00DD3769" w:rsidRDefault="00B22088" w:rsidP="00F7788D">
      <w:pPr>
        <w:ind w:firstLine="720"/>
        <w:rPr>
          <w:rFonts w:ascii="Times New Roman" w:hAnsi="Times New Roman" w:cs="Times New Roman"/>
          <w:sz w:val="24"/>
          <w:szCs w:val="24"/>
        </w:rPr>
      </w:pPr>
      <w:r>
        <w:rPr>
          <w:rFonts w:ascii="Times New Roman" w:hAnsi="Times New Roman" w:cs="Times New Roman"/>
          <w:sz w:val="24"/>
          <w:szCs w:val="24"/>
        </w:rPr>
        <w:lastRenderedPageBreak/>
        <w:t>The counts matrix from Sal</w:t>
      </w:r>
      <w:r w:rsidR="004818F5">
        <w:rPr>
          <w:rFonts w:ascii="Times New Roman" w:hAnsi="Times New Roman" w:cs="Times New Roman"/>
          <w:sz w:val="24"/>
          <w:szCs w:val="24"/>
        </w:rPr>
        <w:t>mon</w:t>
      </w:r>
      <w:r>
        <w:rPr>
          <w:rFonts w:ascii="Times New Roman" w:hAnsi="Times New Roman" w:cs="Times New Roman"/>
          <w:sz w:val="24"/>
          <w:szCs w:val="24"/>
        </w:rPr>
        <w:t xml:space="preserve"> was read into R in order to perform differential gene expression analysis with DESeq2 (Love et al., 2014).</w:t>
      </w:r>
      <w:r w:rsidR="00EC113A">
        <w:rPr>
          <w:rFonts w:ascii="Times New Roman" w:hAnsi="Times New Roman" w:cs="Times New Roman"/>
          <w:sz w:val="24"/>
          <w:szCs w:val="24"/>
        </w:rPr>
        <w:t xml:space="preserve"> </w:t>
      </w:r>
      <w:r w:rsidR="0072204D">
        <w:rPr>
          <w:rFonts w:ascii="Times New Roman" w:hAnsi="Times New Roman" w:cs="Times New Roman"/>
          <w:sz w:val="24"/>
          <w:szCs w:val="24"/>
        </w:rPr>
        <w:t>The data was subset to contain only the Day 10 samples</w:t>
      </w:r>
      <w:r w:rsidR="00DE406E">
        <w:rPr>
          <w:rFonts w:ascii="Times New Roman" w:hAnsi="Times New Roman" w:cs="Times New Roman"/>
          <w:sz w:val="24"/>
          <w:szCs w:val="24"/>
        </w:rPr>
        <w:t xml:space="preserve"> and genes with fewer than 30 reads were filtered out</w:t>
      </w:r>
      <w:r w:rsidR="007C5440">
        <w:rPr>
          <w:rFonts w:ascii="Times New Roman" w:hAnsi="Times New Roman" w:cs="Times New Roman"/>
          <w:sz w:val="24"/>
          <w:szCs w:val="24"/>
        </w:rPr>
        <w:t>, so there was an average of 1 read per sample</w:t>
      </w:r>
      <w:r w:rsidR="00DE406E">
        <w:rPr>
          <w:rFonts w:ascii="Times New Roman" w:hAnsi="Times New Roman" w:cs="Times New Roman"/>
          <w:sz w:val="24"/>
          <w:szCs w:val="24"/>
        </w:rPr>
        <w:t>.</w:t>
      </w:r>
      <w:r w:rsidR="00790DE3">
        <w:rPr>
          <w:rFonts w:ascii="Times New Roman" w:hAnsi="Times New Roman" w:cs="Times New Roman"/>
          <w:sz w:val="24"/>
          <w:szCs w:val="24"/>
        </w:rPr>
        <w:t xml:space="preserve"> After filtering, there were 24,300 reads, reduced from 66,408.</w:t>
      </w:r>
      <w:r w:rsidR="007C5440">
        <w:rPr>
          <w:rFonts w:ascii="Times New Roman" w:hAnsi="Times New Roman" w:cs="Times New Roman"/>
          <w:sz w:val="24"/>
          <w:szCs w:val="24"/>
        </w:rPr>
        <w:t xml:space="preserve"> The experimental design was defined as ‘design = ~ climate + treatment + </w:t>
      </w:r>
      <w:proofErr w:type="spellStart"/>
      <w:proofErr w:type="gramStart"/>
      <w:r w:rsidR="007C5440">
        <w:rPr>
          <w:rFonts w:ascii="Times New Roman" w:hAnsi="Times New Roman" w:cs="Times New Roman"/>
          <w:sz w:val="24"/>
          <w:szCs w:val="24"/>
        </w:rPr>
        <w:t>climate:treatment</w:t>
      </w:r>
      <w:proofErr w:type="spellEnd"/>
      <w:proofErr w:type="gramEnd"/>
      <w:r w:rsidR="007C5440">
        <w:rPr>
          <w:rFonts w:ascii="Times New Roman" w:hAnsi="Times New Roman" w:cs="Times New Roman"/>
          <w:sz w:val="24"/>
          <w:szCs w:val="24"/>
        </w:rPr>
        <w:t>’</w:t>
      </w:r>
      <w:r w:rsidR="00591777">
        <w:rPr>
          <w:rFonts w:ascii="Times New Roman" w:hAnsi="Times New Roman" w:cs="Times New Roman"/>
          <w:sz w:val="24"/>
          <w:szCs w:val="24"/>
        </w:rPr>
        <w:t xml:space="preserve">. </w:t>
      </w:r>
      <w:r w:rsidR="00C13CB3">
        <w:rPr>
          <w:rFonts w:ascii="Times New Roman" w:hAnsi="Times New Roman" w:cs="Times New Roman"/>
          <w:sz w:val="24"/>
          <w:szCs w:val="24"/>
        </w:rPr>
        <w:t xml:space="preserve"> </w:t>
      </w:r>
      <w:r w:rsidR="00EC7105">
        <w:rPr>
          <w:rFonts w:ascii="Times New Roman" w:hAnsi="Times New Roman" w:cs="Times New Roman"/>
          <w:sz w:val="24"/>
          <w:szCs w:val="24"/>
        </w:rPr>
        <w:t>The results of these models showed the differentially expressed genes for different contrasts, which were visualized using MA Plots (Figure 2). Principal components analysis was performed (Figure 3).</w:t>
      </w:r>
    </w:p>
    <w:p w14:paraId="3A637073" w14:textId="79FF89C6"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t>Results</w:t>
      </w:r>
    </w:p>
    <w:p w14:paraId="7EB2A39C" w14:textId="640BE995" w:rsidR="00EC113A" w:rsidRDefault="00EC113A" w:rsidP="00EC113A">
      <w:pPr>
        <w:ind w:firstLine="720"/>
        <w:rPr>
          <w:rFonts w:ascii="Times New Roman" w:hAnsi="Times New Roman" w:cs="Times New Roman"/>
          <w:sz w:val="24"/>
          <w:szCs w:val="24"/>
        </w:rPr>
      </w:pPr>
      <w:r>
        <w:rPr>
          <w:rFonts w:ascii="Times New Roman" w:hAnsi="Times New Roman" w:cs="Times New Roman"/>
          <w:sz w:val="24"/>
          <w:szCs w:val="24"/>
        </w:rPr>
        <w:t xml:space="preserve">The number of reads per sample </w:t>
      </w:r>
      <w:r w:rsidR="005677E6">
        <w:rPr>
          <w:rFonts w:ascii="Times New Roman" w:hAnsi="Times New Roman" w:cs="Times New Roman"/>
          <w:sz w:val="24"/>
          <w:szCs w:val="24"/>
        </w:rPr>
        <w:t>were</w:t>
      </w:r>
      <w:r>
        <w:rPr>
          <w:rFonts w:ascii="Times New Roman" w:hAnsi="Times New Roman" w:cs="Times New Roman"/>
          <w:sz w:val="24"/>
          <w:szCs w:val="24"/>
        </w:rPr>
        <w:t xml:space="preserve"> visualized using a barplot</w:t>
      </w:r>
      <w:r>
        <w:rPr>
          <w:rFonts w:ascii="Times New Roman" w:hAnsi="Times New Roman" w:cs="Times New Roman"/>
          <w:sz w:val="24"/>
          <w:szCs w:val="24"/>
        </w:rPr>
        <w:t xml:space="preserve"> (</w:t>
      </w:r>
      <w:r w:rsidR="005677E6">
        <w:rPr>
          <w:rFonts w:ascii="Times New Roman" w:hAnsi="Times New Roman" w:cs="Times New Roman"/>
          <w:sz w:val="24"/>
          <w:szCs w:val="24"/>
        </w:rPr>
        <w:t>F</w:t>
      </w:r>
      <w:r>
        <w:rPr>
          <w:rFonts w:ascii="Times New Roman" w:hAnsi="Times New Roman" w:cs="Times New Roman"/>
          <w:sz w:val="24"/>
          <w:szCs w:val="24"/>
        </w:rPr>
        <w:t>igure 1)</w:t>
      </w:r>
      <w:r>
        <w:rPr>
          <w:rFonts w:ascii="Times New Roman" w:hAnsi="Times New Roman" w:cs="Times New Roman"/>
          <w:sz w:val="24"/>
          <w:szCs w:val="24"/>
        </w:rPr>
        <w:t xml:space="preserve"> and the mean and median number of reads were </w:t>
      </w:r>
      <w:r>
        <w:rPr>
          <w:rFonts w:ascii="Times New Roman" w:hAnsi="Times New Roman" w:cs="Times New Roman"/>
          <w:sz w:val="24"/>
          <w:szCs w:val="24"/>
        </w:rPr>
        <w:t xml:space="preserve">found. The mean number of reads across all samples was </w:t>
      </w:r>
      <w:r w:rsidR="00E4443F">
        <w:rPr>
          <w:rFonts w:ascii="Times New Roman" w:hAnsi="Times New Roman" w:cs="Times New Roman"/>
          <w:sz w:val="24"/>
          <w:szCs w:val="24"/>
        </w:rPr>
        <w:t>1296.096</w:t>
      </w:r>
      <w:r>
        <w:rPr>
          <w:rFonts w:ascii="Times New Roman" w:hAnsi="Times New Roman" w:cs="Times New Roman"/>
          <w:sz w:val="24"/>
          <w:szCs w:val="24"/>
        </w:rPr>
        <w:t xml:space="preserve"> and the median number of reads was </w:t>
      </w:r>
      <w:r w:rsidR="00E4443F">
        <w:rPr>
          <w:rFonts w:ascii="Times New Roman" w:hAnsi="Times New Roman" w:cs="Times New Roman"/>
          <w:sz w:val="24"/>
          <w:szCs w:val="24"/>
        </w:rPr>
        <w:t>10</w:t>
      </w:r>
      <w:r>
        <w:rPr>
          <w:rFonts w:ascii="Times New Roman" w:hAnsi="Times New Roman" w:cs="Times New Roman"/>
          <w:sz w:val="24"/>
          <w:szCs w:val="24"/>
        </w:rPr>
        <w:t xml:space="preserve">. This shows that there </w:t>
      </w:r>
      <w:r w:rsidR="00E4443F">
        <w:rPr>
          <w:rFonts w:ascii="Times New Roman" w:hAnsi="Times New Roman" w:cs="Times New Roman"/>
          <w:sz w:val="24"/>
          <w:szCs w:val="24"/>
        </w:rPr>
        <w:t>was dispersion across different genes and large difference in magnitude of expression.</w:t>
      </w:r>
    </w:p>
    <w:p w14:paraId="6D101D7C" w14:textId="51D99473" w:rsidR="00D93DEA" w:rsidRDefault="00E4443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20EAB4" wp14:editId="39FB9AB2">
            <wp:extent cx="5943600" cy="2835275"/>
            <wp:effectExtent l="0" t="0" r="0" b="317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ReadsDay10.png"/>
                    <pic:cNvPicPr/>
                  </pic:nvPicPr>
                  <pic:blipFill rotWithShape="1">
                    <a:blip r:embed="rId4">
                      <a:extLst>
                        <a:ext uri="{28A0092B-C50C-407E-A947-70E740481C1C}">
                          <a14:useLocalDpi xmlns:a14="http://schemas.microsoft.com/office/drawing/2010/main" val="0"/>
                        </a:ext>
                      </a:extLst>
                    </a:blip>
                    <a:srcRect t="13486"/>
                    <a:stretch/>
                  </pic:blipFill>
                  <pic:spPr bwMode="auto">
                    <a:xfrm>
                      <a:off x="0" y="0"/>
                      <a:ext cx="5943600" cy="2835275"/>
                    </a:xfrm>
                    <a:prstGeom prst="rect">
                      <a:avLst/>
                    </a:prstGeom>
                    <a:ln>
                      <a:noFill/>
                    </a:ln>
                    <a:extLst>
                      <a:ext uri="{53640926-AAD7-44D8-BBD7-CCE9431645EC}">
                        <a14:shadowObscured xmlns:a14="http://schemas.microsoft.com/office/drawing/2010/main"/>
                      </a:ext>
                    </a:extLst>
                  </pic:spPr>
                </pic:pic>
              </a:graphicData>
            </a:graphic>
          </wp:inline>
        </w:drawing>
      </w:r>
    </w:p>
    <w:p w14:paraId="507170C1" w14:textId="11CD2220" w:rsidR="00EC113A" w:rsidRDefault="00EC113A">
      <w:pPr>
        <w:rPr>
          <w:rFonts w:ascii="Times New Roman" w:hAnsi="Times New Roman" w:cs="Times New Roman"/>
          <w:sz w:val="24"/>
          <w:szCs w:val="24"/>
        </w:rPr>
      </w:pPr>
      <w:r>
        <w:rPr>
          <w:rFonts w:ascii="Times New Roman" w:hAnsi="Times New Roman" w:cs="Times New Roman"/>
          <w:sz w:val="24"/>
          <w:szCs w:val="24"/>
        </w:rPr>
        <w:t>Figure 1. Barplot showing the number of reads per sample</w:t>
      </w:r>
      <w:r w:rsidR="00E4443F">
        <w:rPr>
          <w:rFonts w:ascii="Times New Roman" w:hAnsi="Times New Roman" w:cs="Times New Roman"/>
          <w:sz w:val="24"/>
          <w:szCs w:val="24"/>
        </w:rPr>
        <w:t>, only for samples taken on Day 10</w:t>
      </w:r>
      <w:r>
        <w:rPr>
          <w:rFonts w:ascii="Times New Roman" w:hAnsi="Times New Roman" w:cs="Times New Roman"/>
          <w:sz w:val="24"/>
          <w:szCs w:val="24"/>
        </w:rPr>
        <w:t>. Blue line shows the average number of reads across all samples.</w:t>
      </w:r>
    </w:p>
    <w:p w14:paraId="05A2EC8C" w14:textId="447FE5CF" w:rsidR="00F90BEC" w:rsidRDefault="00F90BEC">
      <w:pPr>
        <w:rPr>
          <w:rFonts w:ascii="Times New Roman" w:hAnsi="Times New Roman" w:cs="Times New Roman"/>
          <w:sz w:val="24"/>
          <w:szCs w:val="24"/>
        </w:rPr>
      </w:pPr>
      <w:r>
        <w:rPr>
          <w:rFonts w:ascii="Times New Roman" w:hAnsi="Times New Roman" w:cs="Times New Roman"/>
          <w:sz w:val="24"/>
          <w:szCs w:val="24"/>
        </w:rPr>
        <w:tab/>
      </w:r>
      <w:r w:rsidR="00323BC3">
        <w:rPr>
          <w:rFonts w:ascii="Times New Roman" w:hAnsi="Times New Roman" w:cs="Times New Roman"/>
          <w:sz w:val="24"/>
          <w:szCs w:val="24"/>
        </w:rPr>
        <w:t>MA Plots show the differentially expressed genes between contrasts in a model.</w:t>
      </w:r>
      <w:r w:rsidR="00CB0E8B">
        <w:rPr>
          <w:rFonts w:ascii="Times New Roman" w:hAnsi="Times New Roman" w:cs="Times New Roman"/>
          <w:sz w:val="24"/>
          <w:szCs w:val="24"/>
        </w:rPr>
        <w:t xml:space="preserve"> C</w:t>
      </w:r>
      <w:r w:rsidR="00323BC3">
        <w:rPr>
          <w:rFonts w:ascii="Times New Roman" w:hAnsi="Times New Roman" w:cs="Times New Roman"/>
          <w:sz w:val="24"/>
          <w:szCs w:val="24"/>
        </w:rPr>
        <w:t>ontrasts obtained through the interaction term of the model</w:t>
      </w:r>
      <w:r w:rsidR="00CB0E8B">
        <w:rPr>
          <w:rFonts w:ascii="Times New Roman" w:hAnsi="Times New Roman" w:cs="Times New Roman"/>
          <w:sz w:val="24"/>
          <w:szCs w:val="24"/>
        </w:rPr>
        <w:t xml:space="preserve"> and the contrast between source climate</w:t>
      </w:r>
      <w:r w:rsidR="00323BC3">
        <w:rPr>
          <w:rFonts w:ascii="Times New Roman" w:hAnsi="Times New Roman" w:cs="Times New Roman"/>
          <w:sz w:val="24"/>
          <w:szCs w:val="24"/>
        </w:rPr>
        <w:t xml:space="preserve"> had no significant differentially expressed genes, so only MA Plots</w:t>
      </w:r>
      <w:r w:rsidR="00CB0E8B">
        <w:rPr>
          <w:rFonts w:ascii="Times New Roman" w:hAnsi="Times New Roman" w:cs="Times New Roman"/>
          <w:sz w:val="24"/>
          <w:szCs w:val="24"/>
        </w:rPr>
        <w:t xml:space="preserve"> for the contrasts hot/dry vs. control, hot vs. control are shown (Figure 2).</w:t>
      </w:r>
    </w:p>
    <w:p w14:paraId="79A0125C" w14:textId="1CE08FF1" w:rsidR="00CB0E8B" w:rsidRDefault="00CB0E8B" w:rsidP="00CB0E8B">
      <w:pPr>
        <w:ind w:hanging="5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53F1F3" wp14:editId="1AEF0115">
            <wp:extent cx="3116580" cy="2361045"/>
            <wp:effectExtent l="0" t="0" r="7620" b="127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_HvsCon.png"/>
                    <pic:cNvPicPr/>
                  </pic:nvPicPr>
                  <pic:blipFill>
                    <a:blip r:embed="rId5">
                      <a:extLst>
                        <a:ext uri="{28A0092B-C50C-407E-A947-70E740481C1C}">
                          <a14:useLocalDpi xmlns:a14="http://schemas.microsoft.com/office/drawing/2010/main" val="0"/>
                        </a:ext>
                      </a:extLst>
                    </a:blip>
                    <a:stretch>
                      <a:fillRect/>
                    </a:stretch>
                  </pic:blipFill>
                  <pic:spPr>
                    <a:xfrm>
                      <a:off x="0" y="0"/>
                      <a:ext cx="3126296" cy="2368405"/>
                    </a:xfrm>
                    <a:prstGeom prst="rect">
                      <a:avLst/>
                    </a:prstGeom>
                  </pic:spPr>
                </pic:pic>
              </a:graphicData>
            </a:graphic>
          </wp:inline>
        </w:drawing>
      </w:r>
      <w:r>
        <w:rPr>
          <w:rFonts w:ascii="Times New Roman" w:hAnsi="Times New Roman" w:cs="Times New Roman"/>
          <w:noProof/>
          <w:sz w:val="24"/>
          <w:szCs w:val="24"/>
        </w:rPr>
        <w:drawing>
          <wp:inline distT="0" distB="0" distL="0" distR="0" wp14:anchorId="54B19B11" wp14:editId="38D3E2A6">
            <wp:extent cx="3131820" cy="2372591"/>
            <wp:effectExtent l="0" t="0" r="0" b="889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_HDvCon.png"/>
                    <pic:cNvPicPr/>
                  </pic:nvPicPr>
                  <pic:blipFill>
                    <a:blip r:embed="rId6">
                      <a:extLst>
                        <a:ext uri="{28A0092B-C50C-407E-A947-70E740481C1C}">
                          <a14:useLocalDpi xmlns:a14="http://schemas.microsoft.com/office/drawing/2010/main" val="0"/>
                        </a:ext>
                      </a:extLst>
                    </a:blip>
                    <a:stretch>
                      <a:fillRect/>
                    </a:stretch>
                  </pic:blipFill>
                  <pic:spPr>
                    <a:xfrm>
                      <a:off x="0" y="0"/>
                      <a:ext cx="3143885" cy="2381731"/>
                    </a:xfrm>
                    <a:prstGeom prst="rect">
                      <a:avLst/>
                    </a:prstGeom>
                  </pic:spPr>
                </pic:pic>
              </a:graphicData>
            </a:graphic>
          </wp:inline>
        </w:drawing>
      </w:r>
    </w:p>
    <w:p w14:paraId="6DFEDB2D" w14:textId="71FAE953" w:rsidR="00CB0E8B" w:rsidRDefault="00CB0E8B" w:rsidP="00CB0E8B">
      <w:pPr>
        <w:rPr>
          <w:rFonts w:ascii="Times New Roman" w:hAnsi="Times New Roman" w:cs="Times New Roman"/>
          <w:sz w:val="24"/>
          <w:szCs w:val="24"/>
        </w:rPr>
      </w:pPr>
      <w:r>
        <w:rPr>
          <w:rFonts w:ascii="Times New Roman" w:hAnsi="Times New Roman" w:cs="Times New Roman"/>
          <w:sz w:val="24"/>
          <w:szCs w:val="24"/>
        </w:rPr>
        <w:t xml:space="preserve">Figure 2. MA plots showing genes up and down regulated in the two treatment groups compared to the control group. </w:t>
      </w:r>
    </w:p>
    <w:p w14:paraId="563EF2CA" w14:textId="34A69F84" w:rsidR="00DC2202" w:rsidRDefault="00DC2202" w:rsidP="00CB0E8B">
      <w:pPr>
        <w:rPr>
          <w:rFonts w:ascii="Times New Roman" w:hAnsi="Times New Roman" w:cs="Times New Roman"/>
          <w:sz w:val="24"/>
          <w:szCs w:val="24"/>
        </w:rPr>
      </w:pPr>
      <w:r>
        <w:rPr>
          <w:rFonts w:ascii="Times New Roman" w:hAnsi="Times New Roman" w:cs="Times New Roman"/>
          <w:sz w:val="24"/>
          <w:szCs w:val="24"/>
        </w:rPr>
        <w:tab/>
        <w:t>Principal components analysis was performed on the differential expression model</w:t>
      </w:r>
      <w:r w:rsidR="00E02BB8">
        <w:rPr>
          <w:rFonts w:ascii="Times New Roman" w:hAnsi="Times New Roman" w:cs="Times New Roman"/>
          <w:sz w:val="24"/>
          <w:szCs w:val="24"/>
        </w:rPr>
        <w:t xml:space="preserve"> (Figure 3). PC1 explained 17% of the variance and PC2 explained 13% of the variance. There appears to be no grouping based on source climate (colors), but there appears to be grouping based on the treatment (shape), with the Hot and Dry treatment (squares) separating from the control and hot treatments over PC1.</w:t>
      </w:r>
    </w:p>
    <w:p w14:paraId="079C48EC" w14:textId="493DB05B" w:rsidR="00C91B09" w:rsidRDefault="00C91B09" w:rsidP="00CB0E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7D191" wp14:editId="57B8D96B">
            <wp:extent cx="4461510" cy="3379932"/>
            <wp:effectExtent l="19050" t="19050" r="1524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_day10.png"/>
                    <pic:cNvPicPr/>
                  </pic:nvPicPr>
                  <pic:blipFill>
                    <a:blip r:embed="rId7">
                      <a:extLst>
                        <a:ext uri="{28A0092B-C50C-407E-A947-70E740481C1C}">
                          <a14:useLocalDpi xmlns:a14="http://schemas.microsoft.com/office/drawing/2010/main" val="0"/>
                        </a:ext>
                      </a:extLst>
                    </a:blip>
                    <a:stretch>
                      <a:fillRect/>
                    </a:stretch>
                  </pic:blipFill>
                  <pic:spPr>
                    <a:xfrm>
                      <a:off x="0" y="0"/>
                      <a:ext cx="4481055" cy="3394739"/>
                    </a:xfrm>
                    <a:prstGeom prst="rect">
                      <a:avLst/>
                    </a:prstGeom>
                    <a:ln>
                      <a:solidFill>
                        <a:schemeClr val="bg2">
                          <a:lumMod val="90000"/>
                        </a:schemeClr>
                      </a:solidFill>
                    </a:ln>
                  </pic:spPr>
                </pic:pic>
              </a:graphicData>
            </a:graphic>
          </wp:inline>
        </w:drawing>
      </w:r>
    </w:p>
    <w:p w14:paraId="5EA35D93" w14:textId="1E224BA5" w:rsidR="00C91B09" w:rsidRDefault="00C91B09" w:rsidP="00CB0E8B">
      <w:pPr>
        <w:rPr>
          <w:rFonts w:ascii="Times New Roman" w:hAnsi="Times New Roman" w:cs="Times New Roman"/>
          <w:sz w:val="24"/>
          <w:szCs w:val="24"/>
        </w:rPr>
      </w:pPr>
      <w:r>
        <w:rPr>
          <w:rFonts w:ascii="Times New Roman" w:hAnsi="Times New Roman" w:cs="Times New Roman"/>
          <w:sz w:val="24"/>
          <w:szCs w:val="24"/>
        </w:rPr>
        <w:t>Figure 3. Principal components analysis of differential expression with color showing source climate (CW = Cool and Wet, HD = Hot and Dry) and shape showing treatment (C = Control, H = Hot, D = Hot and Dry).</w:t>
      </w:r>
    </w:p>
    <w:p w14:paraId="4CCF10D3" w14:textId="7517D0BC" w:rsidR="00D93DEA" w:rsidRPr="00E635A9" w:rsidRDefault="00D93DEA">
      <w:pPr>
        <w:rPr>
          <w:rFonts w:ascii="Times New Roman" w:hAnsi="Times New Roman" w:cs="Times New Roman"/>
          <w:sz w:val="24"/>
          <w:szCs w:val="24"/>
          <w:u w:val="single"/>
        </w:rPr>
      </w:pPr>
      <w:r w:rsidRPr="00E635A9">
        <w:rPr>
          <w:rFonts w:ascii="Times New Roman" w:hAnsi="Times New Roman" w:cs="Times New Roman"/>
          <w:sz w:val="24"/>
          <w:szCs w:val="24"/>
          <w:u w:val="single"/>
        </w:rPr>
        <w:lastRenderedPageBreak/>
        <w:t>Conclusion</w:t>
      </w:r>
    </w:p>
    <w:p w14:paraId="2DAFBDB3" w14:textId="30C6CA4E" w:rsidR="00D93DEA" w:rsidRDefault="008C567A">
      <w:pPr>
        <w:rPr>
          <w:rFonts w:ascii="Times New Roman" w:hAnsi="Times New Roman" w:cs="Times New Roman"/>
          <w:sz w:val="24"/>
          <w:szCs w:val="24"/>
        </w:rPr>
      </w:pPr>
      <w:r>
        <w:rPr>
          <w:rFonts w:ascii="Times New Roman" w:hAnsi="Times New Roman" w:cs="Times New Roman"/>
          <w:sz w:val="24"/>
          <w:szCs w:val="24"/>
        </w:rPr>
        <w:tab/>
        <w:t xml:space="preserve">While there was no significant differentially expressed genes depending on the source climate of the samples, there were significant differences in the expression between the treatments. </w:t>
      </w:r>
      <w:r w:rsidR="00E570F4">
        <w:rPr>
          <w:rFonts w:ascii="Times New Roman" w:hAnsi="Times New Roman" w:cs="Times New Roman"/>
          <w:sz w:val="24"/>
          <w:szCs w:val="24"/>
        </w:rPr>
        <w:t>1</w:t>
      </w:r>
      <w:r>
        <w:rPr>
          <w:rFonts w:ascii="Times New Roman" w:hAnsi="Times New Roman" w:cs="Times New Roman"/>
          <w:sz w:val="24"/>
          <w:szCs w:val="24"/>
        </w:rPr>
        <w:t xml:space="preserve"> gene was significantly up regulated in the Hot treatment compared to the Control treatment, as shown in Figure 2. Between the Hot/Dry treatment and the Control treatment, however, there were many more differentially expressed genes, with 92 being up regulated and 174 being down regulated (Figure 2). Taken together, this suggests that the populations in different source climates are not differently adapted to those climates, because there is no differential expression when source climate is considered. However, Red Spruce did respond to the Hot and Hot/Dry treatments, but far more genes were differentially expressed between the Hot/Dry and Control treatments than the Hot and Control treatments. </w:t>
      </w:r>
    </w:p>
    <w:p w14:paraId="202B6238" w14:textId="068EB625" w:rsidR="0014557C" w:rsidRDefault="0014557C">
      <w:pPr>
        <w:rPr>
          <w:rFonts w:ascii="Times New Roman" w:hAnsi="Times New Roman" w:cs="Times New Roman"/>
          <w:sz w:val="24"/>
          <w:szCs w:val="24"/>
        </w:rPr>
      </w:pPr>
      <w:r>
        <w:rPr>
          <w:rFonts w:ascii="Times New Roman" w:hAnsi="Times New Roman" w:cs="Times New Roman"/>
          <w:sz w:val="24"/>
          <w:szCs w:val="24"/>
        </w:rPr>
        <w:tab/>
        <w:t>The PCA (Figure 3) also supported those results. There was no separation of points by climate and the Control and Hot points were not separated, but the Hot/Dry points were separated along PC1 from the other two treatments.</w:t>
      </w:r>
      <w:r w:rsidRPr="0014557C">
        <w:rPr>
          <w:rFonts w:ascii="Times New Roman" w:hAnsi="Times New Roman" w:cs="Times New Roman"/>
          <w:sz w:val="24"/>
          <w:szCs w:val="24"/>
        </w:rPr>
        <w:t xml:space="preserve"> </w:t>
      </w:r>
      <w:r>
        <w:rPr>
          <w:rFonts w:ascii="Times New Roman" w:hAnsi="Times New Roman" w:cs="Times New Roman"/>
          <w:sz w:val="24"/>
          <w:szCs w:val="24"/>
        </w:rPr>
        <w:t>This could either suggest that Red Spruce is more tolerant of changes in temperature and is forced to respond to changes in water stress or that Red Spruce is more able to respond to changes in water stress with a plastic response than it is to changes in temperature.</w:t>
      </w:r>
    </w:p>
    <w:p w14:paraId="55F85497" w14:textId="16B7CE62" w:rsidR="00260DA9" w:rsidRPr="00E635A9" w:rsidRDefault="00260DA9">
      <w:pPr>
        <w:rPr>
          <w:rFonts w:ascii="Times New Roman" w:hAnsi="Times New Roman" w:cs="Times New Roman"/>
          <w:sz w:val="24"/>
          <w:szCs w:val="24"/>
        </w:rPr>
      </w:pPr>
      <w:r>
        <w:rPr>
          <w:rFonts w:ascii="Times New Roman" w:hAnsi="Times New Roman" w:cs="Times New Roman"/>
          <w:sz w:val="24"/>
          <w:szCs w:val="24"/>
        </w:rPr>
        <w:tab/>
        <w:t>One modification to this experiment that could better address the question of whether drought or heat is more stressful to Red Spruce would be to include a treatment group at the same temperature as the control, but with no water. Without t</w:t>
      </w:r>
      <w:r w:rsidR="00932F72">
        <w:rPr>
          <w:rFonts w:ascii="Times New Roman" w:hAnsi="Times New Roman" w:cs="Times New Roman"/>
          <w:sz w:val="24"/>
          <w:szCs w:val="24"/>
        </w:rPr>
        <w:t>his treatment group</w:t>
      </w:r>
      <w:r>
        <w:rPr>
          <w:rFonts w:ascii="Times New Roman" w:hAnsi="Times New Roman" w:cs="Times New Roman"/>
          <w:sz w:val="24"/>
          <w:szCs w:val="24"/>
        </w:rPr>
        <w:t>, it is not possible to tell whether the high levels of differential expression between Hot/Dry and Control are due to drought stress or due to a synergistic effect between drought and heat stress.</w:t>
      </w:r>
      <w:r w:rsidR="009A5630">
        <w:rPr>
          <w:rFonts w:ascii="Times New Roman" w:hAnsi="Times New Roman" w:cs="Times New Roman"/>
          <w:sz w:val="24"/>
          <w:szCs w:val="24"/>
        </w:rPr>
        <w:t xml:space="preserve"> </w:t>
      </w:r>
      <w:bookmarkStart w:id="0" w:name="_GoBack"/>
      <w:bookmarkEnd w:id="0"/>
    </w:p>
    <w:p w14:paraId="7AE38B7E" w14:textId="058DBF16" w:rsidR="00D93DEA" w:rsidRPr="00E635A9" w:rsidRDefault="00DE406E">
      <w:pPr>
        <w:rPr>
          <w:rFonts w:ascii="Times New Roman" w:hAnsi="Times New Roman" w:cs="Times New Roman"/>
          <w:sz w:val="24"/>
          <w:szCs w:val="24"/>
          <w:u w:val="single"/>
        </w:rPr>
      </w:pPr>
      <w:r>
        <w:rPr>
          <w:rFonts w:ascii="Times New Roman" w:hAnsi="Times New Roman" w:cs="Times New Roman"/>
          <w:sz w:val="24"/>
          <w:szCs w:val="24"/>
          <w:u w:val="single"/>
        </w:rPr>
        <w:br w:type="column"/>
      </w:r>
      <w:r w:rsidR="00D93DEA" w:rsidRPr="00E635A9">
        <w:rPr>
          <w:rFonts w:ascii="Times New Roman" w:hAnsi="Times New Roman" w:cs="Times New Roman"/>
          <w:sz w:val="24"/>
          <w:szCs w:val="24"/>
          <w:u w:val="single"/>
        </w:rPr>
        <w:lastRenderedPageBreak/>
        <w:t>References</w:t>
      </w:r>
    </w:p>
    <w:p w14:paraId="152536BD" w14:textId="2C1FC759" w:rsidR="007A3363" w:rsidRDefault="007A3363">
      <w:pPr>
        <w:rPr>
          <w:rFonts w:ascii="Times New Roman" w:hAnsi="Times New Roman" w:cs="Times New Roman"/>
          <w:sz w:val="24"/>
          <w:szCs w:val="24"/>
        </w:rPr>
      </w:pPr>
      <w:r w:rsidRPr="007A3363">
        <w:rPr>
          <w:rFonts w:ascii="Times New Roman" w:hAnsi="Times New Roman" w:cs="Times New Roman"/>
          <w:sz w:val="24"/>
          <w:szCs w:val="24"/>
        </w:rPr>
        <w:t xml:space="preserve">Bolger, A. M., Lohse, M., </w:t>
      </w:r>
      <w:r w:rsidR="00BC5A4E">
        <w:rPr>
          <w:rFonts w:ascii="Times New Roman" w:hAnsi="Times New Roman" w:cs="Times New Roman"/>
          <w:sz w:val="24"/>
          <w:szCs w:val="24"/>
        </w:rPr>
        <w:t>and</w:t>
      </w:r>
      <w:r w:rsidRPr="007A3363">
        <w:rPr>
          <w:rFonts w:ascii="Times New Roman" w:hAnsi="Times New Roman" w:cs="Times New Roman"/>
          <w:sz w:val="24"/>
          <w:szCs w:val="24"/>
        </w:rPr>
        <w:t xml:space="preserve"> </w:t>
      </w:r>
      <w:proofErr w:type="spellStart"/>
      <w:r w:rsidRPr="007A3363">
        <w:rPr>
          <w:rFonts w:ascii="Times New Roman" w:hAnsi="Times New Roman" w:cs="Times New Roman"/>
          <w:sz w:val="24"/>
          <w:szCs w:val="24"/>
        </w:rPr>
        <w:t>Usadel</w:t>
      </w:r>
      <w:proofErr w:type="spellEnd"/>
      <w:r w:rsidRPr="007A3363">
        <w:rPr>
          <w:rFonts w:ascii="Times New Roman" w:hAnsi="Times New Roman" w:cs="Times New Roman"/>
          <w:sz w:val="24"/>
          <w:szCs w:val="24"/>
        </w:rPr>
        <w:t xml:space="preserve">, B. 2014. </w:t>
      </w:r>
      <w:proofErr w:type="spellStart"/>
      <w:r w:rsidRPr="007A3363">
        <w:rPr>
          <w:rFonts w:ascii="Times New Roman" w:hAnsi="Times New Roman" w:cs="Times New Roman"/>
          <w:sz w:val="24"/>
          <w:szCs w:val="24"/>
        </w:rPr>
        <w:t>Trimmomatic</w:t>
      </w:r>
      <w:proofErr w:type="spellEnd"/>
      <w:r w:rsidRPr="007A3363">
        <w:rPr>
          <w:rFonts w:ascii="Times New Roman" w:hAnsi="Times New Roman" w:cs="Times New Roman"/>
          <w:sz w:val="24"/>
          <w:szCs w:val="24"/>
        </w:rPr>
        <w:t>: A flexible trimmer for Illumina Sequence Data. Bioinformatics, btu170.</w:t>
      </w:r>
    </w:p>
    <w:p w14:paraId="1F8723F9" w14:textId="4785B795" w:rsidR="00D93DEA" w:rsidRDefault="00E635A9">
      <w:pPr>
        <w:rPr>
          <w:rFonts w:ascii="Times New Roman" w:hAnsi="Times New Roman" w:cs="Times New Roman"/>
          <w:sz w:val="24"/>
          <w:szCs w:val="24"/>
        </w:rPr>
      </w:pPr>
      <w:r w:rsidRPr="00E635A9">
        <w:rPr>
          <w:rFonts w:ascii="Times New Roman" w:hAnsi="Times New Roman" w:cs="Times New Roman"/>
          <w:sz w:val="24"/>
          <w:szCs w:val="24"/>
        </w:rPr>
        <w:t>Blum, Barton M. "</w:t>
      </w:r>
      <w:proofErr w:type="spellStart"/>
      <w:r w:rsidRPr="00E635A9">
        <w:rPr>
          <w:rFonts w:ascii="Times New Roman" w:hAnsi="Times New Roman" w:cs="Times New Roman"/>
          <w:sz w:val="24"/>
          <w:szCs w:val="24"/>
        </w:rPr>
        <w:t>Picea</w:t>
      </w:r>
      <w:proofErr w:type="spellEnd"/>
      <w:r w:rsidRPr="00E635A9">
        <w:rPr>
          <w:rFonts w:ascii="Times New Roman" w:hAnsi="Times New Roman" w:cs="Times New Roman"/>
          <w:sz w:val="24"/>
          <w:szCs w:val="24"/>
        </w:rPr>
        <w:t xml:space="preserve"> </w:t>
      </w:r>
      <w:proofErr w:type="spellStart"/>
      <w:r w:rsidRPr="00E635A9">
        <w:rPr>
          <w:rFonts w:ascii="Times New Roman" w:hAnsi="Times New Roman" w:cs="Times New Roman"/>
          <w:sz w:val="24"/>
          <w:szCs w:val="24"/>
        </w:rPr>
        <w:t>rubens</w:t>
      </w:r>
      <w:proofErr w:type="spellEnd"/>
      <w:r w:rsidRPr="00E635A9">
        <w:rPr>
          <w:rFonts w:ascii="Times New Roman" w:hAnsi="Times New Roman" w:cs="Times New Roman"/>
          <w:sz w:val="24"/>
          <w:szCs w:val="24"/>
        </w:rPr>
        <w:t xml:space="preserve"> </w:t>
      </w:r>
      <w:proofErr w:type="spellStart"/>
      <w:r w:rsidRPr="00E635A9">
        <w:rPr>
          <w:rFonts w:ascii="Times New Roman" w:hAnsi="Times New Roman" w:cs="Times New Roman"/>
          <w:sz w:val="24"/>
          <w:szCs w:val="24"/>
        </w:rPr>
        <w:t>Sarg</w:t>
      </w:r>
      <w:proofErr w:type="spellEnd"/>
      <w:r w:rsidRPr="00E635A9">
        <w:rPr>
          <w:rFonts w:ascii="Times New Roman" w:hAnsi="Times New Roman" w:cs="Times New Roman"/>
          <w:sz w:val="24"/>
          <w:szCs w:val="24"/>
        </w:rPr>
        <w:t xml:space="preserve">. </w:t>
      </w:r>
      <w:r>
        <w:rPr>
          <w:rFonts w:ascii="Times New Roman" w:hAnsi="Times New Roman" w:cs="Times New Roman"/>
          <w:sz w:val="24"/>
          <w:szCs w:val="24"/>
        </w:rPr>
        <w:t>R</w:t>
      </w:r>
      <w:r w:rsidRPr="00E635A9">
        <w:rPr>
          <w:rFonts w:ascii="Times New Roman" w:hAnsi="Times New Roman" w:cs="Times New Roman"/>
          <w:sz w:val="24"/>
          <w:szCs w:val="24"/>
        </w:rPr>
        <w:t xml:space="preserve">ed </w:t>
      </w:r>
      <w:r>
        <w:rPr>
          <w:rFonts w:ascii="Times New Roman" w:hAnsi="Times New Roman" w:cs="Times New Roman"/>
          <w:sz w:val="24"/>
          <w:szCs w:val="24"/>
        </w:rPr>
        <w:t>S</w:t>
      </w:r>
      <w:r w:rsidRPr="00E635A9">
        <w:rPr>
          <w:rFonts w:ascii="Times New Roman" w:hAnsi="Times New Roman" w:cs="Times New Roman"/>
          <w:sz w:val="24"/>
          <w:szCs w:val="24"/>
        </w:rPr>
        <w:t>pruce." Silvics of North America 1 (1990): 250-259.</w:t>
      </w:r>
    </w:p>
    <w:p w14:paraId="6FE0B82D" w14:textId="55A3697A" w:rsidR="00B22088" w:rsidRDefault="00B22088">
      <w:pPr>
        <w:rPr>
          <w:rFonts w:ascii="Times New Roman" w:hAnsi="Times New Roman" w:cs="Times New Roman"/>
          <w:sz w:val="24"/>
          <w:szCs w:val="24"/>
        </w:rPr>
      </w:pPr>
      <w:r w:rsidRPr="00B22088">
        <w:rPr>
          <w:rFonts w:ascii="Times New Roman" w:hAnsi="Times New Roman" w:cs="Times New Roman"/>
          <w:sz w:val="24"/>
          <w:szCs w:val="24"/>
        </w:rPr>
        <w:t>Love MI, Huber W, Anders S</w:t>
      </w:r>
      <w:r>
        <w:rPr>
          <w:rFonts w:ascii="Times New Roman" w:hAnsi="Times New Roman" w:cs="Times New Roman"/>
          <w:sz w:val="24"/>
          <w:szCs w:val="24"/>
        </w:rPr>
        <w:t xml:space="preserve">. </w:t>
      </w:r>
      <w:r w:rsidRPr="00B22088">
        <w:rPr>
          <w:rFonts w:ascii="Times New Roman" w:hAnsi="Times New Roman" w:cs="Times New Roman"/>
          <w:sz w:val="24"/>
          <w:szCs w:val="24"/>
        </w:rPr>
        <w:t xml:space="preserve">2014. “Moderated estimation of fold change and dispersion for RNA-seq data with DESeq2.” </w:t>
      </w:r>
      <w:r w:rsidRPr="009D4536">
        <w:rPr>
          <w:rFonts w:ascii="Times New Roman" w:hAnsi="Times New Roman" w:cs="Times New Roman"/>
          <w:i/>
          <w:iCs/>
          <w:sz w:val="24"/>
          <w:szCs w:val="24"/>
        </w:rPr>
        <w:t>Genome Biology</w:t>
      </w:r>
      <w:r w:rsidRPr="00B22088">
        <w:rPr>
          <w:rFonts w:ascii="Times New Roman" w:hAnsi="Times New Roman" w:cs="Times New Roman"/>
          <w:sz w:val="24"/>
          <w:szCs w:val="24"/>
        </w:rPr>
        <w:t>, 15, 550.</w:t>
      </w:r>
    </w:p>
    <w:p w14:paraId="5DEF9E51" w14:textId="615E39BA" w:rsidR="00C40808" w:rsidRDefault="00C40808">
      <w:pPr>
        <w:rPr>
          <w:rFonts w:ascii="Times New Roman" w:hAnsi="Times New Roman" w:cs="Times New Roman"/>
          <w:sz w:val="24"/>
          <w:szCs w:val="24"/>
        </w:rPr>
      </w:pPr>
      <w:proofErr w:type="spellStart"/>
      <w:r w:rsidRPr="00C40808">
        <w:rPr>
          <w:rFonts w:ascii="Times New Roman" w:hAnsi="Times New Roman" w:cs="Times New Roman"/>
          <w:sz w:val="24"/>
          <w:szCs w:val="24"/>
        </w:rPr>
        <w:t>Nystedt</w:t>
      </w:r>
      <w:proofErr w:type="spellEnd"/>
      <w:r w:rsidRPr="00C40808">
        <w:rPr>
          <w:rFonts w:ascii="Times New Roman" w:hAnsi="Times New Roman" w:cs="Times New Roman"/>
          <w:sz w:val="24"/>
          <w:szCs w:val="24"/>
        </w:rPr>
        <w:t xml:space="preserve">, B., Street, N., </w:t>
      </w:r>
      <w:proofErr w:type="spellStart"/>
      <w:r w:rsidRPr="00C40808">
        <w:rPr>
          <w:rFonts w:ascii="Times New Roman" w:hAnsi="Times New Roman" w:cs="Times New Roman"/>
          <w:sz w:val="24"/>
          <w:szCs w:val="24"/>
        </w:rPr>
        <w:t>Wetterbom</w:t>
      </w:r>
      <w:proofErr w:type="spellEnd"/>
      <w:r w:rsidRPr="00C40808">
        <w:rPr>
          <w:rFonts w:ascii="Times New Roman" w:hAnsi="Times New Roman" w:cs="Times New Roman"/>
          <w:sz w:val="24"/>
          <w:szCs w:val="24"/>
        </w:rPr>
        <w:t xml:space="preserve">, A. et al. </w:t>
      </w:r>
      <w:r>
        <w:rPr>
          <w:rFonts w:ascii="Times New Roman" w:hAnsi="Times New Roman" w:cs="Times New Roman"/>
          <w:sz w:val="24"/>
          <w:szCs w:val="24"/>
        </w:rPr>
        <w:t xml:space="preserve">2013. </w:t>
      </w:r>
      <w:r w:rsidRPr="00C40808">
        <w:rPr>
          <w:rFonts w:ascii="Times New Roman" w:hAnsi="Times New Roman" w:cs="Times New Roman"/>
          <w:sz w:val="24"/>
          <w:szCs w:val="24"/>
        </w:rPr>
        <w:t xml:space="preserve">The Norway spruce genome sequence and conifer genome evolution. </w:t>
      </w:r>
      <w:r w:rsidRPr="00C40808">
        <w:rPr>
          <w:rFonts w:ascii="Times New Roman" w:hAnsi="Times New Roman" w:cs="Times New Roman"/>
          <w:i/>
          <w:iCs/>
          <w:sz w:val="24"/>
          <w:szCs w:val="24"/>
        </w:rPr>
        <w:t>Nature</w:t>
      </w:r>
      <w:r w:rsidRPr="00C40808">
        <w:rPr>
          <w:rFonts w:ascii="Times New Roman" w:hAnsi="Times New Roman" w:cs="Times New Roman"/>
          <w:sz w:val="24"/>
          <w:szCs w:val="24"/>
        </w:rPr>
        <w:t xml:space="preserve"> 497, 579–584</w:t>
      </w:r>
      <w:r>
        <w:rPr>
          <w:rFonts w:ascii="Times New Roman" w:hAnsi="Times New Roman" w:cs="Times New Roman"/>
          <w:sz w:val="24"/>
          <w:szCs w:val="24"/>
        </w:rPr>
        <w:t>.</w:t>
      </w:r>
    </w:p>
    <w:p w14:paraId="5D116DE0" w14:textId="6E7724A7" w:rsidR="00BC5A4E" w:rsidRPr="00BC5A4E" w:rsidRDefault="00BC5A4E">
      <w:pPr>
        <w:rPr>
          <w:rFonts w:ascii="Times New Roman" w:hAnsi="Times New Roman" w:cs="Times New Roman"/>
          <w:sz w:val="24"/>
          <w:szCs w:val="24"/>
        </w:rPr>
      </w:pPr>
      <w:proofErr w:type="spellStart"/>
      <w:r>
        <w:rPr>
          <w:rFonts w:ascii="Times New Roman" w:hAnsi="Times New Roman" w:cs="Times New Roman"/>
          <w:sz w:val="24"/>
          <w:szCs w:val="24"/>
        </w:rPr>
        <w:t>Patro</w:t>
      </w:r>
      <w:proofErr w:type="spellEnd"/>
      <w:r>
        <w:rPr>
          <w:rFonts w:ascii="Times New Roman" w:hAnsi="Times New Roman" w:cs="Times New Roman"/>
          <w:sz w:val="24"/>
          <w:szCs w:val="24"/>
        </w:rPr>
        <w:t xml:space="preserve">, Rob, </w:t>
      </w:r>
      <w:proofErr w:type="spellStart"/>
      <w:r>
        <w:rPr>
          <w:rFonts w:ascii="Times New Roman" w:hAnsi="Times New Roman" w:cs="Times New Roman"/>
          <w:sz w:val="24"/>
          <w:szCs w:val="24"/>
        </w:rPr>
        <w:t>Geet</w:t>
      </w:r>
      <w:proofErr w:type="spellEnd"/>
      <w:r>
        <w:rPr>
          <w:rFonts w:ascii="Times New Roman" w:hAnsi="Times New Roman" w:cs="Times New Roman"/>
          <w:sz w:val="24"/>
          <w:szCs w:val="24"/>
        </w:rPr>
        <w:t xml:space="preserve"> Duggal, Michael I. Love, Rafael A. Irizarry, and Carl Kingsford. 2017. Salmon provides fast and bias-aware quantification of transcript expression. </w:t>
      </w:r>
      <w:r>
        <w:rPr>
          <w:rFonts w:ascii="Times New Roman" w:hAnsi="Times New Roman" w:cs="Times New Roman"/>
          <w:i/>
          <w:iCs/>
          <w:sz w:val="24"/>
          <w:szCs w:val="24"/>
        </w:rPr>
        <w:t>Nature Methods</w:t>
      </w:r>
      <w:r>
        <w:rPr>
          <w:rFonts w:ascii="Times New Roman" w:hAnsi="Times New Roman" w:cs="Times New Roman"/>
          <w:sz w:val="24"/>
          <w:szCs w:val="24"/>
        </w:rPr>
        <w:t xml:space="preserve"> 14: 417-419.</w:t>
      </w:r>
    </w:p>
    <w:sectPr w:rsidR="00BC5A4E" w:rsidRPr="00BC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D1"/>
    <w:rsid w:val="00045050"/>
    <w:rsid w:val="000C65B4"/>
    <w:rsid w:val="000F546A"/>
    <w:rsid w:val="0014557C"/>
    <w:rsid w:val="00152603"/>
    <w:rsid w:val="00260DA9"/>
    <w:rsid w:val="00323BC3"/>
    <w:rsid w:val="004226D8"/>
    <w:rsid w:val="00464AE9"/>
    <w:rsid w:val="004818F5"/>
    <w:rsid w:val="00490A47"/>
    <w:rsid w:val="005329F1"/>
    <w:rsid w:val="005677E6"/>
    <w:rsid w:val="00591777"/>
    <w:rsid w:val="005B0260"/>
    <w:rsid w:val="00613DEC"/>
    <w:rsid w:val="006F2987"/>
    <w:rsid w:val="00716034"/>
    <w:rsid w:val="0072204D"/>
    <w:rsid w:val="00790DE3"/>
    <w:rsid w:val="007A3363"/>
    <w:rsid w:val="007C5440"/>
    <w:rsid w:val="008874AF"/>
    <w:rsid w:val="0089188A"/>
    <w:rsid w:val="008C567A"/>
    <w:rsid w:val="00932F72"/>
    <w:rsid w:val="0099161B"/>
    <w:rsid w:val="009A5630"/>
    <w:rsid w:val="009D21CF"/>
    <w:rsid w:val="009D4536"/>
    <w:rsid w:val="00B22088"/>
    <w:rsid w:val="00B35D4E"/>
    <w:rsid w:val="00BC5A4E"/>
    <w:rsid w:val="00C11EB7"/>
    <w:rsid w:val="00C13CB3"/>
    <w:rsid w:val="00C40313"/>
    <w:rsid w:val="00C40808"/>
    <w:rsid w:val="00C46D66"/>
    <w:rsid w:val="00C91B09"/>
    <w:rsid w:val="00CB0E8B"/>
    <w:rsid w:val="00CF1AA7"/>
    <w:rsid w:val="00D75370"/>
    <w:rsid w:val="00D93DEA"/>
    <w:rsid w:val="00DC2202"/>
    <w:rsid w:val="00DD3769"/>
    <w:rsid w:val="00DE406E"/>
    <w:rsid w:val="00E02BB8"/>
    <w:rsid w:val="00E421DF"/>
    <w:rsid w:val="00E4443F"/>
    <w:rsid w:val="00E570F4"/>
    <w:rsid w:val="00E635A9"/>
    <w:rsid w:val="00E90FA5"/>
    <w:rsid w:val="00E960C0"/>
    <w:rsid w:val="00EC113A"/>
    <w:rsid w:val="00EC7105"/>
    <w:rsid w:val="00ED0036"/>
    <w:rsid w:val="00EE1C94"/>
    <w:rsid w:val="00F113D1"/>
    <w:rsid w:val="00F7788D"/>
    <w:rsid w:val="00F90BEC"/>
    <w:rsid w:val="00F962DE"/>
    <w:rsid w:val="00FA6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A2B8"/>
  <w15:chartTrackingRefBased/>
  <w15:docId w15:val="{EF477B52-0B0C-40CE-8DAD-5F464CE2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Portlas</dc:creator>
  <cp:keywords/>
  <dc:description/>
  <cp:lastModifiedBy>Zoe Portlas</cp:lastModifiedBy>
  <cp:revision>51</cp:revision>
  <dcterms:created xsi:type="dcterms:W3CDTF">2020-03-27T17:02:00Z</dcterms:created>
  <dcterms:modified xsi:type="dcterms:W3CDTF">2020-03-27T23:11:00Z</dcterms:modified>
</cp:coreProperties>
</file>