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DAEB50">
      <w:pPr>
        <w:spacing w:before="480" w:after="480" w:line="288" w:lineRule="auto"/>
        <w:ind w:left="0"/>
      </w:pPr>
      <w:r>
        <w:rPr>
          <w:rFonts w:ascii="Arial" w:hAnsi="Arial" w:eastAsia="等线" w:cs="Arial"/>
          <w:b/>
          <w:sz w:val="52"/>
        </w:rPr>
        <w:t>梅州万福楼灵芝种植基地｜灵芝农业文化遗产 双语宣传文档</w:t>
      </w:r>
    </w:p>
    <w:p w14:paraId="76C05A34">
      <w:pPr>
        <w:spacing w:before="320" w:after="120" w:line="288" w:lineRule="auto"/>
        <w:ind w:left="0"/>
        <w:jc w:val="left"/>
        <w:outlineLvl w:val="1"/>
      </w:pPr>
      <w:bookmarkStart w:id="0" w:name="heading_0"/>
      <w:r>
        <w:rPr>
          <w:rFonts w:ascii="Arial" w:hAnsi="Arial" w:eastAsia="等线" w:cs="Arial"/>
          <w:b/>
          <w:sz w:val="32"/>
        </w:rPr>
        <w:t>一、基地简介</w:t>
      </w:r>
      <w:bookmarkEnd w:id="0"/>
    </w:p>
    <w:p w14:paraId="53A7106A">
      <w:pPr>
        <w:spacing w:before="120" w:after="120" w:line="288" w:lineRule="auto"/>
        <w:ind w:left="0"/>
        <w:jc w:val="left"/>
      </w:pPr>
      <w:r>
        <w:rPr>
          <w:rFonts w:ascii="Arial" w:hAnsi="Arial" w:eastAsia="等线" w:cs="Arial"/>
          <w:sz w:val="22"/>
        </w:rPr>
        <w:t>中文：梅州万福楼灵芝基地采用室内立体标准化栽培模式培育赤灵芝、血灵芝。基地传承岭南灵芝传统栽培技艺，深度挖掘灵芝农业文化遗产价值，推动传统药草农耕文化活态传承，发展特色林下药用真菌产业，赋能乡村振兴与 “百县千镇万村高质量发展工程”。</w:t>
      </w:r>
      <w:r>
        <w:rPr>
          <w:rFonts w:ascii="Arial" w:hAnsi="Arial" w:eastAsia="等线" w:cs="Arial"/>
          <w:sz w:val="22"/>
        </w:rPr>
        <w:br w:type="textWrapping"/>
      </w:r>
      <w:r>
        <w:rPr>
          <w:rFonts w:ascii="Arial" w:hAnsi="Arial" w:eastAsia="等线" w:cs="Arial"/>
          <w:sz w:val="22"/>
        </w:rPr>
        <w:t xml:space="preserve">English: Wanfulou Ganoderma Base in Meizhou adopts standardized indoor three-dimensional cultivation to grow </w:t>
      </w:r>
      <w:r>
        <w:rPr>
          <w:rFonts w:ascii="Arial" w:hAnsi="Arial" w:eastAsia="等线" w:cs="Arial"/>
          <w:i/>
          <w:sz w:val="22"/>
        </w:rPr>
        <w:t>Ganoderma lucidum</w:t>
      </w:r>
      <w:r>
        <w:rPr>
          <w:rFonts w:ascii="Arial" w:hAnsi="Arial" w:eastAsia="等线" w:cs="Arial"/>
          <w:sz w:val="22"/>
        </w:rPr>
        <w:t xml:space="preserve"> and </w:t>
      </w:r>
      <w:r>
        <w:rPr>
          <w:rFonts w:ascii="Arial" w:hAnsi="Arial" w:eastAsia="等线" w:cs="Arial"/>
          <w:i/>
          <w:sz w:val="22"/>
        </w:rPr>
        <w:t>Ganoderma sinense</w:t>
      </w:r>
      <w:r>
        <w:rPr>
          <w:rFonts w:ascii="Arial" w:hAnsi="Arial" w:eastAsia="等线" w:cs="Arial"/>
          <w:sz w:val="22"/>
        </w:rPr>
        <w:t>. The base inherits the traditional Lingnan ganoderma cultivation techniques, explores the value of Ganoderma Agricultural Cultural Heritage, promotes the living inheritance of traditional herbal farming culture, develops characteristic medicinal fungus industries, and contributes to rural revitalization and the High-Quality Development Project of Hundred Counties, Thousand Towns and Ten Thousand Villages.</w:t>
      </w:r>
    </w:p>
    <w:p w14:paraId="404D1B95">
      <w:pPr>
        <w:spacing w:before="320" w:after="120" w:line="288" w:lineRule="auto"/>
        <w:ind w:left="0"/>
        <w:jc w:val="left"/>
        <w:outlineLvl w:val="1"/>
      </w:pPr>
      <w:bookmarkStart w:id="1" w:name="heading_1"/>
      <w:r>
        <w:rPr>
          <w:rFonts w:ascii="Arial" w:hAnsi="Arial" w:eastAsia="等线" w:cs="Arial"/>
          <w:b/>
          <w:sz w:val="32"/>
        </w:rPr>
        <w:t>二、核心栽培品种</w:t>
      </w:r>
      <w:bookmarkEnd w:id="1"/>
    </w:p>
    <w:p w14:paraId="1F3E2032">
      <w:pPr>
        <w:numPr>
          <w:ilvl w:val="0"/>
          <w:numId w:val="1"/>
        </w:numPr>
        <w:spacing w:before="120" w:after="120" w:line="288" w:lineRule="auto"/>
        <w:ind w:left="0"/>
        <w:jc w:val="left"/>
      </w:pPr>
      <w:r>
        <w:rPr>
          <w:rFonts w:ascii="Arial" w:hAnsi="Arial" w:eastAsia="等线" w:cs="Arial"/>
          <w:b/>
          <w:sz w:val="22"/>
        </w:rPr>
        <w:t xml:space="preserve">赤灵芝 </w:t>
      </w:r>
      <w:r>
        <w:rPr>
          <w:rFonts w:ascii="Arial" w:hAnsi="Arial" w:eastAsia="等线" w:cs="Arial"/>
          <w:b/>
          <w:i/>
          <w:sz w:val="22"/>
        </w:rPr>
        <w:t>Ganoderma lucidum</w:t>
      </w:r>
      <w:r>
        <w:rPr>
          <w:rFonts w:ascii="Arial" w:hAnsi="Arial" w:eastAsia="等线" w:cs="Arial"/>
          <w:sz w:val="22"/>
        </w:rPr>
        <w:br w:type="textWrapping"/>
      </w:r>
      <w:r>
        <w:rPr>
          <w:rFonts w:ascii="Arial" w:hAnsi="Arial" w:eastAsia="等线" w:cs="Arial"/>
          <w:sz w:val="22"/>
        </w:rPr>
        <w:t>中文：典籍记载的经典灵芝品种，成熟子实体可弹射灵芝孢子粉，为本基地主要培育品种。</w:t>
      </w:r>
      <w:r>
        <w:rPr>
          <w:rFonts w:ascii="Arial" w:hAnsi="Arial" w:eastAsia="等线" w:cs="Arial"/>
          <w:sz w:val="22"/>
        </w:rPr>
        <w:br w:type="textWrapping"/>
      </w:r>
      <w:r>
        <w:rPr>
          <w:rFonts w:ascii="Arial" w:hAnsi="Arial" w:eastAsia="等线" w:cs="Arial"/>
          <w:sz w:val="22"/>
        </w:rPr>
        <w:t>English: A classic ganoderma variety recorded in ancient literatures. Mature fruiting bodies release ganoderma spore powder, and it is the major cultivated variety of the base.</w:t>
      </w:r>
    </w:p>
    <w:p w14:paraId="48106561">
      <w:pPr>
        <w:numPr>
          <w:ilvl w:val="0"/>
          <w:numId w:val="2"/>
        </w:numPr>
        <w:spacing w:before="120" w:after="120" w:line="288" w:lineRule="auto"/>
        <w:ind w:left="0"/>
        <w:jc w:val="left"/>
      </w:pPr>
      <w:r>
        <w:rPr>
          <w:rFonts w:ascii="Arial" w:hAnsi="Arial" w:eastAsia="等线" w:cs="Arial"/>
          <w:b/>
          <w:sz w:val="22"/>
        </w:rPr>
        <w:t xml:space="preserve">血灵芝 </w:t>
      </w:r>
      <w:r>
        <w:rPr>
          <w:rFonts w:ascii="Arial" w:hAnsi="Arial" w:eastAsia="等线" w:cs="Arial"/>
          <w:b/>
          <w:i/>
          <w:sz w:val="22"/>
        </w:rPr>
        <w:t>Ganoderma sinense</w:t>
      </w:r>
      <w:r>
        <w:rPr>
          <w:rFonts w:ascii="Arial" w:hAnsi="Arial" w:eastAsia="等线" w:cs="Arial"/>
          <w:sz w:val="22"/>
        </w:rPr>
        <w:br w:type="textWrapping"/>
      </w:r>
      <w:r>
        <w:rPr>
          <w:rFonts w:ascii="Arial" w:hAnsi="Arial" w:eastAsia="等线" w:cs="Arial"/>
          <w:sz w:val="22"/>
        </w:rPr>
        <w:t>中文：不产生灵芝孢子粉，待子实体发育成熟后直接采收。</w:t>
      </w:r>
      <w:r>
        <w:rPr>
          <w:rFonts w:ascii="Arial" w:hAnsi="Arial" w:eastAsia="等线" w:cs="Arial"/>
          <w:sz w:val="22"/>
        </w:rPr>
        <w:br w:type="textWrapping"/>
      </w:r>
      <w:r>
        <w:rPr>
          <w:rFonts w:ascii="Arial" w:hAnsi="Arial" w:eastAsia="等线" w:cs="Arial"/>
          <w:sz w:val="22"/>
        </w:rPr>
        <w:t>English: It does not produce ganoderma spore powder. Fruiting bodies are harvested directly after full maturation.</w:t>
      </w:r>
    </w:p>
    <w:p w14:paraId="13DBB14E">
      <w:pPr>
        <w:spacing w:before="300" w:after="120" w:line="288" w:lineRule="auto"/>
        <w:ind w:left="0"/>
        <w:jc w:val="left"/>
        <w:outlineLvl w:val="2"/>
      </w:pPr>
      <w:bookmarkStart w:id="2" w:name="heading_2"/>
      <w:r>
        <w:rPr>
          <w:rFonts w:ascii="Arial" w:hAnsi="Arial" w:eastAsia="等线" w:cs="Arial"/>
          <w:b/>
          <w:sz w:val="30"/>
        </w:rPr>
        <w:t>品种特性说明</w:t>
      </w:r>
      <w:bookmarkEnd w:id="2"/>
    </w:p>
    <w:p w14:paraId="7FA3A976">
      <w:pPr>
        <w:spacing w:before="120" w:after="120" w:line="288" w:lineRule="auto"/>
        <w:ind w:left="0"/>
        <w:jc w:val="left"/>
      </w:pPr>
      <w:r>
        <w:rPr>
          <w:rFonts w:ascii="Arial" w:hAnsi="Arial" w:eastAsia="等线" w:cs="Arial"/>
          <w:sz w:val="22"/>
        </w:rPr>
        <w:t>中文：两类灵芝均具备提升免疫力的作用。血灵芝抗氧化性能突出，有益于血管健康，可缓解部分抗肿瘤药物引发的副作用。</w:t>
      </w:r>
      <w:r>
        <w:rPr>
          <w:rFonts w:ascii="Arial" w:hAnsi="Arial" w:eastAsia="等线" w:cs="Arial"/>
          <w:sz w:val="22"/>
        </w:rPr>
        <w:br w:type="textWrapping"/>
      </w:r>
      <w:r>
        <w:rPr>
          <w:rFonts w:ascii="Arial" w:hAnsi="Arial" w:eastAsia="等线" w:cs="Arial"/>
          <w:sz w:val="22"/>
        </w:rPr>
        <w:t>备注：相关内容为种植实践总结，不作医疗论断。</w:t>
      </w:r>
      <w:r>
        <w:rPr>
          <w:rFonts w:ascii="Arial" w:hAnsi="Arial" w:eastAsia="等线" w:cs="Arial"/>
          <w:sz w:val="22"/>
        </w:rPr>
        <w:br w:type="textWrapping"/>
      </w:r>
      <w:r>
        <w:rPr>
          <w:rFonts w:ascii="Arial" w:hAnsi="Arial" w:eastAsia="等线" w:cs="Arial"/>
          <w:sz w:val="22"/>
        </w:rPr>
        <w:t xml:space="preserve">English: Both varieties can help improve immunity. </w:t>
      </w:r>
      <w:r>
        <w:rPr>
          <w:rFonts w:ascii="Arial" w:hAnsi="Arial" w:eastAsia="等线" w:cs="Arial"/>
          <w:i/>
          <w:sz w:val="22"/>
        </w:rPr>
        <w:t>Ganoderma sinense</w:t>
      </w:r>
      <w:r>
        <w:rPr>
          <w:rFonts w:ascii="Arial" w:hAnsi="Arial" w:eastAsia="等线" w:cs="Arial"/>
          <w:sz w:val="22"/>
        </w:rPr>
        <w:t xml:space="preserve"> features outstanding antioxidant capacity, benefits vascular health and may relieve side effects caused by some anti-tumor medicines.</w:t>
      </w:r>
      <w:r>
        <w:rPr>
          <w:rFonts w:ascii="Arial" w:hAnsi="Arial" w:eastAsia="等线" w:cs="Arial"/>
          <w:sz w:val="22"/>
        </w:rPr>
        <w:br w:type="textWrapping"/>
      </w:r>
      <w:r>
        <w:rPr>
          <w:rFonts w:ascii="Arial" w:hAnsi="Arial" w:eastAsia="等线" w:cs="Arial"/>
          <w:sz w:val="22"/>
        </w:rPr>
        <w:t>Note: The above information is summarized from cultivation practice, not medical conclusion.</w:t>
      </w:r>
    </w:p>
    <w:p w14:paraId="530C5A74">
      <w:pPr>
        <w:spacing w:before="320" w:after="120" w:line="288" w:lineRule="auto"/>
        <w:ind w:left="0"/>
        <w:jc w:val="left"/>
        <w:outlineLvl w:val="1"/>
      </w:pPr>
      <w:bookmarkStart w:id="3" w:name="heading_3"/>
      <w:r>
        <w:rPr>
          <w:rFonts w:ascii="Arial" w:hAnsi="Arial" w:eastAsia="等线" w:cs="Arial"/>
          <w:b/>
          <w:sz w:val="32"/>
        </w:rPr>
        <w:t>三、标准化生产工艺流程（网站流程图文字素材）</w:t>
      </w:r>
      <w:bookmarkEnd w:id="3"/>
    </w:p>
    <w:p w14:paraId="3FC9BF2F">
      <w:pPr>
        <w:numPr>
          <w:ilvl w:val="0"/>
          <w:numId w:val="3"/>
        </w:numPr>
        <w:spacing w:before="120" w:after="120" w:line="288" w:lineRule="auto"/>
        <w:ind w:left="0"/>
        <w:jc w:val="left"/>
      </w:pPr>
      <w:r>
        <w:rPr>
          <w:rFonts w:ascii="Arial" w:hAnsi="Arial" w:eastAsia="等线" w:cs="Arial"/>
          <w:sz w:val="22"/>
        </w:rPr>
        <w:t>自主驯化、培育灵芝菌种</w:t>
      </w:r>
      <w:r>
        <w:rPr>
          <w:rFonts w:ascii="Arial" w:hAnsi="Arial" w:eastAsia="等线" w:cs="Arial"/>
          <w:sz w:val="22"/>
        </w:rPr>
        <w:br w:type="textWrapping"/>
      </w:r>
      <w:r>
        <w:rPr>
          <w:rFonts w:ascii="Arial" w:hAnsi="Arial" w:eastAsia="等线" w:cs="Arial"/>
          <w:sz w:val="22"/>
        </w:rPr>
        <w:t>Independent domestication and cultivation of ganoderma strains</w:t>
      </w:r>
    </w:p>
    <w:p w14:paraId="0959CC5A">
      <w:pPr>
        <w:numPr>
          <w:ilvl w:val="0"/>
          <w:numId w:val="4"/>
        </w:numPr>
        <w:spacing w:before="120" w:after="120" w:line="288" w:lineRule="auto"/>
        <w:ind w:left="0"/>
        <w:jc w:val="left"/>
      </w:pPr>
      <w:r>
        <w:rPr>
          <w:rFonts w:ascii="Arial" w:hAnsi="Arial" w:eastAsia="等线" w:cs="Arial"/>
          <w:sz w:val="22"/>
        </w:rPr>
        <w:t>培养基装填制作菌包，通过高压设备高温灭菌</w:t>
      </w:r>
      <w:r>
        <w:rPr>
          <w:rFonts w:ascii="Arial" w:hAnsi="Arial" w:eastAsia="等线" w:cs="Arial"/>
          <w:sz w:val="22"/>
        </w:rPr>
        <w:br w:type="textWrapping"/>
      </w:r>
      <w:r>
        <w:rPr>
          <w:rFonts w:ascii="Arial" w:hAnsi="Arial" w:eastAsia="等线" w:cs="Arial"/>
          <w:sz w:val="22"/>
        </w:rPr>
        <w:t>Fill culture medium to produce fungus bags and conduct high-temperature sterilization</w:t>
      </w:r>
    </w:p>
    <w:p w14:paraId="3FB8A188">
      <w:pPr>
        <w:numPr>
          <w:ilvl w:val="0"/>
          <w:numId w:val="5"/>
        </w:numPr>
        <w:spacing w:before="120" w:after="120" w:line="288" w:lineRule="auto"/>
        <w:ind w:left="0"/>
        <w:jc w:val="left"/>
      </w:pPr>
      <w:r>
        <w:rPr>
          <w:rFonts w:ascii="Arial" w:hAnsi="Arial" w:eastAsia="等线" w:cs="Arial"/>
          <w:sz w:val="22"/>
        </w:rPr>
        <w:t>恒温恒湿设施大棚进行灵芝培育，促进子实体生长</w:t>
      </w:r>
      <w:r>
        <w:rPr>
          <w:rFonts w:ascii="Arial" w:hAnsi="Arial" w:eastAsia="等线" w:cs="Arial"/>
          <w:sz w:val="22"/>
        </w:rPr>
        <w:br w:type="textWrapping"/>
      </w:r>
      <w:r>
        <w:rPr>
          <w:rFonts w:ascii="Arial" w:hAnsi="Arial" w:eastAsia="等线" w:cs="Arial"/>
          <w:sz w:val="22"/>
        </w:rPr>
        <w:t>Cultivate ganoderma in greenhouses with constant temperature and humidity to support fruiting body development</w:t>
      </w:r>
    </w:p>
    <w:p w14:paraId="245EFECE">
      <w:pPr>
        <w:numPr>
          <w:ilvl w:val="0"/>
          <w:numId w:val="6"/>
        </w:numPr>
        <w:spacing w:before="120" w:after="120" w:line="288" w:lineRule="auto"/>
        <w:ind w:left="0"/>
        <w:jc w:val="left"/>
      </w:pPr>
      <w:r>
        <w:rPr>
          <w:rFonts w:ascii="Arial" w:hAnsi="Arial" w:eastAsia="等线" w:cs="Arial"/>
          <w:sz w:val="22"/>
        </w:rPr>
        <w:t>清洁培育设施，铺设洁净防护布，隔绝蚊虫、粉尘，构建洁净采集环境</w:t>
      </w:r>
      <w:r>
        <w:rPr>
          <w:rFonts w:ascii="Arial" w:hAnsi="Arial" w:eastAsia="等线" w:cs="Arial"/>
          <w:sz w:val="22"/>
        </w:rPr>
        <w:br w:type="textWrapping"/>
      </w:r>
      <w:r>
        <w:rPr>
          <w:rFonts w:ascii="Arial" w:hAnsi="Arial" w:eastAsia="等线" w:cs="Arial"/>
          <w:sz w:val="22"/>
        </w:rPr>
        <w:t>Clean cultivation facilities and lay protective cloth to block pests and dust, establishing a hygienic harvesting environment</w:t>
      </w:r>
    </w:p>
    <w:p w14:paraId="3F629428">
      <w:pPr>
        <w:numPr>
          <w:ilvl w:val="0"/>
          <w:numId w:val="7"/>
        </w:numPr>
        <w:spacing w:before="120" w:after="120" w:line="288" w:lineRule="auto"/>
        <w:ind w:left="0"/>
        <w:jc w:val="left"/>
      </w:pPr>
      <w:r>
        <w:rPr>
          <w:rFonts w:ascii="Arial" w:hAnsi="Arial" w:eastAsia="等线" w:cs="Arial"/>
          <w:sz w:val="22"/>
        </w:rPr>
        <w:t>收集成熟赤灵芝释放的灵芝孢子粉</w:t>
      </w:r>
      <w:r>
        <w:rPr>
          <w:rFonts w:ascii="Arial" w:hAnsi="Arial" w:eastAsia="等线" w:cs="Arial"/>
          <w:sz w:val="22"/>
        </w:rPr>
        <w:br w:type="textWrapping"/>
      </w:r>
      <w:r>
        <w:rPr>
          <w:rFonts w:ascii="Arial" w:hAnsi="Arial" w:eastAsia="等线" w:cs="Arial"/>
          <w:sz w:val="22"/>
        </w:rPr>
        <w:t xml:space="preserve">Collect spore powder ejected by mature </w:t>
      </w:r>
      <w:r>
        <w:rPr>
          <w:rFonts w:ascii="Arial" w:hAnsi="Arial" w:eastAsia="等线" w:cs="Arial"/>
          <w:i/>
          <w:sz w:val="22"/>
        </w:rPr>
        <w:t>Ganoderma lucidum</w:t>
      </w:r>
    </w:p>
    <w:p w14:paraId="5DE75E2E">
      <w:pPr>
        <w:numPr>
          <w:ilvl w:val="0"/>
          <w:numId w:val="8"/>
        </w:numPr>
        <w:spacing w:before="120" w:after="120" w:line="288" w:lineRule="auto"/>
        <w:ind w:left="0"/>
        <w:jc w:val="left"/>
      </w:pPr>
      <w:r>
        <w:rPr>
          <w:rFonts w:ascii="Arial" w:hAnsi="Arial" w:eastAsia="等线" w:cs="Arial"/>
          <w:sz w:val="22"/>
        </w:rPr>
        <w:t>同步开展血灵芝培育；栽培流程与赤灵芝一致，成熟后直接采收子实体</w:t>
      </w:r>
      <w:r>
        <w:rPr>
          <w:rFonts w:ascii="Arial" w:hAnsi="Arial" w:eastAsia="等线" w:cs="Arial"/>
          <w:sz w:val="22"/>
        </w:rPr>
        <w:br w:type="textWrapping"/>
      </w:r>
      <w:r>
        <w:rPr>
          <w:rFonts w:ascii="Arial" w:hAnsi="Arial" w:eastAsia="等线" w:cs="Arial"/>
          <w:sz w:val="22"/>
        </w:rPr>
        <w:t xml:space="preserve">Carry out synchronized cultivation of </w:t>
      </w:r>
      <w:r>
        <w:rPr>
          <w:rFonts w:ascii="Arial" w:hAnsi="Arial" w:eastAsia="等线" w:cs="Arial"/>
          <w:i/>
          <w:sz w:val="22"/>
        </w:rPr>
        <w:t>Ganoderma sinense</w:t>
      </w:r>
      <w:r>
        <w:rPr>
          <w:rFonts w:ascii="Arial" w:hAnsi="Arial" w:eastAsia="等线" w:cs="Arial"/>
          <w:sz w:val="22"/>
        </w:rPr>
        <w:t>. Sharing the same cultivation procedure, its fruiting bodies are harvested directly when ripe.</w:t>
      </w:r>
    </w:p>
    <w:p w14:paraId="108523A3">
      <w:pPr>
        <w:spacing w:before="320" w:after="120" w:line="288" w:lineRule="auto"/>
        <w:ind w:left="0"/>
        <w:jc w:val="left"/>
        <w:outlineLvl w:val="1"/>
      </w:pPr>
      <w:bookmarkStart w:id="4" w:name="heading_4"/>
      <w:r>
        <w:rPr>
          <w:rFonts w:ascii="Arial" w:hAnsi="Arial" w:eastAsia="等线" w:cs="Arial"/>
          <w:b/>
          <w:sz w:val="32"/>
        </w:rPr>
        <w:t>四、基地种植规范</w:t>
      </w:r>
      <w:bookmarkEnd w:id="4"/>
    </w:p>
    <w:p w14:paraId="2D113F2E">
      <w:pPr>
        <w:numPr>
          <w:ilvl w:val="0"/>
          <w:numId w:val="9"/>
        </w:numPr>
        <w:spacing w:before="120" w:after="120" w:line="288" w:lineRule="auto"/>
        <w:ind w:left="0"/>
        <w:jc w:val="left"/>
      </w:pPr>
      <w:r>
        <w:rPr>
          <w:rFonts w:ascii="Arial" w:hAnsi="Arial" w:eastAsia="等线" w:cs="Arial"/>
          <w:sz w:val="22"/>
        </w:rPr>
        <w:t>全栽培周期不施用化肥、农药</w:t>
      </w:r>
      <w:r>
        <w:rPr>
          <w:rFonts w:ascii="Arial" w:hAnsi="Arial" w:eastAsia="等线" w:cs="Arial"/>
          <w:sz w:val="22"/>
        </w:rPr>
        <w:br w:type="textWrapping"/>
      </w:r>
      <w:r>
        <w:rPr>
          <w:rFonts w:ascii="Arial" w:hAnsi="Arial" w:eastAsia="等线" w:cs="Arial"/>
          <w:sz w:val="22"/>
        </w:rPr>
        <w:t>No chemical fertilizers or pesticides are applied throughout the cultivation cycle</w:t>
      </w:r>
    </w:p>
    <w:p w14:paraId="388C24C1">
      <w:pPr>
        <w:numPr>
          <w:ilvl w:val="0"/>
          <w:numId w:val="10"/>
        </w:numPr>
        <w:spacing w:before="120" w:after="120" w:line="288" w:lineRule="auto"/>
        <w:ind w:left="0"/>
        <w:jc w:val="left"/>
      </w:pPr>
      <w:r>
        <w:rPr>
          <w:rFonts w:ascii="Arial" w:hAnsi="Arial" w:eastAsia="等线" w:cs="Arial"/>
          <w:sz w:val="22"/>
        </w:rPr>
        <w:t>密闭洁净防护管理，保障产品卫生品质</w:t>
      </w:r>
      <w:r>
        <w:rPr>
          <w:rFonts w:ascii="Arial" w:hAnsi="Arial" w:eastAsia="等线" w:cs="Arial"/>
          <w:sz w:val="22"/>
        </w:rPr>
        <w:br w:type="textWrapping"/>
      </w:r>
      <w:r>
        <w:rPr>
          <w:rFonts w:ascii="Arial" w:hAnsi="Arial" w:eastAsia="等线" w:cs="Arial"/>
          <w:sz w:val="22"/>
        </w:rPr>
        <w:t>Adopt enclosed clean protection management to guarantee hygienic quality of products</w:t>
      </w:r>
    </w:p>
    <w:p w14:paraId="6BA0F51F">
      <w:pPr>
        <w:numPr>
          <w:ilvl w:val="0"/>
          <w:numId w:val="11"/>
        </w:numPr>
        <w:spacing w:before="120" w:after="120" w:line="288" w:lineRule="auto"/>
        <w:ind w:left="0"/>
        <w:jc w:val="left"/>
      </w:pPr>
      <w:r>
        <w:rPr>
          <w:rFonts w:ascii="Arial" w:hAnsi="Arial" w:eastAsia="等线" w:cs="Arial"/>
          <w:sz w:val="22"/>
        </w:rPr>
        <w:t>室内立体设施栽培，实现规范化、规模化生产</w:t>
      </w:r>
      <w:r>
        <w:rPr>
          <w:rFonts w:ascii="Arial" w:hAnsi="Arial" w:eastAsia="等线" w:cs="Arial"/>
          <w:sz w:val="22"/>
        </w:rPr>
        <w:br w:type="textWrapping"/>
      </w:r>
      <w:r>
        <w:rPr>
          <w:rFonts w:ascii="Arial" w:hAnsi="Arial" w:eastAsia="等线" w:cs="Arial"/>
          <w:sz w:val="22"/>
        </w:rPr>
        <w:t>Standardized large-scale production via indoor three-dimensional facility cultivation</w:t>
      </w:r>
    </w:p>
    <w:p w14:paraId="2583E172">
      <w:pPr>
        <w:spacing w:before="320" w:after="120" w:line="288" w:lineRule="auto"/>
        <w:ind w:left="0"/>
        <w:jc w:val="left"/>
        <w:outlineLvl w:val="1"/>
      </w:pPr>
      <w:bookmarkStart w:id="5" w:name="heading_5"/>
      <w:r>
        <w:rPr>
          <w:rFonts w:ascii="Arial" w:hAnsi="Arial" w:eastAsia="等线" w:cs="Arial"/>
          <w:b/>
          <w:sz w:val="32"/>
        </w:rPr>
        <w:t>五、灵芝农业文化遗产 文化板块双语素材</w:t>
      </w:r>
      <w:bookmarkEnd w:id="5"/>
    </w:p>
    <w:p w14:paraId="28EBDAAF">
      <w:pPr>
        <w:spacing w:before="300" w:after="120" w:line="288" w:lineRule="auto"/>
        <w:ind w:left="0"/>
        <w:jc w:val="left"/>
        <w:outlineLvl w:val="2"/>
      </w:pPr>
      <w:bookmarkStart w:id="6" w:name="heading_6"/>
      <w:r>
        <w:rPr>
          <w:rFonts w:ascii="Arial" w:hAnsi="Arial" w:eastAsia="等线" w:cs="Arial"/>
          <w:b/>
          <w:sz w:val="30"/>
        </w:rPr>
        <w:t>核心词条（可用于网站关键词、栏目标签）</w:t>
      </w:r>
      <w:bookmarkEnd w:id="6"/>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8" w:type="dxa"/>
          <w:bottom w:w="0" w:type="dxa"/>
          <w:right w:w="108" w:type="dxa"/>
        </w:tblCellMar>
      </w:tblPr>
      <w:tblGrid>
        <w:gridCol w:w="3000"/>
        <w:gridCol w:w="3000"/>
      </w:tblGrid>
      <w:tr w14:paraId="4ADBA42D">
        <w:tblPrEx>
          <w:tblLayout w:type="fixed"/>
        </w:tblPrEx>
        <w:tc>
          <w:tcPr>
            <w:tcW w:w="3000" w:type="dxa"/>
            <w:tcMar>
              <w:top w:w="60" w:type="dxa"/>
              <w:left w:w="120" w:type="dxa"/>
              <w:bottom w:w="30" w:type="dxa"/>
              <w:right w:w="120" w:type="dxa"/>
            </w:tcMar>
          </w:tcPr>
          <w:p w14:paraId="300992E1">
            <w:pPr>
              <w:spacing w:before="120" w:after="120" w:line="288" w:lineRule="auto"/>
              <w:ind w:left="0"/>
              <w:jc w:val="left"/>
            </w:pPr>
            <w:r>
              <w:rPr>
                <w:rFonts w:ascii="Arial" w:hAnsi="Arial" w:eastAsia="等线" w:cs="Arial"/>
                <w:sz w:val="22"/>
              </w:rPr>
              <w:t>中文</w:t>
            </w:r>
          </w:p>
        </w:tc>
        <w:tc>
          <w:tcPr>
            <w:tcW w:w="3000" w:type="dxa"/>
            <w:tcMar>
              <w:top w:w="60" w:type="dxa"/>
              <w:left w:w="120" w:type="dxa"/>
              <w:bottom w:w="30" w:type="dxa"/>
              <w:right w:w="120" w:type="dxa"/>
            </w:tcMar>
          </w:tcPr>
          <w:p w14:paraId="523D0483">
            <w:pPr>
              <w:spacing w:before="120" w:after="120" w:line="288" w:lineRule="auto"/>
              <w:ind w:left="0"/>
              <w:jc w:val="left"/>
            </w:pPr>
            <w:r>
              <w:rPr>
                <w:rFonts w:ascii="Arial" w:hAnsi="Arial" w:eastAsia="等线" w:cs="Arial"/>
                <w:sz w:val="22"/>
              </w:rPr>
              <w:t>English</w:t>
            </w:r>
          </w:p>
        </w:tc>
      </w:tr>
      <w:tr w14:paraId="77082F90">
        <w:tblPrEx>
          <w:tblLayout w:type="fixed"/>
        </w:tblPrEx>
        <w:tc>
          <w:tcPr>
            <w:tcW w:w="3000" w:type="dxa"/>
            <w:tcMar>
              <w:top w:w="60" w:type="dxa"/>
              <w:left w:w="120" w:type="dxa"/>
              <w:bottom w:w="30" w:type="dxa"/>
              <w:right w:w="120" w:type="dxa"/>
            </w:tcMar>
          </w:tcPr>
          <w:p w14:paraId="087E2FE9">
            <w:pPr>
              <w:spacing w:before="120" w:after="120" w:line="288" w:lineRule="auto"/>
              <w:ind w:left="0"/>
              <w:jc w:val="left"/>
            </w:pPr>
            <w:r>
              <w:rPr>
                <w:rFonts w:ascii="Arial" w:hAnsi="Arial" w:eastAsia="等线" w:cs="Arial"/>
                <w:sz w:val="22"/>
              </w:rPr>
              <w:t>灵芝农业文化遗产</w:t>
            </w:r>
          </w:p>
        </w:tc>
        <w:tc>
          <w:tcPr>
            <w:tcW w:w="3000" w:type="dxa"/>
            <w:tcMar>
              <w:top w:w="60" w:type="dxa"/>
              <w:left w:w="120" w:type="dxa"/>
              <w:bottom w:w="30" w:type="dxa"/>
              <w:right w:w="120" w:type="dxa"/>
            </w:tcMar>
          </w:tcPr>
          <w:p w14:paraId="4DC4A2AD">
            <w:pPr>
              <w:spacing w:before="120" w:after="120" w:line="288" w:lineRule="auto"/>
              <w:ind w:left="0"/>
              <w:jc w:val="left"/>
            </w:pPr>
            <w:r>
              <w:rPr>
                <w:rFonts w:ascii="Arial" w:hAnsi="Arial" w:eastAsia="等线" w:cs="Arial"/>
                <w:sz w:val="22"/>
              </w:rPr>
              <w:t>Ganoderma Agricultural Cultural Heritage</w:t>
            </w:r>
          </w:p>
        </w:tc>
      </w:tr>
      <w:tr w14:paraId="0D41FC6A">
        <w:tblPrEx>
          <w:tblLayout w:type="fixed"/>
        </w:tblPrEx>
        <w:tc>
          <w:tcPr>
            <w:tcW w:w="3000" w:type="dxa"/>
            <w:tcMar>
              <w:top w:w="60" w:type="dxa"/>
              <w:left w:w="120" w:type="dxa"/>
              <w:bottom w:w="30" w:type="dxa"/>
              <w:right w:w="120" w:type="dxa"/>
            </w:tcMar>
          </w:tcPr>
          <w:p w14:paraId="4B5451CB">
            <w:pPr>
              <w:spacing w:before="120" w:after="120" w:line="288" w:lineRule="auto"/>
              <w:ind w:left="0"/>
              <w:jc w:val="left"/>
            </w:pPr>
            <w:r>
              <w:rPr>
                <w:rFonts w:ascii="Arial" w:hAnsi="Arial" w:eastAsia="等线" w:cs="Arial"/>
                <w:sz w:val="22"/>
              </w:rPr>
              <w:t>传统灵芝栽培技艺</w:t>
            </w:r>
          </w:p>
        </w:tc>
        <w:tc>
          <w:tcPr>
            <w:tcW w:w="3000" w:type="dxa"/>
            <w:tcMar>
              <w:top w:w="60" w:type="dxa"/>
              <w:left w:w="120" w:type="dxa"/>
              <w:bottom w:w="30" w:type="dxa"/>
              <w:right w:w="120" w:type="dxa"/>
            </w:tcMar>
          </w:tcPr>
          <w:p w14:paraId="5A6EBEA3">
            <w:pPr>
              <w:spacing w:before="120" w:after="120" w:line="288" w:lineRule="auto"/>
              <w:ind w:left="0"/>
              <w:jc w:val="left"/>
            </w:pPr>
            <w:r>
              <w:rPr>
                <w:rFonts w:ascii="Arial" w:hAnsi="Arial" w:eastAsia="等线" w:cs="Arial"/>
                <w:sz w:val="22"/>
              </w:rPr>
              <w:t>Traditional Ganoderma Cultivation Techniques</w:t>
            </w:r>
          </w:p>
        </w:tc>
      </w:tr>
      <w:tr w14:paraId="6D383C64">
        <w:tblPrEx>
          <w:tblLayout w:type="fixed"/>
        </w:tblPrEx>
        <w:tc>
          <w:tcPr>
            <w:tcW w:w="3000" w:type="dxa"/>
            <w:tcMar>
              <w:top w:w="60" w:type="dxa"/>
              <w:left w:w="120" w:type="dxa"/>
              <w:bottom w:w="30" w:type="dxa"/>
              <w:right w:w="120" w:type="dxa"/>
            </w:tcMar>
          </w:tcPr>
          <w:p w14:paraId="2213AFFD">
            <w:pPr>
              <w:spacing w:before="120" w:after="120" w:line="288" w:lineRule="auto"/>
              <w:ind w:left="0"/>
              <w:jc w:val="left"/>
            </w:pPr>
            <w:r>
              <w:rPr>
                <w:rFonts w:ascii="Arial" w:hAnsi="Arial" w:eastAsia="等线" w:cs="Arial"/>
                <w:sz w:val="22"/>
              </w:rPr>
              <w:t>岭南药用农耕文化</w:t>
            </w:r>
          </w:p>
        </w:tc>
        <w:tc>
          <w:tcPr>
            <w:tcW w:w="3000" w:type="dxa"/>
            <w:tcMar>
              <w:top w:w="60" w:type="dxa"/>
              <w:left w:w="120" w:type="dxa"/>
              <w:bottom w:w="30" w:type="dxa"/>
              <w:right w:w="120" w:type="dxa"/>
            </w:tcMar>
          </w:tcPr>
          <w:p w14:paraId="059FEB24">
            <w:pPr>
              <w:spacing w:before="120" w:after="120" w:line="288" w:lineRule="auto"/>
              <w:ind w:left="0"/>
              <w:jc w:val="left"/>
            </w:pPr>
            <w:r>
              <w:rPr>
                <w:rFonts w:ascii="Arial" w:hAnsi="Arial" w:eastAsia="等线" w:cs="Arial"/>
                <w:sz w:val="22"/>
              </w:rPr>
              <w:t>Lingnan Medicinal Farming Culture</w:t>
            </w:r>
          </w:p>
        </w:tc>
      </w:tr>
      <w:tr w14:paraId="1E3D038C">
        <w:tblPrEx>
          <w:tblLayout w:type="fixed"/>
        </w:tblPrEx>
        <w:tc>
          <w:tcPr>
            <w:tcW w:w="3000" w:type="dxa"/>
            <w:tcMar>
              <w:top w:w="60" w:type="dxa"/>
              <w:left w:w="120" w:type="dxa"/>
              <w:bottom w:w="30" w:type="dxa"/>
              <w:right w:w="120" w:type="dxa"/>
            </w:tcMar>
          </w:tcPr>
          <w:p w14:paraId="2BE482AD">
            <w:pPr>
              <w:spacing w:before="120" w:after="120" w:line="288" w:lineRule="auto"/>
              <w:ind w:left="0"/>
              <w:jc w:val="left"/>
            </w:pPr>
            <w:r>
              <w:rPr>
                <w:rFonts w:ascii="Arial" w:hAnsi="Arial" w:eastAsia="等线" w:cs="Arial"/>
                <w:sz w:val="22"/>
              </w:rPr>
              <w:t>农耕技艺活态传承</w:t>
            </w:r>
          </w:p>
        </w:tc>
        <w:tc>
          <w:tcPr>
            <w:tcW w:w="3000" w:type="dxa"/>
            <w:tcMar>
              <w:top w:w="60" w:type="dxa"/>
              <w:left w:w="120" w:type="dxa"/>
              <w:bottom w:w="30" w:type="dxa"/>
              <w:right w:w="120" w:type="dxa"/>
            </w:tcMar>
          </w:tcPr>
          <w:p w14:paraId="006807E8">
            <w:pPr>
              <w:spacing w:before="120" w:after="120" w:line="288" w:lineRule="auto"/>
              <w:ind w:left="0"/>
              <w:jc w:val="left"/>
            </w:pPr>
            <w:r>
              <w:rPr>
                <w:rFonts w:ascii="Arial" w:hAnsi="Arial" w:eastAsia="等线" w:cs="Arial"/>
                <w:sz w:val="22"/>
              </w:rPr>
              <w:t>Living Inheritance of Farming Techniques</w:t>
            </w:r>
          </w:p>
        </w:tc>
      </w:tr>
      <w:tr w14:paraId="78907FD6">
        <w:tblPrEx>
          <w:tblLayout w:type="fixed"/>
        </w:tblPrEx>
        <w:tc>
          <w:tcPr>
            <w:tcW w:w="3000" w:type="dxa"/>
            <w:tcMar>
              <w:top w:w="60" w:type="dxa"/>
              <w:left w:w="120" w:type="dxa"/>
              <w:bottom w:w="30" w:type="dxa"/>
              <w:right w:w="120" w:type="dxa"/>
            </w:tcMar>
          </w:tcPr>
          <w:p w14:paraId="54C307D6">
            <w:pPr>
              <w:spacing w:before="120" w:after="120" w:line="288" w:lineRule="auto"/>
              <w:ind w:left="0"/>
              <w:jc w:val="left"/>
            </w:pPr>
            <w:r>
              <w:rPr>
                <w:rFonts w:ascii="Arial" w:hAnsi="Arial" w:eastAsia="等线" w:cs="Arial"/>
                <w:sz w:val="22"/>
              </w:rPr>
              <w:t>农业生物多样性</w:t>
            </w:r>
          </w:p>
        </w:tc>
        <w:tc>
          <w:tcPr>
            <w:tcW w:w="3000" w:type="dxa"/>
            <w:tcMar>
              <w:top w:w="60" w:type="dxa"/>
              <w:left w:w="120" w:type="dxa"/>
              <w:bottom w:w="30" w:type="dxa"/>
              <w:right w:w="120" w:type="dxa"/>
            </w:tcMar>
          </w:tcPr>
          <w:p w14:paraId="4119C745">
            <w:pPr>
              <w:spacing w:before="120" w:after="120" w:line="288" w:lineRule="auto"/>
              <w:ind w:left="0"/>
              <w:jc w:val="left"/>
            </w:pPr>
            <w:r>
              <w:rPr>
                <w:rFonts w:ascii="Arial" w:hAnsi="Arial" w:eastAsia="等线" w:cs="Arial"/>
                <w:sz w:val="22"/>
              </w:rPr>
              <w:t>Agricultural Biodiversity</w:t>
            </w:r>
          </w:p>
        </w:tc>
      </w:tr>
      <w:tr w14:paraId="0013204D">
        <w:tblPrEx>
          <w:tblLayout w:type="fixed"/>
        </w:tblPrEx>
        <w:tc>
          <w:tcPr>
            <w:tcW w:w="3000" w:type="dxa"/>
            <w:tcMar>
              <w:top w:w="60" w:type="dxa"/>
              <w:left w:w="120" w:type="dxa"/>
              <w:bottom w:w="30" w:type="dxa"/>
              <w:right w:w="120" w:type="dxa"/>
            </w:tcMar>
          </w:tcPr>
          <w:p w14:paraId="3761103C">
            <w:pPr>
              <w:spacing w:before="120" w:after="120" w:line="288" w:lineRule="auto"/>
              <w:ind w:left="0"/>
              <w:jc w:val="left"/>
            </w:pPr>
            <w:r>
              <w:rPr>
                <w:rFonts w:ascii="Arial" w:hAnsi="Arial" w:eastAsia="等线" w:cs="Arial"/>
                <w:sz w:val="22"/>
              </w:rPr>
              <w:t>乡土药用植物资源</w:t>
            </w:r>
          </w:p>
        </w:tc>
        <w:tc>
          <w:tcPr>
            <w:tcW w:w="3000" w:type="dxa"/>
            <w:tcMar>
              <w:top w:w="60" w:type="dxa"/>
              <w:left w:w="120" w:type="dxa"/>
              <w:bottom w:w="30" w:type="dxa"/>
              <w:right w:w="120" w:type="dxa"/>
            </w:tcMar>
          </w:tcPr>
          <w:p w14:paraId="02FAC9F5">
            <w:pPr>
              <w:spacing w:before="120" w:after="120" w:line="288" w:lineRule="auto"/>
              <w:ind w:left="0"/>
              <w:jc w:val="left"/>
            </w:pPr>
            <w:r>
              <w:rPr>
                <w:rFonts w:ascii="Arial" w:hAnsi="Arial" w:eastAsia="等线" w:cs="Arial"/>
                <w:sz w:val="22"/>
              </w:rPr>
              <w:t>Local Medicinal Plant Resources</w:t>
            </w:r>
          </w:p>
        </w:tc>
      </w:tr>
      <w:tr w14:paraId="7F13BD3E">
        <w:tblPrEx>
          <w:tblLayout w:type="fixed"/>
        </w:tblPrEx>
        <w:tc>
          <w:tcPr>
            <w:tcW w:w="3000" w:type="dxa"/>
            <w:tcMar>
              <w:top w:w="60" w:type="dxa"/>
              <w:left w:w="120" w:type="dxa"/>
              <w:bottom w:w="30" w:type="dxa"/>
              <w:right w:w="120" w:type="dxa"/>
            </w:tcMar>
          </w:tcPr>
          <w:p w14:paraId="6F4A4532">
            <w:pPr>
              <w:spacing w:before="120" w:after="120" w:line="288" w:lineRule="auto"/>
              <w:ind w:left="0"/>
              <w:jc w:val="left"/>
            </w:pPr>
            <w:r>
              <w:rPr>
                <w:rFonts w:ascii="Arial" w:hAnsi="Arial" w:eastAsia="等线" w:cs="Arial"/>
                <w:sz w:val="22"/>
              </w:rPr>
              <w:t>传统农耕智慧</w:t>
            </w:r>
          </w:p>
        </w:tc>
        <w:tc>
          <w:tcPr>
            <w:tcW w:w="3000" w:type="dxa"/>
            <w:tcMar>
              <w:top w:w="60" w:type="dxa"/>
              <w:left w:w="120" w:type="dxa"/>
              <w:bottom w:w="30" w:type="dxa"/>
              <w:right w:w="120" w:type="dxa"/>
            </w:tcMar>
          </w:tcPr>
          <w:p w14:paraId="4652C2AC">
            <w:pPr>
              <w:spacing w:before="120" w:after="120" w:line="288" w:lineRule="auto"/>
              <w:ind w:left="0"/>
              <w:jc w:val="left"/>
            </w:pPr>
            <w:r>
              <w:rPr>
                <w:rFonts w:ascii="Arial" w:hAnsi="Arial" w:eastAsia="等线" w:cs="Arial"/>
                <w:sz w:val="22"/>
              </w:rPr>
              <w:t>Traditional Farming Wisdom</w:t>
            </w:r>
          </w:p>
        </w:tc>
      </w:tr>
      <w:tr w14:paraId="32B7F995">
        <w:tblPrEx>
          <w:tblLayout w:type="fixed"/>
        </w:tblPrEx>
        <w:tc>
          <w:tcPr>
            <w:tcW w:w="3000" w:type="dxa"/>
            <w:tcMar>
              <w:top w:w="60" w:type="dxa"/>
              <w:left w:w="120" w:type="dxa"/>
              <w:bottom w:w="30" w:type="dxa"/>
              <w:right w:w="120" w:type="dxa"/>
            </w:tcMar>
          </w:tcPr>
          <w:p w14:paraId="4963A286">
            <w:pPr>
              <w:spacing w:before="120" w:after="120" w:line="288" w:lineRule="auto"/>
              <w:ind w:left="0"/>
              <w:jc w:val="left"/>
            </w:pPr>
            <w:r>
              <w:rPr>
                <w:rFonts w:ascii="Arial" w:hAnsi="Arial" w:eastAsia="等线" w:cs="Arial"/>
                <w:sz w:val="22"/>
              </w:rPr>
              <w:t>农遗资源活化利用</w:t>
            </w:r>
          </w:p>
        </w:tc>
        <w:tc>
          <w:tcPr>
            <w:tcW w:w="3000" w:type="dxa"/>
            <w:tcMar>
              <w:top w:w="60" w:type="dxa"/>
              <w:left w:w="120" w:type="dxa"/>
              <w:bottom w:w="30" w:type="dxa"/>
              <w:right w:w="120" w:type="dxa"/>
            </w:tcMar>
          </w:tcPr>
          <w:p w14:paraId="1E168C97">
            <w:pPr>
              <w:spacing w:before="120" w:after="120" w:line="288" w:lineRule="auto"/>
              <w:ind w:left="0"/>
              <w:jc w:val="left"/>
            </w:pPr>
            <w:r>
              <w:rPr>
                <w:rFonts w:ascii="Arial" w:hAnsi="Arial" w:eastAsia="等线" w:cs="Arial"/>
                <w:sz w:val="22"/>
              </w:rPr>
              <w:t>Revitalization and Utilization of Agricultural Heritage Resources</w:t>
            </w:r>
          </w:p>
        </w:tc>
      </w:tr>
      <w:tr w14:paraId="276B5D54">
        <w:tblPrEx>
          <w:tblLayout w:type="fixed"/>
        </w:tblPrEx>
        <w:tc>
          <w:tcPr>
            <w:tcW w:w="3000" w:type="dxa"/>
            <w:tcMar>
              <w:top w:w="60" w:type="dxa"/>
              <w:left w:w="120" w:type="dxa"/>
              <w:bottom w:w="30" w:type="dxa"/>
              <w:right w:w="120" w:type="dxa"/>
            </w:tcMar>
          </w:tcPr>
          <w:p w14:paraId="35C2729F">
            <w:pPr>
              <w:spacing w:before="120" w:after="120" w:line="288" w:lineRule="auto"/>
              <w:ind w:left="0"/>
              <w:jc w:val="left"/>
            </w:pPr>
            <w:r>
              <w:rPr>
                <w:rFonts w:ascii="Arial" w:hAnsi="Arial" w:eastAsia="等线" w:cs="Arial"/>
                <w:sz w:val="22"/>
              </w:rPr>
              <w:t>药食同源</w:t>
            </w:r>
          </w:p>
        </w:tc>
        <w:tc>
          <w:tcPr>
            <w:tcW w:w="3000" w:type="dxa"/>
            <w:tcMar>
              <w:top w:w="60" w:type="dxa"/>
              <w:left w:w="120" w:type="dxa"/>
              <w:bottom w:w="30" w:type="dxa"/>
              <w:right w:w="120" w:type="dxa"/>
            </w:tcMar>
          </w:tcPr>
          <w:p w14:paraId="597A54A9">
            <w:pPr>
              <w:spacing w:before="120" w:after="120" w:line="288" w:lineRule="auto"/>
              <w:ind w:left="0"/>
              <w:jc w:val="left"/>
            </w:pPr>
            <w:r>
              <w:rPr>
                <w:rFonts w:ascii="Arial" w:hAnsi="Arial" w:eastAsia="等线" w:cs="Arial"/>
                <w:sz w:val="22"/>
              </w:rPr>
              <w:t>Medicinal and Edible Homology</w:t>
            </w:r>
          </w:p>
        </w:tc>
      </w:tr>
      <w:tr w14:paraId="1B12A144">
        <w:tblPrEx>
          <w:tblLayout w:type="fixed"/>
        </w:tblPrEx>
        <w:tc>
          <w:tcPr>
            <w:tcW w:w="3000" w:type="dxa"/>
            <w:tcMar>
              <w:top w:w="60" w:type="dxa"/>
              <w:left w:w="120" w:type="dxa"/>
              <w:bottom w:w="30" w:type="dxa"/>
              <w:right w:w="120" w:type="dxa"/>
            </w:tcMar>
          </w:tcPr>
          <w:p w14:paraId="584888FB">
            <w:pPr>
              <w:spacing w:before="120" w:after="120" w:line="288" w:lineRule="auto"/>
              <w:ind w:left="0"/>
              <w:jc w:val="left"/>
            </w:pPr>
            <w:r>
              <w:rPr>
                <w:rFonts w:ascii="Arial" w:hAnsi="Arial" w:eastAsia="等线" w:cs="Arial"/>
                <w:sz w:val="22"/>
              </w:rPr>
              <w:t>药用真菌</w:t>
            </w:r>
          </w:p>
        </w:tc>
        <w:tc>
          <w:tcPr>
            <w:tcW w:w="3000" w:type="dxa"/>
            <w:tcMar>
              <w:top w:w="60" w:type="dxa"/>
              <w:left w:w="120" w:type="dxa"/>
              <w:bottom w:w="30" w:type="dxa"/>
              <w:right w:w="120" w:type="dxa"/>
            </w:tcMar>
          </w:tcPr>
          <w:p w14:paraId="3EEB1981">
            <w:pPr>
              <w:spacing w:before="120" w:after="120" w:line="288" w:lineRule="auto"/>
              <w:ind w:left="0"/>
              <w:jc w:val="left"/>
            </w:pPr>
            <w:r>
              <w:rPr>
                <w:rFonts w:ascii="Arial" w:hAnsi="Arial" w:eastAsia="等线" w:cs="Arial"/>
                <w:sz w:val="22"/>
              </w:rPr>
              <w:t>Medicinal Fungus</w:t>
            </w:r>
          </w:p>
        </w:tc>
      </w:tr>
    </w:tbl>
    <w:p w14:paraId="2C70F8AB">
      <w:pPr>
        <w:spacing w:before="300" w:after="120" w:line="288" w:lineRule="auto"/>
        <w:ind w:left="0"/>
        <w:jc w:val="left"/>
        <w:outlineLvl w:val="2"/>
      </w:pPr>
      <w:bookmarkStart w:id="7" w:name="heading_7"/>
      <w:r>
        <w:rPr>
          <w:rFonts w:ascii="Arial" w:hAnsi="Arial" w:eastAsia="等线" w:cs="Arial"/>
          <w:b/>
          <w:sz w:val="30"/>
        </w:rPr>
        <w:t>历史文化文段（网站文化专栏正文）</w:t>
      </w:r>
      <w:bookmarkEnd w:id="7"/>
    </w:p>
    <w:p w14:paraId="0AC01D47">
      <w:pPr>
        <w:spacing w:before="120" w:after="120" w:line="288" w:lineRule="auto"/>
        <w:ind w:left="0"/>
        <w:jc w:val="left"/>
      </w:pPr>
      <w:r>
        <w:rPr>
          <w:rFonts w:ascii="Arial" w:hAnsi="Arial" w:eastAsia="等线" w:cs="Arial"/>
          <w:sz w:val="22"/>
        </w:rPr>
        <w:t>中文：灵芝自古被誉为 “仙草”“瑞草”，拥有数千年利用历史。《神农本草经》将灵芝列为上品药材。岭南地区自古就有采集、人工培植灵芝的民俗传统。</w:t>
      </w:r>
      <w:r>
        <w:rPr>
          <w:rFonts w:ascii="Arial" w:hAnsi="Arial" w:eastAsia="等线" w:cs="Arial"/>
          <w:sz w:val="22"/>
        </w:rPr>
        <w:br w:type="textWrapping"/>
      </w:r>
      <w:r>
        <w:rPr>
          <w:rFonts w:ascii="Arial" w:hAnsi="Arial" w:eastAsia="等线" w:cs="Arial"/>
          <w:sz w:val="22"/>
        </w:rPr>
        <w:t>灵芝产业承载中华药农千年农耕智慧，属于珍贵的农业文化遗产。基地将传统栽培经验与现代农业设施相结合，坚守药食同源理念，延续岭南灵芝文化脉络。</w:t>
      </w:r>
      <w:r>
        <w:rPr>
          <w:rFonts w:ascii="Arial" w:hAnsi="Arial" w:eastAsia="等线" w:cs="Arial"/>
          <w:sz w:val="22"/>
        </w:rPr>
        <w:br w:type="textWrapping"/>
      </w:r>
      <w:r>
        <w:rPr>
          <w:rFonts w:ascii="Arial" w:hAnsi="Arial" w:eastAsia="等线" w:cs="Arial"/>
          <w:sz w:val="22"/>
        </w:rPr>
        <w:t>English: Ganoderma has long been known as "immortal herb" or "auspicious herb", with a utilization history spanning thousands of years. *Shennong’s Classic of Materia Medica lists ganoderma as top-grade medicinal herb. Lingnan region boasts an age-old folk tradition of wild collection and artificial cultivation of ganoderma.</w:t>
      </w:r>
      <w:r>
        <w:rPr>
          <w:rFonts w:ascii="Arial" w:hAnsi="Arial" w:eastAsia="等线" w:cs="Arial"/>
          <w:sz w:val="22"/>
        </w:rPr>
        <w:br w:type="textWrapping"/>
      </w:r>
      <w:r>
        <w:rPr>
          <w:rFonts w:ascii="Arial" w:hAnsi="Arial" w:eastAsia="等线" w:cs="Arial"/>
          <w:sz w:val="22"/>
        </w:rPr>
        <w:t>Ganoderma industry embodies thousands of years of Chinese herbal farmers’ wisdom and counts as precious agricultural cultural heritage. Combining traditional cultivation experience with modern agricultural facilities, the base adheres to the philosophy of medicinal and edible homology and continues the lineage of Lingnan ganoderma culture.</w:t>
      </w:r>
    </w:p>
    <w:p w14:paraId="13D57C7B">
      <w:pPr>
        <w:spacing w:before="320" w:after="120" w:line="288" w:lineRule="auto"/>
        <w:ind w:left="0"/>
        <w:jc w:val="left"/>
        <w:outlineLvl w:val="1"/>
      </w:pPr>
      <w:bookmarkStart w:id="8" w:name="heading_8"/>
      <w:r>
        <w:rPr>
          <w:rFonts w:ascii="Arial" w:hAnsi="Arial" w:eastAsia="等线" w:cs="Arial"/>
          <w:b/>
          <w:sz w:val="32"/>
        </w:rPr>
        <w:t>六、专业术语对照表（网站术语注释、图文配图说明使用）</w:t>
      </w:r>
      <w:bookmarkEnd w:id="8"/>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8" w:type="dxa"/>
          <w:bottom w:w="0" w:type="dxa"/>
          <w:right w:w="108" w:type="dxa"/>
        </w:tblCellMar>
      </w:tblPr>
      <w:tblGrid>
        <w:gridCol w:w="3000"/>
        <w:gridCol w:w="3000"/>
      </w:tblGrid>
      <w:tr w14:paraId="44700800">
        <w:tblPrEx>
          <w:tblLayout w:type="fixed"/>
        </w:tblPrEx>
        <w:tc>
          <w:tcPr>
            <w:tcW w:w="3000" w:type="dxa"/>
            <w:tcMar>
              <w:top w:w="60" w:type="dxa"/>
              <w:left w:w="120" w:type="dxa"/>
              <w:bottom w:w="30" w:type="dxa"/>
              <w:right w:w="120" w:type="dxa"/>
            </w:tcMar>
          </w:tcPr>
          <w:p w14:paraId="0CCFFC24">
            <w:pPr>
              <w:spacing w:before="120" w:after="120" w:line="288" w:lineRule="auto"/>
              <w:ind w:left="0"/>
              <w:jc w:val="left"/>
            </w:pPr>
            <w:r>
              <w:rPr>
                <w:rFonts w:ascii="Arial" w:hAnsi="Arial" w:eastAsia="等线" w:cs="Arial"/>
                <w:sz w:val="22"/>
              </w:rPr>
              <w:t>中文</w:t>
            </w:r>
          </w:p>
        </w:tc>
        <w:tc>
          <w:tcPr>
            <w:tcW w:w="3000" w:type="dxa"/>
            <w:tcMar>
              <w:top w:w="60" w:type="dxa"/>
              <w:left w:w="120" w:type="dxa"/>
              <w:bottom w:w="30" w:type="dxa"/>
              <w:right w:w="120" w:type="dxa"/>
            </w:tcMar>
          </w:tcPr>
          <w:p w14:paraId="389B7B07">
            <w:pPr>
              <w:spacing w:before="120" w:after="120" w:line="288" w:lineRule="auto"/>
              <w:ind w:left="0"/>
              <w:jc w:val="left"/>
            </w:pPr>
            <w:r>
              <w:rPr>
                <w:rFonts w:ascii="Arial" w:hAnsi="Arial" w:eastAsia="等线" w:cs="Arial"/>
                <w:sz w:val="22"/>
              </w:rPr>
              <w:t>English</w:t>
            </w:r>
          </w:p>
        </w:tc>
      </w:tr>
      <w:tr w14:paraId="0DDE66DF">
        <w:tblPrEx>
          <w:tblLayout w:type="fixed"/>
        </w:tblPrEx>
        <w:tc>
          <w:tcPr>
            <w:tcW w:w="3000" w:type="dxa"/>
            <w:tcMar>
              <w:top w:w="60" w:type="dxa"/>
              <w:left w:w="120" w:type="dxa"/>
              <w:bottom w:w="30" w:type="dxa"/>
              <w:right w:w="120" w:type="dxa"/>
            </w:tcMar>
          </w:tcPr>
          <w:p w14:paraId="7406C293">
            <w:pPr>
              <w:spacing w:before="120" w:after="120" w:line="288" w:lineRule="auto"/>
              <w:ind w:left="0"/>
              <w:jc w:val="left"/>
            </w:pPr>
            <w:r>
              <w:rPr>
                <w:rFonts w:ascii="Arial" w:hAnsi="Arial" w:eastAsia="等线" w:cs="Arial"/>
                <w:sz w:val="22"/>
              </w:rPr>
              <w:t>灵芝菌包</w:t>
            </w:r>
          </w:p>
        </w:tc>
        <w:tc>
          <w:tcPr>
            <w:tcW w:w="3000" w:type="dxa"/>
            <w:tcMar>
              <w:top w:w="60" w:type="dxa"/>
              <w:left w:w="120" w:type="dxa"/>
              <w:bottom w:w="30" w:type="dxa"/>
              <w:right w:w="120" w:type="dxa"/>
            </w:tcMar>
          </w:tcPr>
          <w:p w14:paraId="0B7C6322">
            <w:pPr>
              <w:spacing w:before="120" w:after="120" w:line="288" w:lineRule="auto"/>
              <w:ind w:left="0"/>
              <w:jc w:val="left"/>
            </w:pPr>
            <w:r>
              <w:rPr>
                <w:rFonts w:ascii="Arial" w:hAnsi="Arial" w:eastAsia="等线" w:cs="Arial"/>
                <w:sz w:val="22"/>
              </w:rPr>
              <w:t>Ganoderma Fungus Bag</w:t>
            </w:r>
          </w:p>
        </w:tc>
      </w:tr>
      <w:tr w14:paraId="3E55203E">
        <w:tblPrEx>
          <w:tblLayout w:type="fixed"/>
        </w:tblPrEx>
        <w:tc>
          <w:tcPr>
            <w:tcW w:w="3000" w:type="dxa"/>
            <w:tcMar>
              <w:top w:w="60" w:type="dxa"/>
              <w:left w:w="120" w:type="dxa"/>
              <w:bottom w:w="30" w:type="dxa"/>
              <w:right w:w="120" w:type="dxa"/>
            </w:tcMar>
          </w:tcPr>
          <w:p w14:paraId="5C8B2337">
            <w:pPr>
              <w:spacing w:before="120" w:after="120" w:line="288" w:lineRule="auto"/>
              <w:ind w:left="0"/>
              <w:jc w:val="left"/>
            </w:pPr>
            <w:r>
              <w:rPr>
                <w:rFonts w:ascii="Arial" w:hAnsi="Arial" w:eastAsia="等线" w:cs="Arial"/>
                <w:sz w:val="22"/>
              </w:rPr>
              <w:t>高温灭菌设备</w:t>
            </w:r>
          </w:p>
        </w:tc>
        <w:tc>
          <w:tcPr>
            <w:tcW w:w="3000" w:type="dxa"/>
            <w:tcMar>
              <w:top w:w="60" w:type="dxa"/>
              <w:left w:w="120" w:type="dxa"/>
              <w:bottom w:w="30" w:type="dxa"/>
              <w:right w:w="120" w:type="dxa"/>
            </w:tcMar>
          </w:tcPr>
          <w:p w14:paraId="094346EA">
            <w:pPr>
              <w:spacing w:before="120" w:after="120" w:line="288" w:lineRule="auto"/>
              <w:ind w:left="0"/>
              <w:jc w:val="left"/>
            </w:pPr>
            <w:r>
              <w:rPr>
                <w:rFonts w:ascii="Arial" w:hAnsi="Arial" w:eastAsia="等线" w:cs="Arial"/>
                <w:sz w:val="22"/>
              </w:rPr>
              <w:t>High-temperature Sterilizer</w:t>
            </w:r>
          </w:p>
        </w:tc>
      </w:tr>
      <w:tr w14:paraId="29F93402">
        <w:tblPrEx>
          <w:tblLayout w:type="fixed"/>
        </w:tblPrEx>
        <w:tc>
          <w:tcPr>
            <w:tcW w:w="3000" w:type="dxa"/>
            <w:tcMar>
              <w:top w:w="60" w:type="dxa"/>
              <w:left w:w="120" w:type="dxa"/>
              <w:bottom w:w="30" w:type="dxa"/>
              <w:right w:w="120" w:type="dxa"/>
            </w:tcMar>
          </w:tcPr>
          <w:p w14:paraId="45D47D52">
            <w:pPr>
              <w:spacing w:before="120" w:after="120" w:line="288" w:lineRule="auto"/>
              <w:ind w:left="0"/>
              <w:jc w:val="left"/>
            </w:pPr>
            <w:r>
              <w:rPr>
                <w:rFonts w:ascii="Arial" w:hAnsi="Arial" w:eastAsia="等线" w:cs="Arial"/>
                <w:sz w:val="22"/>
              </w:rPr>
              <w:t>灵芝孢子粉</w:t>
            </w:r>
          </w:p>
        </w:tc>
        <w:tc>
          <w:tcPr>
            <w:tcW w:w="3000" w:type="dxa"/>
            <w:tcMar>
              <w:top w:w="60" w:type="dxa"/>
              <w:left w:w="120" w:type="dxa"/>
              <w:bottom w:w="30" w:type="dxa"/>
              <w:right w:w="120" w:type="dxa"/>
            </w:tcMar>
          </w:tcPr>
          <w:p w14:paraId="4564EB02">
            <w:pPr>
              <w:spacing w:before="120" w:after="120" w:line="288" w:lineRule="auto"/>
              <w:ind w:left="0"/>
              <w:jc w:val="left"/>
            </w:pPr>
            <w:r>
              <w:rPr>
                <w:rFonts w:ascii="Arial" w:hAnsi="Arial" w:eastAsia="等线" w:cs="Arial"/>
                <w:sz w:val="22"/>
              </w:rPr>
              <w:t>Ganoderma Spore Powder</w:t>
            </w:r>
          </w:p>
        </w:tc>
      </w:tr>
      <w:tr w14:paraId="3E1D3398">
        <w:tblPrEx>
          <w:tblLayout w:type="fixed"/>
        </w:tblPrEx>
        <w:tc>
          <w:tcPr>
            <w:tcW w:w="3000" w:type="dxa"/>
            <w:tcMar>
              <w:top w:w="60" w:type="dxa"/>
              <w:left w:w="120" w:type="dxa"/>
              <w:bottom w:w="30" w:type="dxa"/>
              <w:right w:w="120" w:type="dxa"/>
            </w:tcMar>
          </w:tcPr>
          <w:p w14:paraId="255E875F">
            <w:pPr>
              <w:spacing w:before="120" w:after="120" w:line="288" w:lineRule="auto"/>
              <w:ind w:left="0"/>
              <w:jc w:val="left"/>
            </w:pPr>
            <w:r>
              <w:rPr>
                <w:rFonts w:ascii="Arial" w:hAnsi="Arial" w:eastAsia="等线" w:cs="Arial"/>
                <w:sz w:val="22"/>
              </w:rPr>
              <w:t>菌种培育</w:t>
            </w:r>
          </w:p>
        </w:tc>
        <w:tc>
          <w:tcPr>
            <w:tcW w:w="3000" w:type="dxa"/>
            <w:tcMar>
              <w:top w:w="60" w:type="dxa"/>
              <w:left w:w="120" w:type="dxa"/>
              <w:bottom w:w="30" w:type="dxa"/>
              <w:right w:w="120" w:type="dxa"/>
            </w:tcMar>
          </w:tcPr>
          <w:p w14:paraId="6AFF5976">
            <w:pPr>
              <w:spacing w:before="120" w:after="120" w:line="288" w:lineRule="auto"/>
              <w:ind w:left="0"/>
              <w:jc w:val="left"/>
            </w:pPr>
            <w:r>
              <w:rPr>
                <w:rFonts w:ascii="Arial" w:hAnsi="Arial" w:eastAsia="等线" w:cs="Arial"/>
                <w:sz w:val="22"/>
              </w:rPr>
              <w:t>Strain Cultivation</w:t>
            </w:r>
          </w:p>
        </w:tc>
      </w:tr>
      <w:tr w14:paraId="5C9BDFFD">
        <w:tblPrEx>
          <w:tblLayout w:type="fixed"/>
        </w:tblPrEx>
        <w:tc>
          <w:tcPr>
            <w:tcW w:w="3000" w:type="dxa"/>
            <w:tcMar>
              <w:top w:w="60" w:type="dxa"/>
              <w:left w:w="120" w:type="dxa"/>
              <w:bottom w:w="30" w:type="dxa"/>
              <w:right w:w="120" w:type="dxa"/>
            </w:tcMar>
          </w:tcPr>
          <w:p w14:paraId="7C00E06D">
            <w:pPr>
              <w:spacing w:before="120" w:after="120" w:line="288" w:lineRule="auto"/>
              <w:ind w:left="0"/>
              <w:jc w:val="left"/>
            </w:pPr>
            <w:r>
              <w:rPr>
                <w:rFonts w:ascii="Arial" w:hAnsi="Arial" w:eastAsia="等线" w:cs="Arial"/>
                <w:sz w:val="22"/>
              </w:rPr>
              <w:t>立体大棚栽培</w:t>
            </w:r>
          </w:p>
        </w:tc>
        <w:tc>
          <w:tcPr>
            <w:tcW w:w="3000" w:type="dxa"/>
            <w:tcMar>
              <w:top w:w="60" w:type="dxa"/>
              <w:left w:w="120" w:type="dxa"/>
              <w:bottom w:w="30" w:type="dxa"/>
              <w:right w:w="120" w:type="dxa"/>
            </w:tcMar>
          </w:tcPr>
          <w:p w14:paraId="185A556C">
            <w:pPr>
              <w:spacing w:before="120" w:after="120" w:line="288" w:lineRule="auto"/>
              <w:ind w:left="0"/>
              <w:jc w:val="left"/>
            </w:pPr>
            <w:r>
              <w:rPr>
                <w:rFonts w:ascii="Arial" w:hAnsi="Arial" w:eastAsia="等线" w:cs="Arial"/>
                <w:sz w:val="22"/>
              </w:rPr>
              <w:t>Three-dimensional Greenhouse Cultivation</w:t>
            </w:r>
          </w:p>
        </w:tc>
      </w:tr>
      <w:tr w14:paraId="6ABD9B35">
        <w:tblPrEx>
          <w:tblLayout w:type="fixed"/>
        </w:tblPrEx>
        <w:tc>
          <w:tcPr>
            <w:tcW w:w="3000" w:type="dxa"/>
            <w:tcMar>
              <w:top w:w="60" w:type="dxa"/>
              <w:left w:w="120" w:type="dxa"/>
              <w:bottom w:w="30" w:type="dxa"/>
              <w:right w:w="120" w:type="dxa"/>
            </w:tcMar>
          </w:tcPr>
          <w:p w14:paraId="35D1C4B2">
            <w:pPr>
              <w:spacing w:before="120" w:after="120" w:line="288" w:lineRule="auto"/>
              <w:ind w:left="0"/>
              <w:jc w:val="left"/>
            </w:pPr>
            <w:r>
              <w:rPr>
                <w:rFonts w:ascii="Arial" w:hAnsi="Arial" w:eastAsia="等线" w:cs="Arial"/>
                <w:sz w:val="22"/>
              </w:rPr>
              <w:t>恒温恒湿培育</w:t>
            </w:r>
          </w:p>
        </w:tc>
        <w:tc>
          <w:tcPr>
            <w:tcW w:w="3000" w:type="dxa"/>
            <w:tcMar>
              <w:top w:w="60" w:type="dxa"/>
              <w:left w:w="120" w:type="dxa"/>
              <w:bottom w:w="30" w:type="dxa"/>
              <w:right w:w="120" w:type="dxa"/>
            </w:tcMar>
          </w:tcPr>
          <w:p w14:paraId="5F889B2F">
            <w:pPr>
              <w:spacing w:before="120" w:after="120" w:line="288" w:lineRule="auto"/>
              <w:ind w:left="0"/>
              <w:jc w:val="left"/>
            </w:pPr>
            <w:r>
              <w:rPr>
                <w:rFonts w:ascii="Arial" w:hAnsi="Arial" w:eastAsia="等线" w:cs="Arial"/>
                <w:sz w:val="22"/>
              </w:rPr>
              <w:t>Constant Temperature &amp; Humidity Cultivation</w:t>
            </w:r>
          </w:p>
        </w:tc>
      </w:tr>
      <w:tr w14:paraId="3BB5F8FE">
        <w:tblPrEx>
          <w:tblLayout w:type="fixed"/>
        </w:tblPrEx>
        <w:tc>
          <w:tcPr>
            <w:tcW w:w="3000" w:type="dxa"/>
            <w:tcMar>
              <w:top w:w="60" w:type="dxa"/>
              <w:left w:w="120" w:type="dxa"/>
              <w:bottom w:w="30" w:type="dxa"/>
              <w:right w:w="120" w:type="dxa"/>
            </w:tcMar>
          </w:tcPr>
          <w:p w14:paraId="0D2C21CA">
            <w:pPr>
              <w:spacing w:before="120" w:after="120" w:line="288" w:lineRule="auto"/>
              <w:ind w:left="0"/>
              <w:jc w:val="left"/>
            </w:pPr>
            <w:r>
              <w:rPr>
                <w:rFonts w:ascii="Arial" w:hAnsi="Arial" w:eastAsia="等线" w:cs="Arial"/>
                <w:sz w:val="22"/>
              </w:rPr>
              <w:t>子实体</w:t>
            </w:r>
          </w:p>
        </w:tc>
        <w:tc>
          <w:tcPr>
            <w:tcW w:w="3000" w:type="dxa"/>
            <w:tcMar>
              <w:top w:w="60" w:type="dxa"/>
              <w:left w:w="120" w:type="dxa"/>
              <w:bottom w:w="30" w:type="dxa"/>
              <w:right w:w="120" w:type="dxa"/>
            </w:tcMar>
          </w:tcPr>
          <w:p w14:paraId="45B333BF">
            <w:pPr>
              <w:spacing w:before="120" w:after="120" w:line="288" w:lineRule="auto"/>
              <w:ind w:left="0"/>
              <w:jc w:val="left"/>
            </w:pPr>
            <w:r>
              <w:rPr>
                <w:rFonts w:ascii="Arial" w:hAnsi="Arial" w:eastAsia="等线" w:cs="Arial"/>
                <w:sz w:val="22"/>
              </w:rPr>
              <w:t>Fruiting Body</w:t>
            </w:r>
          </w:p>
        </w:tc>
      </w:tr>
      <w:tr w14:paraId="4B69337F">
        <w:tblPrEx>
          <w:tblLayout w:type="fixed"/>
        </w:tblPrEx>
        <w:tc>
          <w:tcPr>
            <w:tcW w:w="3000" w:type="dxa"/>
            <w:tcMar>
              <w:top w:w="60" w:type="dxa"/>
              <w:left w:w="120" w:type="dxa"/>
              <w:bottom w:w="30" w:type="dxa"/>
              <w:right w:w="120" w:type="dxa"/>
            </w:tcMar>
          </w:tcPr>
          <w:p w14:paraId="191ECEBE">
            <w:pPr>
              <w:spacing w:before="120" w:after="120" w:line="288" w:lineRule="auto"/>
              <w:ind w:left="0"/>
              <w:jc w:val="left"/>
            </w:pPr>
            <w:r>
              <w:rPr>
                <w:rFonts w:ascii="Arial" w:hAnsi="Arial" w:eastAsia="等线" w:cs="Arial"/>
                <w:sz w:val="22"/>
              </w:rPr>
              <w:t>提升免疫力</w:t>
            </w:r>
          </w:p>
        </w:tc>
        <w:tc>
          <w:tcPr>
            <w:tcW w:w="3000" w:type="dxa"/>
            <w:tcMar>
              <w:top w:w="60" w:type="dxa"/>
              <w:left w:w="120" w:type="dxa"/>
              <w:bottom w:w="30" w:type="dxa"/>
              <w:right w:w="120" w:type="dxa"/>
            </w:tcMar>
          </w:tcPr>
          <w:p w14:paraId="6C1440B0">
            <w:pPr>
              <w:spacing w:before="120" w:after="120" w:line="288" w:lineRule="auto"/>
              <w:ind w:left="0"/>
              <w:jc w:val="left"/>
            </w:pPr>
            <w:r>
              <w:rPr>
                <w:rFonts w:ascii="Arial" w:hAnsi="Arial" w:eastAsia="等线" w:cs="Arial"/>
                <w:sz w:val="22"/>
              </w:rPr>
              <w:t>Improve Immunity</w:t>
            </w:r>
          </w:p>
        </w:tc>
      </w:tr>
      <w:tr w14:paraId="464D95A1">
        <w:tblPrEx>
          <w:tblLayout w:type="fixed"/>
        </w:tblPrEx>
        <w:tc>
          <w:tcPr>
            <w:tcW w:w="3000" w:type="dxa"/>
            <w:tcMar>
              <w:top w:w="60" w:type="dxa"/>
              <w:left w:w="120" w:type="dxa"/>
              <w:bottom w:w="30" w:type="dxa"/>
              <w:right w:w="120" w:type="dxa"/>
            </w:tcMar>
          </w:tcPr>
          <w:p w14:paraId="738F09C5">
            <w:pPr>
              <w:spacing w:before="120" w:after="120" w:line="288" w:lineRule="auto"/>
              <w:ind w:left="0"/>
              <w:jc w:val="left"/>
            </w:pPr>
            <w:r>
              <w:rPr>
                <w:rFonts w:ascii="Arial" w:hAnsi="Arial" w:eastAsia="等线" w:cs="Arial"/>
                <w:sz w:val="22"/>
              </w:rPr>
              <w:t>抗氧化作用</w:t>
            </w:r>
          </w:p>
        </w:tc>
        <w:tc>
          <w:tcPr>
            <w:tcW w:w="3000" w:type="dxa"/>
            <w:tcMar>
              <w:top w:w="60" w:type="dxa"/>
              <w:left w:w="120" w:type="dxa"/>
              <w:bottom w:w="30" w:type="dxa"/>
              <w:right w:w="120" w:type="dxa"/>
            </w:tcMar>
          </w:tcPr>
          <w:p w14:paraId="7D8BC280">
            <w:pPr>
              <w:spacing w:before="120" w:after="120" w:line="288" w:lineRule="auto"/>
              <w:ind w:left="0"/>
              <w:jc w:val="left"/>
            </w:pPr>
            <w:r>
              <w:rPr>
                <w:rFonts w:ascii="Arial" w:hAnsi="Arial" w:eastAsia="等线" w:cs="Arial"/>
                <w:sz w:val="22"/>
              </w:rPr>
              <w:t>Antioxidant Effect</w:t>
            </w:r>
          </w:p>
        </w:tc>
      </w:tr>
    </w:tbl>
    <w:p w14:paraId="74B1579A">
      <w:pPr>
        <w:spacing w:before="320" w:after="120" w:line="288" w:lineRule="auto"/>
        <w:ind w:left="0"/>
        <w:jc w:val="left"/>
        <w:outlineLvl w:val="1"/>
      </w:pPr>
      <w:bookmarkStart w:id="9" w:name="heading_9"/>
      <w:r>
        <w:rPr>
          <w:rFonts w:ascii="Arial" w:hAnsi="Arial" w:eastAsia="等线" w:cs="Arial"/>
          <w:b/>
          <w:sz w:val="32"/>
        </w:rPr>
        <w:t>七、官网首页 / 产业介绍正式宣传文案</w:t>
      </w:r>
      <w:bookmarkEnd w:id="9"/>
    </w:p>
    <w:p w14:paraId="62AF18D0">
      <w:pPr>
        <w:spacing w:before="300" w:after="120" w:line="288" w:lineRule="auto"/>
        <w:ind w:left="0"/>
        <w:jc w:val="left"/>
        <w:outlineLvl w:val="2"/>
      </w:pPr>
      <w:bookmarkStart w:id="10" w:name="heading_10"/>
      <w:r>
        <w:rPr>
          <w:rFonts w:ascii="Arial" w:hAnsi="Arial" w:eastAsia="等线" w:cs="Arial"/>
          <w:b/>
          <w:sz w:val="30"/>
        </w:rPr>
        <w:t>版本一（长文案，用于产业介绍栏目）</w:t>
      </w:r>
      <w:bookmarkEnd w:id="10"/>
    </w:p>
    <w:p w14:paraId="00F726B7">
      <w:pPr>
        <w:spacing w:before="120" w:after="120" w:line="288" w:lineRule="auto"/>
        <w:ind w:left="0"/>
        <w:jc w:val="left"/>
      </w:pPr>
      <w:r>
        <w:rPr>
          <w:rFonts w:ascii="Arial" w:hAnsi="Arial" w:eastAsia="等线" w:cs="Arial"/>
          <w:sz w:val="22"/>
        </w:rPr>
        <w:t>中文：根植灵芝农业文化遗产深厚底蕴，梅州万福楼灵芝基地融合千年传统农耕智慧与现代化设施农业，专业培育赤灵芝、血灵芝。基地坚持绿色种植标准，全程不使用农药化肥，传承岭南药用植物栽培技艺。以现代农业激活古老农遗资源，守护岭南药草农耕文明，打造梅州本土特色药用真菌产业样板。</w:t>
      </w:r>
      <w:r>
        <w:rPr>
          <w:rFonts w:ascii="Arial" w:hAnsi="Arial" w:eastAsia="等线" w:cs="Arial"/>
          <w:sz w:val="22"/>
        </w:rPr>
        <w:br w:type="textWrapping"/>
      </w:r>
      <w:r>
        <w:rPr>
          <w:rFonts w:ascii="Arial" w:hAnsi="Arial" w:eastAsia="等线" w:cs="Arial"/>
          <w:sz w:val="22"/>
        </w:rPr>
        <w:t xml:space="preserve">English: Rooted in profound heritage of Ganoderma Agricultural Cultural Heritage, Wanfulou Ganoderma Base in Meizhou integrates thousand-year traditional farming wisdom with modern facility agriculture, specializing in cultivating </w:t>
      </w:r>
      <w:r>
        <w:rPr>
          <w:rFonts w:ascii="Arial" w:hAnsi="Arial" w:eastAsia="等线" w:cs="Arial"/>
          <w:i/>
          <w:sz w:val="22"/>
        </w:rPr>
        <w:t>Ganoderma lucidum</w:t>
      </w:r>
      <w:r>
        <w:rPr>
          <w:rFonts w:ascii="Arial" w:hAnsi="Arial" w:eastAsia="等线" w:cs="Arial"/>
          <w:sz w:val="22"/>
        </w:rPr>
        <w:t xml:space="preserve"> and </w:t>
      </w:r>
      <w:r>
        <w:rPr>
          <w:rFonts w:ascii="Arial" w:hAnsi="Arial" w:eastAsia="等线" w:cs="Arial"/>
          <w:i/>
          <w:sz w:val="22"/>
        </w:rPr>
        <w:t>Ganoderma sinense</w:t>
      </w:r>
      <w:r>
        <w:rPr>
          <w:rFonts w:ascii="Arial" w:hAnsi="Arial" w:eastAsia="等线" w:cs="Arial"/>
          <w:sz w:val="22"/>
        </w:rPr>
        <w:t>. Adhering to green planting standards without pesticides and chemical fertilizers, the base inherits Lingnan medicinal plant cultivation techniques. It revitalizes ancient agricultural heritage resources with modern agriculture, preserves Lingnan herbal farming civilization, and builds a model of local characteristic medicinal fungus industry in Meizhou.</w:t>
      </w:r>
    </w:p>
    <w:p w14:paraId="4EDF9E1E">
      <w:pPr>
        <w:spacing w:before="300" w:after="120" w:line="288" w:lineRule="auto"/>
        <w:ind w:left="0"/>
        <w:jc w:val="left"/>
        <w:outlineLvl w:val="2"/>
      </w:pPr>
      <w:bookmarkStart w:id="11" w:name="heading_11"/>
      <w:r>
        <w:rPr>
          <w:rFonts w:ascii="Arial" w:hAnsi="Arial" w:eastAsia="等线" w:cs="Arial"/>
          <w:b/>
          <w:sz w:val="30"/>
        </w:rPr>
        <w:t>版本二（简短文案，用于网站横幅、简介栏）</w:t>
      </w:r>
      <w:bookmarkEnd w:id="11"/>
    </w:p>
    <w:p w14:paraId="41DE4451">
      <w:pPr>
        <w:spacing w:before="120" w:after="120" w:line="288" w:lineRule="auto"/>
        <w:ind w:left="0"/>
        <w:jc w:val="left"/>
      </w:pPr>
      <w:r>
        <w:rPr>
          <w:rFonts w:ascii="Arial" w:hAnsi="Arial" w:eastAsia="等线" w:cs="Arial"/>
          <w:sz w:val="22"/>
        </w:rPr>
        <w:t>中文：传承岭南灵芝栽培技艺，活化灵芝农业文化遗产。梅州万福楼灵芝基地绿色培育高品质赤灵芝、血灵芝，推动传统药草文化与乡村特色产业协同发展。</w:t>
      </w:r>
      <w:r>
        <w:rPr>
          <w:rFonts w:ascii="Arial" w:hAnsi="Arial" w:eastAsia="等线" w:cs="Arial"/>
          <w:sz w:val="22"/>
        </w:rPr>
        <w:br w:type="textWrapping"/>
      </w:r>
      <w:r>
        <w:rPr>
          <w:rFonts w:ascii="Arial" w:hAnsi="Arial" w:eastAsia="等线" w:cs="Arial"/>
          <w:sz w:val="22"/>
        </w:rPr>
        <w:t xml:space="preserve">English: Inherit Lingnan ganoderma cultivation techniques and revitalize Ganoderma Agricultural Cultural Heritage. Wanfulou Ganoderma Base in Meizhou grows high-quality </w:t>
      </w:r>
      <w:r>
        <w:rPr>
          <w:rFonts w:ascii="Arial" w:hAnsi="Arial" w:eastAsia="等线" w:cs="Arial"/>
          <w:i/>
          <w:sz w:val="22"/>
        </w:rPr>
        <w:t>Ganoderma lucidum</w:t>
      </w:r>
      <w:r>
        <w:rPr>
          <w:rFonts w:ascii="Arial" w:hAnsi="Arial" w:eastAsia="等线" w:cs="Arial"/>
          <w:sz w:val="22"/>
        </w:rPr>
        <w:t xml:space="preserve"> and </w:t>
      </w:r>
      <w:r>
        <w:rPr>
          <w:rFonts w:ascii="Arial" w:hAnsi="Arial" w:eastAsia="等线" w:cs="Arial"/>
          <w:i/>
          <w:sz w:val="22"/>
        </w:rPr>
        <w:t>Ganoderma sinense</w:t>
      </w:r>
      <w:r>
        <w:rPr>
          <w:rFonts w:ascii="Arial" w:hAnsi="Arial" w:eastAsia="等线" w:cs="Arial"/>
          <w:sz w:val="22"/>
        </w:rPr>
        <w:t xml:space="preserve"> in an eco-friendly way, boosting coordinated development of traditional herbal culture and characteristic rural industries.</w:t>
      </w:r>
    </w:p>
    <w:p w14:paraId="68287B72">
      <w:pPr>
        <w:spacing w:before="120" w:after="120" w:line="288" w:lineRule="auto"/>
        <w:ind w:left="0"/>
        <w:jc w:val="left"/>
      </w:pPr>
      <w:bookmarkStart w:id="12" w:name="_GoBack"/>
      <w:bookmarkEnd w:id="12"/>
    </w:p>
    <w:sectPr>
      <w:headerReference r:id="rId3" w:type="default"/>
      <w:footerReference r:id="rId4" w:type="default"/>
      <w:pgSz w:w="11905" w:h="1684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等线">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0F110A">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7BEF0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A6AFBB4"/>
    <w:multiLevelType w:val="singleLevel"/>
    <w:tmpl w:val="6A6AFBB4"/>
    <w:lvl w:ilvl="0" w:tentative="0">
      <w:start w:val="1"/>
      <w:numFmt w:val="decimal"/>
      <w:lvlText w:val="%1."/>
      <w:lvlJc w:val="left"/>
      <w:rPr>
        <w:color w:val="3370FF"/>
      </w:rPr>
    </w:lvl>
  </w:abstractNum>
  <w:abstractNum w:abstractNumId="1">
    <w:nsid w:val="6A6AFBBF"/>
    <w:multiLevelType w:val="singleLevel"/>
    <w:tmpl w:val="6A6AFBBF"/>
    <w:lvl w:ilvl="0" w:tentative="0">
      <w:start w:val="2"/>
      <w:numFmt w:val="decimal"/>
      <w:lvlText w:val="%1."/>
      <w:lvlJc w:val="left"/>
      <w:rPr>
        <w:color w:val="3370FF"/>
      </w:rPr>
    </w:lvl>
  </w:abstractNum>
  <w:abstractNum w:abstractNumId="2">
    <w:nsid w:val="6A6AFBCA"/>
    <w:multiLevelType w:val="singleLevel"/>
    <w:tmpl w:val="6A6AFBCA"/>
    <w:lvl w:ilvl="0" w:tentative="0">
      <w:start w:val="1"/>
      <w:numFmt w:val="decimal"/>
      <w:lvlText w:val="%1."/>
      <w:lvlJc w:val="left"/>
      <w:rPr>
        <w:color w:val="3370FF"/>
      </w:rPr>
    </w:lvl>
  </w:abstractNum>
  <w:abstractNum w:abstractNumId="3">
    <w:nsid w:val="6A6AFBD5"/>
    <w:multiLevelType w:val="singleLevel"/>
    <w:tmpl w:val="6A6AFBD5"/>
    <w:lvl w:ilvl="0" w:tentative="0">
      <w:start w:val="2"/>
      <w:numFmt w:val="decimal"/>
      <w:lvlText w:val="%1."/>
      <w:lvlJc w:val="left"/>
      <w:rPr>
        <w:color w:val="3370FF"/>
      </w:rPr>
    </w:lvl>
  </w:abstractNum>
  <w:abstractNum w:abstractNumId="4">
    <w:nsid w:val="6A6AFBE0"/>
    <w:multiLevelType w:val="singleLevel"/>
    <w:tmpl w:val="6A6AFBE0"/>
    <w:lvl w:ilvl="0" w:tentative="0">
      <w:start w:val="3"/>
      <w:numFmt w:val="decimal"/>
      <w:lvlText w:val="%1."/>
      <w:lvlJc w:val="left"/>
      <w:rPr>
        <w:color w:val="3370FF"/>
      </w:rPr>
    </w:lvl>
  </w:abstractNum>
  <w:abstractNum w:abstractNumId="5">
    <w:nsid w:val="6A6AFBEB"/>
    <w:multiLevelType w:val="singleLevel"/>
    <w:tmpl w:val="6A6AFBEB"/>
    <w:lvl w:ilvl="0" w:tentative="0">
      <w:start w:val="4"/>
      <w:numFmt w:val="decimal"/>
      <w:lvlText w:val="%1."/>
      <w:lvlJc w:val="left"/>
      <w:rPr>
        <w:color w:val="3370FF"/>
      </w:rPr>
    </w:lvl>
  </w:abstractNum>
  <w:abstractNum w:abstractNumId="6">
    <w:nsid w:val="6A6AFBF6"/>
    <w:multiLevelType w:val="singleLevel"/>
    <w:tmpl w:val="6A6AFBF6"/>
    <w:lvl w:ilvl="0" w:tentative="0">
      <w:start w:val="5"/>
      <w:numFmt w:val="decimal"/>
      <w:lvlText w:val="%1."/>
      <w:lvlJc w:val="left"/>
      <w:rPr>
        <w:color w:val="3370FF"/>
      </w:rPr>
    </w:lvl>
  </w:abstractNum>
  <w:abstractNum w:abstractNumId="7">
    <w:nsid w:val="6A6AFC01"/>
    <w:multiLevelType w:val="singleLevel"/>
    <w:tmpl w:val="6A6AFC01"/>
    <w:lvl w:ilvl="0" w:tentative="0">
      <w:start w:val="6"/>
      <w:numFmt w:val="decimal"/>
      <w:lvlText w:val="%1."/>
      <w:lvlJc w:val="left"/>
      <w:rPr>
        <w:color w:val="3370FF"/>
      </w:rPr>
    </w:lvl>
  </w:abstractNum>
  <w:abstractNum w:abstractNumId="8">
    <w:nsid w:val="6A6AFC0C"/>
    <w:multiLevelType w:val="singleLevel"/>
    <w:tmpl w:val="6A6AFC0C"/>
    <w:lvl w:ilvl="0" w:tentative="0">
      <w:start w:val="1"/>
      <w:numFmt w:val="decimal"/>
      <w:lvlText w:val="%1."/>
      <w:lvlJc w:val="left"/>
      <w:rPr>
        <w:color w:val="3370FF"/>
      </w:rPr>
    </w:lvl>
  </w:abstractNum>
  <w:abstractNum w:abstractNumId="9">
    <w:nsid w:val="6A6AFC17"/>
    <w:multiLevelType w:val="singleLevel"/>
    <w:tmpl w:val="6A6AFC17"/>
    <w:lvl w:ilvl="0" w:tentative="0">
      <w:start w:val="2"/>
      <w:numFmt w:val="decimal"/>
      <w:lvlText w:val="%1."/>
      <w:lvlJc w:val="left"/>
      <w:rPr>
        <w:color w:val="3370FF"/>
      </w:rPr>
    </w:lvl>
  </w:abstractNum>
  <w:abstractNum w:abstractNumId="10">
    <w:nsid w:val="6A6AFC22"/>
    <w:multiLevelType w:val="singleLevel"/>
    <w:tmpl w:val="6A6AFC22"/>
    <w:lvl w:ilvl="0" w:tentative="0">
      <w:start w:val="3"/>
      <w:numFmt w:val="decimal"/>
      <w:lvlText w:val="%1."/>
      <w:lvlJc w:val="left"/>
      <w:rPr>
        <w:color w:val="3370FF"/>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cumentProtection w:enforcement="0"/>
  <w:compat>
    <w:useFELayout/>
    <w:compatSetting w:name="compatibilityMode" w:uri="http://schemas.microsoft.com/office/word" w:val="12"/>
  </w:compat>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0</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2026-07-30T15:22:06Z</dcterms:created>
  <dc:creator>Apache POI</dc:creator>
  <cp:lastModifiedBy>iPhone</cp:lastModifiedBy>
  <dcterms:modified xsi:type="dcterms:W3CDTF">2026-07-30T15:22:40Z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{"Label":"1","ContentProducer":"001191110102MACQD9K64010000","ProduceID":"7668217960553319660","ReservedCode1":"","ContentPropagator":"","PropagateID":"","ReservedCode2":""}</vt:lpwstr>
  </property>
  <property fmtid="{D5CDD505-2E9C-101B-9397-08002B2CF9AE}" pid="3" name="ICV">
    <vt:lpwstr>3B6D8FD23A04DB91A8FB6A6A35C59915_31</vt:lpwstr>
  </property>
  <property fmtid="{D5CDD505-2E9C-101B-9397-08002B2CF9AE}" pid="4" name="KSOProductBuildVer">
    <vt:lpwstr>2052-26.7.0</vt:lpwstr>
  </property>
</Properties>
</file>