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24DA6"/>
          <w:sz w:val="60"/>
        </w:rPr>
        <w:t>五交易所返佣接入</w:t>
      </w:r>
    </w:p>
    <w:p>
      <w:pPr>
        <w:jc w:val="center"/>
      </w:pPr>
      <w:r>
        <w:rPr>
          <w:rFonts w:ascii="Calibri" w:hAnsi="Calibri" w:eastAsia="Microsoft YaHei"/>
          <w:b/>
          <w:color w:val="1E1E1E"/>
          <w:sz w:val="32"/>
        </w:rPr>
        <w:t>管理层汇报版配置说明</w:t>
      </w:r>
    </w:p>
    <w:p>
      <w:pPr>
        <w:jc w:val="center"/>
      </w:pPr>
      <w:r>
        <w:rPr>
          <w:rFonts w:ascii="Calibri" w:hAnsi="Calibri" w:eastAsia="Microsoft YaHei"/>
          <w:b w:val="0"/>
          <w:color w:val="5A5A5A"/>
          <w:sz w:val="22"/>
        </w:rPr>
        <w:t>Binance | OKX | Bitget | Gate.io | Weex</w:t>
      </w:r>
    </w:p>
    <w:p>
      <w:pPr>
        <w:jc w:val="center"/>
      </w:pPr>
      <w:r>
        <w:rPr>
          <w:rFonts w:ascii="Calibri" w:hAnsi="Calibri" w:eastAsia="Microsoft YaHei"/>
          <w:b w:val="0"/>
          <w:color w:val="787878"/>
          <w:sz w:val="20"/>
        </w:rPr>
        <w:t>文档日期：2026-02-10   适用系统：TelegramMini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4FF"/>
          </w:tcPr>
          <w:p>
            <w:r>
              <w:rPr>
                <w:rFonts w:ascii="Calibri" w:hAnsi="Calibri" w:eastAsia="Microsoft YaHei"/>
                <w:b w:val="0"/>
                <w:color w:val="232323"/>
                <w:sz w:val="22"/>
              </w:rPr>
              <w:t>一句话结论：外部机器人统一采集五家交易所返佣数据，本项目通过一个桥接接口完成同步、入库和后续结算。</w:t>
            </w:r>
          </w:p>
        </w:tc>
      </w:tr>
    </w:tbl>
    <w:p/>
    <w:p/>
    <w:p>
      <w:pPr>
        <w:spacing w:before="240" w:after="80"/>
      </w:pPr>
      <w:r>
        <w:rPr>
          <w:rFonts w:ascii="Calibri" w:hAnsi="Calibri" w:eastAsia="Microsoft YaHei"/>
          <w:b/>
          <w:color w:val="154492"/>
          <w:sz w:val="32"/>
        </w:rPr>
        <w:t>一、管理层速览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目标：将 5 家交易所返佣数据统一接入，提升运营效率与可审计性。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策略：外部机器人汇聚数据 + 当前项目统一入库。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投入：仅需配置桥接 URL 与 Token，无需在主项目保存交易所密钥。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产出：可统一看板、统一结算、统一风控。</w:t>
      </w:r>
    </w:p>
    <w:p>
      <w:pPr>
        <w:spacing w:before="240" w:after="80"/>
      </w:pPr>
      <w:r>
        <w:rPr>
          <w:rFonts w:ascii="Calibri" w:hAnsi="Calibri" w:eastAsia="Microsoft YaHei"/>
          <w:b/>
          <w:color w:val="154492"/>
          <w:sz w:val="32"/>
        </w:rPr>
        <w:t>二、系统责任边界</w:t>
      </w:r>
    </w:p>
    <w:p>
      <w:pPr>
        <w:spacing w:before="160" w:after="40"/>
      </w:pPr>
      <w:r>
        <w:rPr>
          <w:rFonts w:ascii="Calibri" w:hAnsi="Calibri" w:eastAsia="Microsoft YaHei"/>
          <w:b/>
          <w:color w:val="2D2D2D"/>
          <w:sz w:val="25"/>
        </w:rPr>
        <w:t>外部机器人负责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对接 5 家交易所 API，并处理分页、限流、重试。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将原始返回标准化为统一 rows 结构。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提供鉴权桥接接口，支持按时间窗口增量拉取。</w:t>
      </w:r>
    </w:p>
    <w:p>
      <w:pPr>
        <w:spacing w:before="160" w:after="40"/>
      </w:pPr>
      <w:r>
        <w:rPr>
          <w:rFonts w:ascii="Calibri" w:hAnsi="Calibri" w:eastAsia="Microsoft YaHei"/>
          <w:b/>
          <w:color w:val="2D2D2D"/>
          <w:sz w:val="25"/>
        </w:rPr>
        <w:t>当前项目负责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读取桥接接口并校验字段。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按 exchange 自动映射到 Binance / OKX / Bitget / Gate.io / Weex。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落库后复用既有返佣导入与结算链路。</w:t>
      </w:r>
    </w:p>
    <w:p>
      <w:pPr>
        <w:spacing w:before="240" w:after="80"/>
      </w:pPr>
      <w:r>
        <w:rPr>
          <w:rFonts w:ascii="Calibri" w:hAnsi="Calibri" w:eastAsia="Microsoft YaHei"/>
          <w:b/>
          <w:color w:val="154492"/>
          <w:sz w:val="32"/>
        </w:rPr>
        <w:t>三、五交易所配置矩阵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val="clear" w:color="auto" w:fill="DCE8FA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交易所</w:t>
            </w:r>
          </w:p>
        </w:tc>
        <w:tc>
          <w:tcPr>
            <w:tcW w:type="dxa" w:w="1926"/>
            <w:shd w:val="clear" w:color="auto" w:fill="DCE8FA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API 权限建议</w:t>
            </w:r>
          </w:p>
        </w:tc>
        <w:tc>
          <w:tcPr>
            <w:tcW w:type="dxa" w:w="1926"/>
            <w:shd w:val="clear" w:color="auto" w:fill="DCE8FA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同步频率</w:t>
            </w:r>
          </w:p>
        </w:tc>
        <w:tc>
          <w:tcPr>
            <w:tcW w:type="dxa" w:w="1926"/>
            <w:shd w:val="clear" w:color="auto" w:fill="DCE8FA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关键风险</w:t>
            </w:r>
          </w:p>
        </w:tc>
        <w:tc>
          <w:tcPr>
            <w:tcW w:type="dxa" w:w="1926"/>
            <w:shd w:val="clear" w:color="auto" w:fill="DCE8FA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建议措施</w:t>
            </w:r>
          </w:p>
        </w:tc>
      </w:tr>
      <w:tr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Binance</w:t>
            </w:r>
          </w:p>
        </w:tc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Broker/Agent 返佣只读</w:t>
            </w:r>
          </w:p>
        </w:tc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每小时</w:t>
            </w:r>
          </w:p>
        </w:tc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时间窗遗漏</w:t>
            </w:r>
          </w:p>
        </w:tc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按小时补拉 + 日对账</w:t>
            </w:r>
          </w:p>
        </w:tc>
      </w:tr>
      <w:tr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OKX</w:t>
            </w:r>
          </w:p>
        </w:tc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Broker/Affiliate 只读</w:t>
            </w:r>
          </w:p>
        </w:tc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每小时</w:t>
            </w:r>
          </w:p>
        </w:tc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分页漏单</w:t>
            </w:r>
          </w:p>
        </w:tc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分页游标落盘</w:t>
            </w:r>
          </w:p>
        </w:tc>
      </w:tr>
      <w:tr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Bitget</w:t>
            </w:r>
          </w:p>
        </w:tc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Broker 佣金只读</w:t>
            </w:r>
          </w:p>
        </w:tc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每小时</w:t>
            </w:r>
          </w:p>
        </w:tc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限流触发</w:t>
            </w:r>
          </w:p>
        </w:tc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指数退避重试</w:t>
            </w:r>
          </w:p>
        </w:tc>
      </w:tr>
      <w:tr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Gate.io</w:t>
            </w:r>
          </w:p>
        </w:tc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Broker rebate 只读</w:t>
            </w:r>
          </w:p>
        </w:tc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每小时</w:t>
            </w:r>
          </w:p>
        </w:tc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窗口上限 30 天</w:t>
            </w:r>
          </w:p>
        </w:tc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按日切片回溯</w:t>
            </w:r>
          </w:p>
        </w:tc>
      </w:tr>
      <w:tr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Weex</w:t>
            </w:r>
          </w:p>
        </w:tc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代理返佣只读</w:t>
            </w:r>
          </w:p>
        </w:tc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每小时</w:t>
            </w:r>
          </w:p>
        </w:tc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字段漂移</w:t>
            </w:r>
          </w:p>
        </w:tc>
        <w:tc>
          <w:tcPr>
            <w:tcW w:type="dxa" w:w="1926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契约测试 + 告警</w:t>
            </w:r>
          </w:p>
        </w:tc>
      </w:tr>
    </w:tbl>
    <w:p>
      <w:pPr>
        <w:spacing w:before="240" w:after="80"/>
      </w:pPr>
      <w:r>
        <w:rPr>
          <w:rFonts w:ascii="Calibri" w:hAnsi="Calibri" w:eastAsia="Microsoft YaHei"/>
          <w:b/>
          <w:color w:val="154492"/>
          <w:sz w:val="32"/>
        </w:rPr>
        <w:t>四、桥接接口契约（给技术负责人）</w:t>
      </w:r>
    </w:p>
    <w:p>
      <w:pPr>
        <w:spacing w:before="160" w:after="40"/>
      </w:pPr>
      <w:r>
        <w:rPr>
          <w:rFonts w:ascii="Calibri" w:hAnsi="Calibri" w:eastAsia="Microsoft YaHei"/>
          <w:b/>
          <w:color w:val="2D2D2D"/>
          <w:sz w:val="25"/>
        </w:rPr>
        <w:t>请求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Method: GET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Header: Authorization: Bearer &lt;WEEX_BRIDGE_TOKEN&gt;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Query: from=&lt;ISO&gt;, to=&lt;ISO&gt;（可选）</w:t>
      </w:r>
    </w:p>
    <w:p>
      <w:pPr>
        <w:spacing w:before="160" w:after="40"/>
      </w:pPr>
      <w:r>
        <w:rPr>
          <w:rFonts w:ascii="Calibri" w:hAnsi="Calibri" w:eastAsia="Microsoft YaHei"/>
          <w:b/>
          <w:color w:val="2D2D2D"/>
          <w:sz w:val="25"/>
        </w:rPr>
        <w:t>响应示例</w:t>
      </w:r>
    </w:p>
    <w:p>
      <w:r>
        <w:rPr>
          <w:rFonts w:ascii="Consolas" w:hAnsi="Consolas" w:eastAsia="Microsoft YaHei"/>
          <w:b w:val="0"/>
          <w:color w:val="343434"/>
          <w:sz w:val="18"/>
        </w:rPr>
        <w:t>{"rows":[{"exchange":"binance","uid":"10001","tradeDate":"2026-02-01T08:00:00.000Z","tradeVolume":"1234.56","baseFeeRate":"0.001","autoRebate":"2.4"},{"exchange":"okx","uid":"20001","tradeDate":1761955200,"tradeVolume":300,"baseFeeRate":0.0006}]}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DDE8FA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字段</w:t>
            </w:r>
          </w:p>
        </w:tc>
        <w:tc>
          <w:tcPr>
            <w:tcW w:type="dxa" w:w="2408"/>
            <w:shd w:val="clear" w:color="auto" w:fill="DDE8FA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必填</w:t>
            </w:r>
          </w:p>
        </w:tc>
        <w:tc>
          <w:tcPr>
            <w:tcW w:type="dxa" w:w="2408"/>
            <w:shd w:val="clear" w:color="auto" w:fill="DDE8FA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含义</w:t>
            </w:r>
          </w:p>
        </w:tc>
        <w:tc>
          <w:tcPr>
            <w:tcW w:type="dxa" w:w="2408"/>
            <w:shd w:val="clear" w:color="auto" w:fill="DDE8FA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支持值</w:t>
            </w:r>
          </w:p>
        </w:tc>
      </w:tr>
      <w:tr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exchange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否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交易所标识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binance/okx/bitget/gate/gate.io/weex</w:t>
            </w:r>
          </w:p>
        </w:tc>
      </w:tr>
      <w:tr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uid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是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用户 UID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字符串或数字</w:t>
            </w:r>
          </w:p>
        </w:tc>
      </w:tr>
      <w:tr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tradeDate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是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交易时间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ISO 或秒/毫秒时间戳</w:t>
            </w:r>
          </w:p>
        </w:tc>
      </w:tr>
      <w:tr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tradeVolume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是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交易量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数字</w:t>
            </w:r>
          </w:p>
        </w:tc>
      </w:tr>
      <w:tr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baseFeeRate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是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基础费率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数字，如 0.001</w:t>
            </w:r>
          </w:p>
        </w:tc>
      </w:tr>
      <w:tr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autoRebate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否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自动返佣</w:t>
            </w:r>
          </w:p>
        </w:tc>
        <w:tc>
          <w:tcPr>
            <w:tcW w:type="dxa" w:w="2408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数字</w:t>
            </w:r>
          </w:p>
        </w:tc>
      </w:tr>
    </w:tbl>
    <w:p>
      <w:pPr>
        <w:spacing w:before="240" w:after="80"/>
      </w:pPr>
      <w:r>
        <w:rPr>
          <w:rFonts w:ascii="Calibri" w:hAnsi="Calibri" w:eastAsia="Microsoft YaHei"/>
          <w:b/>
          <w:color w:val="154492"/>
          <w:sz w:val="32"/>
        </w:rPr>
        <w:t>五、运营同学操作步骤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进入管理机器人 -&gt; 配置管理。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设置 Weex桥接地址（WEEX_BRIDGE_URL）。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设置 Weex桥接令牌（WEEX_BRIDGE_TOKEN）。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点击 同步 Weex 触发任务（名称沿用历史入口）。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查看返回统计：拉取 / 入库 / 跳过 / 错误样例。</w:t>
      </w:r>
    </w:p>
    <w:p>
      <w:pPr>
        <w:spacing w:before="240" w:after="80"/>
      </w:pPr>
      <w:r>
        <w:rPr>
          <w:rFonts w:ascii="Calibri" w:hAnsi="Calibri" w:eastAsia="Microsoft YaHei"/>
          <w:b/>
          <w:color w:val="154492"/>
          <w:sz w:val="32"/>
        </w:rPr>
        <w:t>六、验收与里程碑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DCE8FA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阶段</w:t>
            </w:r>
          </w:p>
        </w:tc>
        <w:tc>
          <w:tcPr>
            <w:tcW w:type="dxa" w:w="3211"/>
            <w:shd w:val="clear" w:color="auto" w:fill="DCE8FA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验收标准</w:t>
            </w:r>
          </w:p>
        </w:tc>
        <w:tc>
          <w:tcPr>
            <w:tcW w:type="dxa" w:w="3211"/>
            <w:shd w:val="clear" w:color="auto" w:fill="DCE8FA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负责人</w:t>
            </w:r>
          </w:p>
        </w:tc>
      </w:tr>
      <w:tr>
        <w:tc>
          <w:tcPr>
            <w:tcW w:type="dxa" w:w="3211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D1 配置完成</w:t>
            </w:r>
          </w:p>
        </w:tc>
        <w:tc>
          <w:tcPr>
            <w:tcW w:type="dxa" w:w="3211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桥接 URL/Token 配置成功</w:t>
            </w:r>
          </w:p>
        </w:tc>
        <w:tc>
          <w:tcPr>
            <w:tcW w:type="dxa" w:w="3211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运维</w:t>
            </w:r>
          </w:p>
        </w:tc>
      </w:tr>
      <w:tr>
        <w:tc>
          <w:tcPr>
            <w:tcW w:type="dxa" w:w="3211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D2 联调完成</w:t>
            </w:r>
          </w:p>
        </w:tc>
        <w:tc>
          <w:tcPr>
            <w:tcW w:type="dxa" w:w="3211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五交易所各至少 1 条入库</w:t>
            </w:r>
          </w:p>
        </w:tc>
        <w:tc>
          <w:tcPr>
            <w:tcW w:type="dxa" w:w="3211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后端 + 运营</w:t>
            </w:r>
          </w:p>
        </w:tc>
      </w:tr>
      <w:tr>
        <w:tc>
          <w:tcPr>
            <w:tcW w:type="dxa" w:w="3211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D3 稳定运行</w:t>
            </w:r>
          </w:p>
        </w:tc>
        <w:tc>
          <w:tcPr>
            <w:tcW w:type="dxa" w:w="3211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连续 3 天同步成功率 &gt;= 99%</w:t>
            </w:r>
          </w:p>
        </w:tc>
        <w:tc>
          <w:tcPr>
            <w:tcW w:type="dxa" w:w="3211"/>
          </w:tcPr>
          <w:p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后端</w:t>
            </w:r>
          </w:p>
        </w:tc>
      </w:tr>
    </w:tbl>
    <w:p>
      <w:pPr>
        <w:spacing w:before="240" w:after="80"/>
      </w:pPr>
      <w:r>
        <w:rPr>
          <w:rFonts w:ascii="Calibri" w:hAnsi="Calibri" w:eastAsia="Microsoft YaHei"/>
          <w:b/>
          <w:color w:val="154492"/>
          <w:sz w:val="32"/>
        </w:rPr>
        <w:t>七、风险控制与建议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密钥安全：交易所密钥仅存放外部机器人，主项目不落地。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访问控制：桥接接口必须启用 Token + 白名单。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质量保障：每日自动对账，差异超阈值自动告警。</w:t>
      </w:r>
    </w:p>
    <w:p>
      <w:pPr>
        <w:pStyle w:val="ListBullet"/>
        <w:spacing w:line="300" w:lineRule="auto" w:after="40"/>
      </w:pPr>
      <w:r>
        <w:rPr>
          <w:rFonts w:ascii="Calibri" w:hAnsi="Calibri" w:eastAsia="Microsoft YaHei"/>
          <w:b w:val="0"/>
          <w:color w:val="232323"/>
          <w:sz w:val="22"/>
        </w:rPr>
        <w:t>应急预案：桥接故障时支持按天补拉，确保账目完整。</w:t>
      </w:r>
    </w:p>
    <w:sectPr w:rsidR="00FC693F" w:rsidRPr="0006063C" w:rsidSect="00034616">
      <w:foot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828282"/>
        <w:sz w:val="18"/>
      </w:rPr>
      <w:t>TelegramMini - Five Exchange Executive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