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34EA2"/>
          <w:sz w:val="56"/>
        </w:rPr>
        <w:t>五交易所桥接配置指南</w:t>
      </w:r>
    </w:p>
    <w:p>
      <w:pPr>
        <w:jc w:val="center"/>
      </w:pPr>
      <w:r>
        <w:rPr>
          <w:rFonts w:ascii="Calibri" w:hAnsi="Calibri" w:eastAsia="Microsoft YaHei"/>
          <w:b w:val="0"/>
          <w:color w:val="525252"/>
          <w:sz w:val="24"/>
        </w:rPr>
        <w:t>Binance / OKX / Bitget / Gate.io / Weex</w:t>
      </w:r>
    </w:p>
    <w:p>
      <w:pPr>
        <w:jc w:val="center"/>
      </w:pPr>
      <w:r>
        <w:rPr>
          <w:rFonts w:ascii="Calibri" w:hAnsi="Calibri" w:eastAsia="Microsoft YaHei"/>
          <w:b w:val="0"/>
          <w:color w:val="787878"/>
          <w:sz w:val="20"/>
        </w:rPr>
        <w:t>TelegramMini 返佣系统 | 2026-02-10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EF4FF"/>
          </w:tcPr>
          <w:p>
            <w:r>
              <w:rPr>
                <w:rFonts w:ascii="Calibri" w:hAnsi="Calibri" w:eastAsia="Microsoft YaHei"/>
                <w:b w:val="0"/>
                <w:color w:val="202020"/>
                <w:sz w:val="22"/>
              </w:rPr>
              <w:t>目标：在外部机器人一次性配置 5 个交易所，本项目通过单桥接接口拉取并自动识别交易所后入库。</w:t>
            </w:r>
          </w:p>
        </w:tc>
      </w:tr>
    </w:tbl>
    <w:p/>
    <w:p/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一、整体架构（推荐方式）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外部机器人负责：调用 5 家交易所 API、做字段统一、输出标准 JSON。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本项目负责：读取桥接接口、校验并写入交易日报、走返佣结算链路。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优势：主项目不用保存 5 家交易所私钥，安全性和可维护性更高。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二、10 分钟快速上线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步骤 1：在外部机器人配置 5 家交易所的 API Key/Secret。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步骤 2：在外部机器人提供统一桥接接口（一个 URL + 一个 Bearer Token）。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步骤 3：在本项目管理机器人配置 WEEX_BRIDGE_URL 与 WEEX_BRIDGE_TOKEN。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步骤 4：点击【同步 Weex】触发同步（现已支持识别 5 家交易所）。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步骤 5：检查返回结果中的拉取、入库、跳过统计。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三、外部机器人配置清单（5 交易所）</w:t>
      </w:r>
    </w:p>
    <w:p>
      <w:pPr>
        <w:spacing w:after="80" w:line="324" w:lineRule="auto"/>
      </w:pPr>
      <w:r>
        <w:rPr>
          <w:rFonts w:ascii="Calibri" w:hAnsi="Calibri" w:eastAsia="Microsoft YaHei"/>
          <w:b w:val="0"/>
          <w:color w:val="202020"/>
          <w:sz w:val="22"/>
        </w:rPr>
        <w:t>建议每个交易所都按只读权限创建 API Key，并启用 IP 白名单。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交易所</w:t>
            </w:r>
          </w:p>
        </w:tc>
        <w:tc>
          <w:tcPr>
            <w:tcW w:type="dxa" w:w="1904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建议权限</w:t>
            </w:r>
          </w:p>
        </w:tc>
        <w:tc>
          <w:tcPr>
            <w:tcW w:type="dxa" w:w="1904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建议拉取接口</w:t>
            </w:r>
          </w:p>
        </w:tc>
        <w:tc>
          <w:tcPr>
            <w:tcW w:type="dxa" w:w="1904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时间窗口</w:t>
            </w:r>
          </w:p>
        </w:tc>
        <w:tc>
          <w:tcPr>
            <w:tcW w:type="dxa" w:w="1904"/>
            <w:shd w:val="clear" w:color="auto" w:fill="DC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备注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Binance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Broker/Agent 返佣只读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rebate records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按日或 7 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优先按子账号/UID 维度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OKX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Broker/Affiliate 只读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rebate details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按日或 30 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建议 UTC 对齐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Bitget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Broker 返佣只读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commission list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按日或 30 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注意分页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Gate.io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Broker rebate 只读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commission + transaction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&lt;=30 天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可同时拉 fee 与 rebate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Weex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代理返佣只读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rebate/commission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按日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字段对齐统一结构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四、桥接接口协议（本项目读取）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1) 请求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Method: GET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Header: Authorization: Bearer &lt;WEEX_BRIDGE_TOKEN&gt;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Query: from=&lt;ISO时间&gt;, to=&lt;ISO时间&gt;（可选）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2) 响应示例</w:t>
      </w:r>
    </w:p>
    <w:p>
      <w:r>
        <w:rPr>
          <w:rFonts w:ascii="Consolas" w:hAnsi="Consolas" w:eastAsia="Microsoft YaHei"/>
          <w:b w:val="0"/>
          <w:color w:val="323232"/>
          <w:sz w:val="18"/>
        </w:rPr>
        <w:t>{rows:[{exchange:binance,uid:10001,tradeDate:2026-02-01T08:00:00.000Z,tradeVolume:1234.56,baseFeeRate:0.001,autoRebate:2.4},{exchange:okx,uid:20001,tradeDate:1761955200,tradeVolume:300,baseFeeRate:0.0006}]}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3) 字段要求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字段</w:t>
            </w:r>
          </w:p>
        </w:tc>
        <w:tc>
          <w:tcPr>
            <w:tcW w:type="dxa" w:w="2379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必填</w:t>
            </w:r>
          </w:p>
        </w:tc>
        <w:tc>
          <w:tcPr>
            <w:tcW w:type="dxa" w:w="2379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说明</w:t>
            </w:r>
          </w:p>
        </w:tc>
        <w:tc>
          <w:tcPr>
            <w:tcW w:type="dxa" w:w="2379"/>
            <w:shd w:val="clear" w:color="auto" w:fill="DDE8FA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支持值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exchange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否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交易所标识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binance / okx / bitget / gate / gate.io / weex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uid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用户 UID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字符串或数字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tradeDate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交易时间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ISO / 秒级时间戳 / 毫秒时间戳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tradeVolume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交易量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数字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baseFeeRate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基础费率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数字，如 0.001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autoRebate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否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自动返佣</w:t>
            </w:r>
          </w:p>
        </w:tc>
        <w:tc>
          <w:tcPr>
            <w:tcW w:type="dxa" w:w="2379"/>
          </w:tcPr>
          <w:p>
            <w:r>
              <w:rPr>
                <w:rFonts w:ascii="Calibri" w:hAnsi="Calibri" w:eastAsia="Microsoft YaHei"/>
                <w:b w:val="0"/>
                <w:color w:val="202020"/>
                <w:sz w:val="20"/>
              </w:rPr>
              <w:t>数字</w:t>
            </w:r>
          </w:p>
        </w:tc>
      </w:tr>
    </w:tbl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五、本项目管理机器人配置步骤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进入【配置管理】。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设置【Weex桥接地址】= WEEX_BRIDGE_URL。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设置【Weex桥接令牌】= WEEX_BRIDGE_TOKEN。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回到主菜单，点击【同步 Weex】。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若外部机器人返回多交易所 rows，系统会自动按 exchange 写入对应交易所。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六、验收标准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机器人返回同步完成，且入库数量大于 0。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数据库中 DailyTradeReport 出现 Binance、OKX、Bitget、Gate.io、Weex 记录。</w:t>
      </w:r>
    </w:p>
    <w:p>
      <w:pPr>
        <w:pStyle w:val="ListBullet"/>
        <w:spacing w:after="4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若出现大量跳过，优先检查 UID 是否已审核绑定。</w:t>
      </w:r>
    </w:p>
    <w:p>
      <w:pPr>
        <w:spacing w:before="240" w:after="80"/>
      </w:pPr>
      <w:r>
        <w:rPr>
          <w:rFonts w:ascii="Calibri" w:hAnsi="Calibri" w:eastAsia="Microsoft YaHei"/>
          <w:b/>
          <w:color w:val="143E8C"/>
          <w:sz w:val="32"/>
        </w:rPr>
        <w:t>七、常见问题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Q1：为什么配置键叫 WEEX_BRIDGE，但能同步 5 家？</w:t>
      </w:r>
    </w:p>
    <w:p>
      <w:pPr>
        <w:spacing w:after="80" w:line="324" w:lineRule="auto"/>
      </w:pPr>
      <w:r>
        <w:rPr>
          <w:rFonts w:ascii="Calibri" w:hAnsi="Calibri" w:eastAsia="Microsoft YaHei"/>
          <w:b w:val="0"/>
          <w:color w:val="202020"/>
          <w:sz w:val="22"/>
        </w:rPr>
        <w:t>这是桥接入口命名历史原因。现在接口支持多交易所数据，核心由 rows.exchange 决定入库交易所。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Q2：如果 exchange 不传会怎样？</w:t>
      </w:r>
    </w:p>
    <w:p>
      <w:pPr>
        <w:spacing w:after="80" w:line="324" w:lineRule="auto"/>
      </w:pPr>
      <w:r>
        <w:rPr>
          <w:rFonts w:ascii="Calibri" w:hAnsi="Calibri" w:eastAsia="Microsoft YaHei"/>
          <w:b w:val="0"/>
          <w:color w:val="202020"/>
          <w:sz w:val="22"/>
        </w:rPr>
        <w:t>系统默认按 Weex 处理。建议 5 家交易所都显式传 exchange，避免误归类。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2D2D2D"/>
          <w:sz w:val="26"/>
        </w:rPr>
        <w:t>Q3：如何提高稳定性？</w:t>
      </w:r>
    </w:p>
    <w:p>
      <w:pPr>
        <w:spacing w:after="80" w:line="324" w:lineRule="auto"/>
      </w:pPr>
      <w:r>
        <w:rPr>
          <w:rFonts w:ascii="Calibri" w:hAnsi="Calibri" w:eastAsia="Microsoft YaHei"/>
          <w:b w:val="0"/>
          <w:color w:val="202020"/>
          <w:sz w:val="22"/>
        </w:rPr>
        <w:t>外部机器人建议加入重试、分页断点续拉、错误告警与每日对账。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828282"/>
        <w:sz w:val="18"/>
      </w:rPr>
      <w:t>TelegramMini - Five Exchange Bridge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