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99" w:rsidRDefault="004F5199" w:rsidP="002126DD">
      <w:pPr>
        <w:ind w:left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F5199">
        <w:rPr>
          <w:rFonts w:ascii="Times New Roman" w:hAnsi="Times New Roman" w:cs="Times New Roman"/>
          <w:color w:val="000000" w:themeColor="text1"/>
          <w:sz w:val="40"/>
          <w:szCs w:val="40"/>
        </w:rPr>
        <w:t>Организация:</w:t>
      </w:r>
      <w:r w:rsidRPr="004F5199">
        <w:rPr>
          <w:rFonts w:ascii="Times New Roman" w:hAnsi="Times New Roman" w:cs="Times New Roman"/>
          <w:sz w:val="40"/>
          <w:szCs w:val="40"/>
        </w:rPr>
        <w:t xml:space="preserve"> </w:t>
      </w:r>
      <w:r w:rsidRPr="004F5199">
        <w:rPr>
          <w:rFonts w:ascii="Times New Roman" w:hAnsi="Times New Roman" w:cs="Times New Roman"/>
          <w:color w:val="000000" w:themeColor="text1"/>
          <w:sz w:val="40"/>
          <w:szCs w:val="40"/>
        </w:rPr>
        <w:t>Государственное бюджетное учреждение города Москвы Центр содействия семейному воспитанию "Вера. Надежда. Любовь" Департамента труда и социальной защиты населения города Москвы</w:t>
      </w:r>
    </w:p>
    <w:p w:rsidR="004F5199" w:rsidRPr="004F5199" w:rsidRDefault="004F5199" w:rsidP="002126DD">
      <w:pPr>
        <w:ind w:left="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4F5199" w:rsidRPr="004F5199" w:rsidRDefault="004F5199" w:rsidP="004F5199">
      <w:pPr>
        <w:ind w:left="0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F519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Практика: </w:t>
      </w:r>
      <w:bookmarkStart w:id="0" w:name="_GoBack"/>
      <w:r w:rsidRPr="004F519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Программа непрерывного сопровождения детей с выраженными интеллектуальными нарушениями</w:t>
      </w:r>
      <w:bookmarkEnd w:id="0"/>
    </w:p>
    <w:p w:rsidR="004F5199" w:rsidRDefault="004F5199" w:rsidP="002126DD">
      <w:pPr>
        <w:ind w:left="0"/>
        <w:rPr>
          <w:rFonts w:ascii="Arial Narrow" w:hAnsi="Arial Narrow" w:cs="Arial"/>
          <w:color w:val="000000" w:themeColor="text1"/>
          <w:sz w:val="18"/>
          <w:szCs w:val="18"/>
        </w:rPr>
      </w:pPr>
    </w:p>
    <w:tbl>
      <w:tblPr>
        <w:tblStyle w:val="af5"/>
        <w:tblpPr w:leftFromText="180" w:rightFromText="180" w:vertAnchor="text" w:horzAnchor="margin" w:tblpY="-741"/>
        <w:tblW w:w="15701" w:type="dxa"/>
        <w:tblLayout w:type="fixed"/>
        <w:tblLook w:val="0620" w:firstRow="1" w:lastRow="0" w:firstColumn="0" w:lastColumn="0" w:noHBand="1" w:noVBand="1"/>
      </w:tblPr>
      <w:tblGrid>
        <w:gridCol w:w="1237"/>
        <w:gridCol w:w="1423"/>
        <w:gridCol w:w="1559"/>
        <w:gridCol w:w="1843"/>
        <w:gridCol w:w="2126"/>
        <w:gridCol w:w="2268"/>
        <w:gridCol w:w="1559"/>
        <w:gridCol w:w="1560"/>
        <w:gridCol w:w="2126"/>
      </w:tblGrid>
      <w:tr w:rsidR="004F5199" w:rsidRPr="00DB0C15" w:rsidTr="001D4DEF">
        <w:trPr>
          <w:trHeight w:val="671"/>
        </w:trPr>
        <w:tc>
          <w:tcPr>
            <w:tcW w:w="1237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lastRenderedPageBreak/>
              <w:t xml:space="preserve">Благополучатели </w:t>
            </w: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center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Деятельность по программе</w:t>
            </w: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jc w:val="center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Непосредственные результаты</w:t>
            </w:r>
          </w:p>
        </w:tc>
        <w:tc>
          <w:tcPr>
            <w:tcW w:w="1843" w:type="dxa"/>
          </w:tcPr>
          <w:p w:rsidR="004F5199" w:rsidRPr="00DB0C15" w:rsidRDefault="004F5199" w:rsidP="001D4DEF">
            <w:pPr>
              <w:ind w:left="0"/>
              <w:jc w:val="center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Показатель </w:t>
            </w:r>
          </w:p>
        </w:tc>
        <w:tc>
          <w:tcPr>
            <w:tcW w:w="2126" w:type="dxa"/>
          </w:tcPr>
          <w:p w:rsidR="004F5199" w:rsidRPr="00DB0C15" w:rsidRDefault="004F5199" w:rsidP="001D4DEF">
            <w:pPr>
              <w:ind w:left="0"/>
              <w:jc w:val="center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Социальные результаты краткосрочные</w:t>
            </w:r>
          </w:p>
        </w:tc>
        <w:tc>
          <w:tcPr>
            <w:tcW w:w="2268" w:type="dxa"/>
          </w:tcPr>
          <w:p w:rsidR="004F5199" w:rsidRPr="00DB0C15" w:rsidRDefault="004F5199" w:rsidP="001D4DEF">
            <w:pPr>
              <w:ind w:left="0"/>
              <w:jc w:val="center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Показатель</w:t>
            </w: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jc w:val="center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Социальные результаты среднесрочные</w:t>
            </w:r>
          </w:p>
        </w:tc>
        <w:tc>
          <w:tcPr>
            <w:tcW w:w="1560" w:type="dxa"/>
          </w:tcPr>
          <w:p w:rsidR="004F5199" w:rsidRPr="00DB0C15" w:rsidRDefault="004F5199" w:rsidP="001D4DEF">
            <w:pPr>
              <w:ind w:left="0"/>
              <w:jc w:val="center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Показатель</w:t>
            </w:r>
          </w:p>
        </w:tc>
        <w:tc>
          <w:tcPr>
            <w:tcW w:w="2126" w:type="dxa"/>
          </w:tcPr>
          <w:p w:rsidR="004F5199" w:rsidRPr="00DB0C15" w:rsidRDefault="004F5199" w:rsidP="001D4DEF">
            <w:pPr>
              <w:ind w:left="0"/>
              <w:jc w:val="center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Социальные результаты долгосрочные </w:t>
            </w:r>
          </w:p>
        </w:tc>
      </w:tr>
      <w:tr w:rsidR="004F5199" w:rsidRPr="00DB0C15" w:rsidTr="001D4DEF">
        <w:trPr>
          <w:trHeight w:val="623"/>
        </w:trPr>
        <w:tc>
          <w:tcPr>
            <w:tcW w:w="1237" w:type="dxa"/>
            <w:vMerge w:val="restart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Дети с выраженными интеллектуальными нарушениями</w:t>
            </w: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Диагностика</w:t>
            </w:r>
          </w:p>
        </w:tc>
        <w:tc>
          <w:tcPr>
            <w:tcW w:w="1559" w:type="dxa"/>
            <w:vMerge w:val="restart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Задачи, адекватные уровню развития и состоянию ребенка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Кол-во СИПРов заполненных в соответствии с регламентом</w:t>
            </w:r>
            <w:r w:rsidRPr="00DB0C15">
              <w:rPr>
                <w:rStyle w:val="aff"/>
                <w:rFonts w:ascii="Arial Narrow" w:hAnsi="Arial Narrow"/>
                <w:color w:val="000000" w:themeColor="text1"/>
                <w:sz w:val="18"/>
                <w:szCs w:val="18"/>
              </w:rPr>
              <w:footnoteRef/>
            </w:r>
          </w:p>
        </w:tc>
        <w:tc>
          <w:tcPr>
            <w:tcW w:w="2126" w:type="dxa"/>
            <w:vMerge w:val="restart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Скоординированная поддержка развития ребенка различными специалистами, направленная на положительную динамику в развитие ребенка</w:t>
            </w:r>
          </w:p>
        </w:tc>
        <w:tc>
          <w:tcPr>
            <w:tcW w:w="2268" w:type="dxa"/>
            <w:vMerge w:val="restart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Кол-во детей, у которых наблюдается устойчивая положительная динамика в течение 1 года</w:t>
            </w:r>
          </w:p>
        </w:tc>
        <w:tc>
          <w:tcPr>
            <w:tcW w:w="1559" w:type="dxa"/>
            <w:vMerge w:val="restart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Увеличение доли воспитанников, поведение которых соответствует общепринятым социальным нормам </w:t>
            </w:r>
            <w:r w:rsidRPr="00DB0C15">
              <w:rPr>
                <w:rStyle w:val="aff2"/>
                <w:rFonts w:ascii="Arial Narrow" w:hAnsi="Arial Narrow" w:cs="Arial"/>
                <w:color w:val="000000" w:themeColor="text1"/>
                <w:sz w:val="18"/>
                <w:szCs w:val="18"/>
              </w:rPr>
              <w:endnoteReference w:id="1"/>
            </w:r>
          </w:p>
        </w:tc>
        <w:tc>
          <w:tcPr>
            <w:tcW w:w="1560" w:type="dxa"/>
            <w:vMerge w:val="restart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Доля воспитанников, которые проявляют себя в соответствие с общепринятыми нормами поведения, комфортно чувствуют себя в инклюзивной социальной среде на протяжение пролонгированной оценке (3-10 лет)</w:t>
            </w:r>
          </w:p>
        </w:tc>
        <w:tc>
          <w:tcPr>
            <w:tcW w:w="2126" w:type="dxa"/>
            <w:vMerge w:val="restart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i/>
                <w:color w:val="000000" w:themeColor="text1"/>
                <w:sz w:val="18"/>
                <w:szCs w:val="18"/>
              </w:rPr>
            </w:pP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1.1. Воспитанники переходят на семейные формы воспитания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2.1. Дети стабильно живут с родственниками.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3.1. Воспитанники живут в условиях максимально приближенных к семейным.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4.1. У воспитанников появляется перспектива жизни с социальным работником в условиях сопровождаемого проживания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5.1.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Совершенствуется законодательство и функций гос. институтов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6.1. Организация является институтом, эффективно решающим проблемы детей и семей, воспитывающих детей с ментальными нарушениями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622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Проведение консилиумов (рабочих групп)</w:t>
            </w: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i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623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Составление СИПР</w:t>
            </w:r>
            <w:r w:rsidRPr="00DB0C15">
              <w:rPr>
                <w:rStyle w:val="aff"/>
                <w:rFonts w:ascii="Arial Narrow" w:hAnsi="Arial Narrow"/>
                <w:color w:val="000000" w:themeColor="text1"/>
                <w:sz w:val="18"/>
                <w:szCs w:val="18"/>
              </w:rPr>
              <w:footnoteRef/>
            </w: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 педагогом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622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t>Ведение специалистами индивидуальных карт деятельности ребенка (КД)</w:t>
            </w:r>
            <w:r w:rsidRPr="00DB0C15">
              <w:rPr>
                <w:rStyle w:val="aff"/>
                <w:rFonts w:ascii="Arial Narrow" w:hAnsi="Arial Narrow"/>
                <w:color w:val="000000" w:themeColor="text1"/>
                <w:sz w:val="18"/>
                <w:szCs w:val="18"/>
              </w:rPr>
              <w:footnoteRef/>
            </w: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Заполненные на ребенка карты деятельности (КД)</w:t>
            </w:r>
          </w:p>
        </w:tc>
        <w:tc>
          <w:tcPr>
            <w:tcW w:w="184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Количество супервизий на основе </w:t>
            </w: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карты деятельности </w:t>
            </w: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t>КД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Реализация СИПР: проведение спланированных занятия, досугов </w:t>
            </w: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Проведенные занятия и практикумы с ребенком в различных форматах и направлениях</w:t>
            </w:r>
          </w:p>
        </w:tc>
        <w:tc>
          <w:tcPr>
            <w:tcW w:w="1843" w:type="dxa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детей, включенных в занятия по различным направлениям и форматам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Колличество индивидуальных занятий для детей.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Колличество групповых занятий для детей</w:t>
            </w:r>
          </w:p>
        </w:tc>
        <w:tc>
          <w:tcPr>
            <w:tcW w:w="2126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Включенность</w:t>
            </w:r>
            <w:r w:rsidRPr="00DB0C15">
              <w:rPr>
                <w:rStyle w:val="aff"/>
                <w:rFonts w:ascii="Arial Narrow" w:hAnsi="Arial Narrow" w:cs="Arial"/>
                <w:color w:val="000000" w:themeColor="text1"/>
                <w:sz w:val="18"/>
                <w:szCs w:val="18"/>
              </w:rPr>
              <w:footnoteRef/>
            </w: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 детей с ТМНР в социокультурные контексты создаваемы ЦССВ</w:t>
            </w:r>
          </w:p>
        </w:tc>
        <w:tc>
          <w:tcPr>
            <w:tcW w:w="2268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детей, включенных в систему общего образования учреждения;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Кол-во детей, включенных в систему дополнительного образования;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детей, выезжающих на отдых за пределы ЦССВ/в год;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детей, выезжающих на санаторно-оздоровительные программы;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детей в включенных в кружки социально-значимые проекты.</w:t>
            </w: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 w:val="restart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Семьи (приемные и кровные), воспитывающие детей с выряженн</w:t>
            </w:r>
            <w:r w:rsidRPr="00DB0C1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lastRenderedPageBreak/>
              <w:t>ыми интеллектуальными нарушениями</w:t>
            </w: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lastRenderedPageBreak/>
              <w:t xml:space="preserve">Проведение открытых массовые мероприятия, куда приглашаются родители (день Аиста, день открытых дверей, праздники) </w:t>
            </w: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Организованные и проведенные мероприятия</w:t>
            </w:r>
          </w:p>
        </w:tc>
        <w:tc>
          <w:tcPr>
            <w:tcW w:w="1843" w:type="dxa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проведенных массовых мероприятий (день Аиста, день открытых дверей, праздники) в различных интерактивных форматах.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Количество родителей, принявших участие в </w:t>
            </w: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lastRenderedPageBreak/>
              <w:t>открытых мероприятиях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детей, принявших участие в открытых мероприятиях</w:t>
            </w:r>
          </w:p>
        </w:tc>
        <w:tc>
          <w:tcPr>
            <w:tcW w:w="2126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lastRenderedPageBreak/>
              <w:t>Родители, в том числе потенциальные приемные, удовлетворены программой сопровождения детей с выраженными интеллектуальными нарушениями, реализуемой ЦССВ</w:t>
            </w:r>
          </w:p>
        </w:tc>
        <w:tc>
          <w:tcPr>
            <w:tcW w:w="2268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граждан, в том числе потенциальных приемных родителей,</w:t>
            </w: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 выразивших положительное мнение относительно программы сопровождения детей с выраженными интеллектуальными нарушениями, реализуемой ЦССВ</w:t>
            </w: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t>Родители, в том числе потенциальные приемные взаимодействуют с учреждением на регулярной основе</w:t>
            </w:r>
          </w:p>
        </w:tc>
        <w:tc>
          <w:tcPr>
            <w:tcW w:w="1560" w:type="dxa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t>Доля родителей, в том числе потенциальных приемных взаимодействующих с учреждением на регулярной основе</w:t>
            </w: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Коммуникация с куратором – информирование родителей</w:t>
            </w:r>
          </w:p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Индивидуальное консультирование родителей, включающее составление и анализ геннограммы и экокарты семьи</w:t>
            </w:r>
          </w:p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Осуществленные контакты по инициативе куратора и по инициативе родителя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Составлен инд.план работы с семьей (на основе геннограммы и экокарты семьи, структурированного представления о семье и ее ресурсах у специалистов)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Родители получили рекомендации по включению расширенной семьи в процесс сопровождения.</w:t>
            </w:r>
          </w:p>
        </w:tc>
        <w:tc>
          <w:tcPr>
            <w:tcW w:w="1843" w:type="dxa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Количество контактов родителя с куратором </w:t>
            </w:r>
            <w:r w:rsidRPr="00DB0C15">
              <w:rPr>
                <w:rStyle w:val="aff"/>
                <w:rFonts w:ascii="Arial Narrow" w:hAnsi="Arial Narrow" w:cs="Arial"/>
                <w:color w:val="000000" w:themeColor="text1"/>
                <w:sz w:val="18"/>
                <w:szCs w:val="18"/>
              </w:rPr>
              <w:footnoteRef/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родителей, взаимодействующих с куратором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Количество составленных инд. планов работы с семьей </w:t>
            </w:r>
          </w:p>
        </w:tc>
        <w:tc>
          <w:tcPr>
            <w:tcW w:w="2126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Включена расширенная семья</w:t>
            </w:r>
          </w:p>
        </w:tc>
        <w:tc>
          <w:tcPr>
            <w:tcW w:w="2268" w:type="dxa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семей, выполняющих свои обязанности в соответствие с разработанным планом.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4F5199" w:rsidRPr="00DB0C15" w:rsidRDefault="004F5199" w:rsidP="001D4DEF">
            <w:pPr>
              <w:spacing w:before="80" w:after="80"/>
              <w:ind w:left="0"/>
              <w:jc w:val="center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Семьи участвуют в построении реабилитационно-образовательного маршрута ребенка и поддерживает его реализацию</w:t>
            </w:r>
          </w:p>
        </w:tc>
        <w:tc>
          <w:tcPr>
            <w:tcW w:w="1560" w:type="dxa"/>
            <w:vMerge w:val="restart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Доля семей, регулярно обращающихся в ЦССВ 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Привлечение родителей к участию в рабочей группе по сопровождению ребенка</w:t>
            </w:r>
          </w:p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Проведенные консилиумы совместно с родителями</w:t>
            </w:r>
          </w:p>
        </w:tc>
        <w:tc>
          <w:tcPr>
            <w:tcW w:w="1843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консилиумов, в которых приняли участие родители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родителей, принявших участие в консилиумах.</w:t>
            </w:r>
          </w:p>
        </w:tc>
        <w:tc>
          <w:tcPr>
            <w:tcW w:w="2126" w:type="dxa"/>
            <w:vMerge w:val="restart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Родители осознают проблему и испытывают потребность в обращениях к специалистам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Сформировано общее понимание подходов и проблем в развитии ребенка 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родителей, регулярно принимающих участие в мероприятиях центра , организованных для родителей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Снижение степени интервенции специалистов, для привлечения семей к участию в сопровождение ребенка</w:t>
            </w: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Семинары по актуальным темам</w:t>
            </w:r>
            <w:r w:rsidRPr="00DB0C15">
              <w:rPr>
                <w:rStyle w:val="aff"/>
                <w:rFonts w:ascii="Arial Narrow" w:hAnsi="Arial Narrow"/>
                <w:color w:val="000000" w:themeColor="text1"/>
                <w:sz w:val="18"/>
                <w:szCs w:val="18"/>
              </w:rPr>
              <w:footnoteRef/>
            </w:r>
          </w:p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Проведенные семинары по актуальным темам</w:t>
            </w:r>
            <w:r w:rsidRPr="00DB0C15">
              <w:rPr>
                <w:rStyle w:val="aff"/>
                <w:rFonts w:ascii="Arial Narrow" w:hAnsi="Arial Narrow"/>
                <w:color w:val="000000" w:themeColor="text1"/>
                <w:sz w:val="18"/>
                <w:szCs w:val="18"/>
              </w:rPr>
              <w:footnoteRef/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Количество семинаров для родителей 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родителей, принявших участие в семинарах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Среднестатистическая </w:t>
            </w: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lastRenderedPageBreak/>
              <w:t xml:space="preserve">доля родителей-участников удовлетворенных семинарами </w:t>
            </w: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Индивидуальные консультации (специалисты, психологи);</w:t>
            </w: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Проведенные индивидуальные консультации (специалисты, психологи);</w:t>
            </w:r>
          </w:p>
        </w:tc>
        <w:tc>
          <w:tcPr>
            <w:tcW w:w="1843" w:type="dxa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индивидуальных консультаций (специалисты, психологи);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родителей, обращающихся за индивидуальными консультациями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Среднестатистическая доля родителей-участников, удовлетворенных консультациями</w:t>
            </w: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Включение родителей в качестве волонтеров</w:t>
            </w: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Проведенные социокультурные мероприятия, где приняли участие родители</w:t>
            </w:r>
          </w:p>
        </w:tc>
        <w:tc>
          <w:tcPr>
            <w:tcW w:w="1843" w:type="dxa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родителей, принявших участие в социокультурных мероприятиях учреждения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Доля родителей-участников, удовлетворенных социокультурными мероприятиями центра</w:t>
            </w: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 w:val="restart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Специалисты, сопровождающие детей с выраженными интеллектуальными нарушениями</w:t>
            </w: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Обучение специалистов на курсах повышения квалификации во внешних организациях</w:t>
            </w:r>
          </w:p>
          <w:p w:rsidR="004F5199" w:rsidRPr="00DB0C15" w:rsidRDefault="004F5199" w:rsidP="001D4DEF">
            <w:pPr>
              <w:ind w:left="36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 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Завершение обучения на курсах повышения квалификации</w:t>
            </w:r>
          </w:p>
        </w:tc>
        <w:tc>
          <w:tcPr>
            <w:tcW w:w="1843" w:type="dxa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t>Количество специалистов, прошедших курсы повышения квалификации</w:t>
            </w:r>
          </w:p>
        </w:tc>
        <w:tc>
          <w:tcPr>
            <w:tcW w:w="2126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Сформировано общее понимание подходов и проблем в развитии ребенка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t>Количество общепринятых методик, адаптированных и внедренных в деятельность ЦССВ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Специалист строит программу развития ребенка с учетом индивидуального уровня развития навыков и психоэмоционального состояния ребенка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 w:val="restart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Доля детей, находящихся в комфортном психоэмоциональном состоянии, дающих положительный прирост в развитии</w:t>
            </w: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Участие специалистов  в конференциях, семинарах, мастер-классах, </w:t>
            </w: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lastRenderedPageBreak/>
              <w:t>вебинарах</w:t>
            </w: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lastRenderedPageBreak/>
              <w:t xml:space="preserve">Принятое участие в конференциях, семинарах, мастер-классах, вебинарах </w:t>
            </w: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lastRenderedPageBreak/>
              <w:t>внешних организаций</w:t>
            </w:r>
          </w:p>
        </w:tc>
        <w:tc>
          <w:tcPr>
            <w:tcW w:w="1843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lastRenderedPageBreak/>
              <w:t>Количество мероприятий, в которых приняли участие специалисты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  <w:p w:rsidR="004F5199" w:rsidRPr="00DB0C15" w:rsidRDefault="004F5199" w:rsidP="001D4DEF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lastRenderedPageBreak/>
              <w:t>Количество специалистов, которые приняли участие в мероприятиях внешних организаций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  <w:p w:rsidR="004F5199" w:rsidRPr="00DB0C15" w:rsidRDefault="004F5199" w:rsidP="001D4DEF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t>Количество специалистов, сделавших выступление на мероприятиях внешних организаций</w:t>
            </w:r>
          </w:p>
        </w:tc>
        <w:tc>
          <w:tcPr>
            <w:tcW w:w="2126" w:type="dxa"/>
            <w:vMerge w:val="restart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lastRenderedPageBreak/>
              <w:t>Специалисты применяют знания и навыки при взаимодействии с ребенком</w:t>
            </w:r>
            <w:r w:rsidRPr="00DB0C15">
              <w:rPr>
                <w:rStyle w:val="aff"/>
                <w:rFonts w:ascii="Arial Narrow" w:hAnsi="Arial Narrow"/>
                <w:color w:val="000000" w:themeColor="text1"/>
                <w:sz w:val="18"/>
                <w:szCs w:val="18"/>
              </w:rPr>
              <w:footnoteRef/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lastRenderedPageBreak/>
              <w:t>Доля воспитанников, находящихся в комфортном психо-эмоциональном состояние ребенка</w:t>
            </w: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1722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t>Проведение внутренних круглых столов, обмен знаниями</w:t>
            </w: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Проведенные внутренние методические круглые столы</w:t>
            </w:r>
          </w:p>
        </w:tc>
        <w:tc>
          <w:tcPr>
            <w:tcW w:w="1843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/>
                <w:color w:val="000000" w:themeColor="text1"/>
                <w:sz w:val="18"/>
                <w:szCs w:val="18"/>
              </w:rPr>
              <w:t>Количество внутренних методических круглых столов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spacing w:before="80" w:after="8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Организация и проведение конференций семинаров, мастер-классов, лекций</w:t>
            </w: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Проведенные конференции семинары, мастер-классы, лекции для внешних организаций</w:t>
            </w:r>
          </w:p>
        </w:tc>
        <w:tc>
          <w:tcPr>
            <w:tcW w:w="1843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обучающих мероприятий для внешних организаций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специалистов принявших участие в обучающих мероприятиях для внешних организаций</w:t>
            </w:r>
          </w:p>
        </w:tc>
        <w:tc>
          <w:tcPr>
            <w:tcW w:w="2126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Обобщен и зафиксирован успешный опыт специалистов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удовлетворенных мероприятием участников из числа внешних специалистов</w:t>
            </w:r>
          </w:p>
        </w:tc>
        <w:tc>
          <w:tcPr>
            <w:tcW w:w="1559" w:type="dxa"/>
            <w:vMerge w:val="restart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ЦССВ является саморазвивающаяся организация</w:t>
            </w:r>
          </w:p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 w:val="restart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экспертных предложений от ЦССВ/ внесение предложений в присланные документы, внесение предложений в повестку для экспертного мнения</w:t>
            </w:r>
          </w:p>
          <w:p w:rsidR="004F5199" w:rsidRPr="00DB0C15" w:rsidRDefault="004F5199" w:rsidP="001D4DEF">
            <w:pPr>
              <w:spacing w:before="80" w:after="8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Презентация деятельности на конференциях, семинарах и т.д. по приглашению внешних организаций, выездных обучающие программ </w:t>
            </w: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Проведенные презентации деятельности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центра</w:t>
            </w:r>
          </w:p>
        </w:tc>
        <w:tc>
          <w:tcPr>
            <w:tcW w:w="1843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презентационных мероприятий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специалистов, принявших участие в презентационных мероприятиях</w:t>
            </w:r>
          </w:p>
        </w:tc>
        <w:tc>
          <w:tcPr>
            <w:tcW w:w="2126" w:type="dxa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Распространен опыт среди заинтересованных специалистов</w:t>
            </w:r>
          </w:p>
          <w:p w:rsidR="004F5199" w:rsidRPr="00DB0C15" w:rsidRDefault="004F5199" w:rsidP="001D4DEF">
            <w:pPr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организаций, готовых к апробации опыта ЦССВ</w:t>
            </w: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spacing w:before="80" w:after="8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b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Разработка программ обучения специалистов внешних организаций, </w:t>
            </w: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lastRenderedPageBreak/>
              <w:t>презентации опыта</w:t>
            </w:r>
          </w:p>
        </w:tc>
        <w:tc>
          <w:tcPr>
            <w:tcW w:w="1559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lastRenderedPageBreak/>
              <w:t>Разработанные программы обучения, презентации опыта</w:t>
            </w:r>
          </w:p>
        </w:tc>
        <w:tc>
          <w:tcPr>
            <w:tcW w:w="1843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программ, презентаций</w:t>
            </w:r>
          </w:p>
        </w:tc>
        <w:tc>
          <w:tcPr>
            <w:tcW w:w="2126" w:type="dxa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Повышены возможности профессионального обмена опытом</w:t>
            </w:r>
          </w:p>
          <w:p w:rsidR="004F5199" w:rsidRPr="00DB0C15" w:rsidRDefault="004F5199" w:rsidP="001D4DEF">
            <w:pPr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Развитие партнерства с СО НКО</w:t>
            </w:r>
          </w:p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Заключение договоров о сотрудничестве</w:t>
            </w:r>
          </w:p>
        </w:tc>
        <w:tc>
          <w:tcPr>
            <w:tcW w:w="184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партнеров из числа СО НКО</w:t>
            </w:r>
          </w:p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Расширено партнерское взаимодействие в рамках проектной деятельности</w:t>
            </w:r>
          </w:p>
        </w:tc>
        <w:tc>
          <w:tcPr>
            <w:tcW w:w="2268" w:type="dxa"/>
            <w:vMerge w:val="restart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совместных проектов, направленных на совместный результат</w:t>
            </w:r>
          </w:p>
        </w:tc>
        <w:tc>
          <w:tcPr>
            <w:tcW w:w="1559" w:type="dxa"/>
            <w:vMerge w:val="restart"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Повышена эффективность выполнения услуг</w:t>
            </w:r>
          </w:p>
          <w:p w:rsidR="004F5199" w:rsidRPr="00DB0C15" w:rsidRDefault="004F5199" w:rsidP="001D4DEF">
            <w:pPr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 w:val="restart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Оформленные предложения по изменения в системе Ми О</w:t>
            </w: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spacing w:before="80" w:after="80"/>
              <w:ind w:left="0" w:right="-108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Развитие партнерства с государственными учреждениями</w:t>
            </w: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партнеров из числа государственных учреждений</w:t>
            </w: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spacing w:before="80" w:after="8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spacing w:before="80" w:after="80"/>
              <w:ind w:left="0" w:right="-108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 xml:space="preserve">Развитие партнерства с ВУЗами </w:t>
            </w:r>
          </w:p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партнеров из числа ВУЗов</w:t>
            </w: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spacing w:before="80" w:after="8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spacing w:before="80" w:after="80"/>
              <w:ind w:left="0" w:right="-108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Развитие партнерства с Фондами</w:t>
            </w:r>
          </w:p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партнеров из числа Фондов</w:t>
            </w: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spacing w:before="80" w:after="8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  <w:tr w:rsidR="004F5199" w:rsidRPr="00DB0C15" w:rsidTr="001D4DEF">
        <w:trPr>
          <w:trHeight w:val="400"/>
        </w:trPr>
        <w:tc>
          <w:tcPr>
            <w:tcW w:w="1237" w:type="dxa"/>
            <w:vMerge/>
          </w:tcPr>
          <w:p w:rsidR="004F5199" w:rsidRPr="00DB0C15" w:rsidRDefault="004F5199" w:rsidP="001D4DEF">
            <w:pPr>
              <w:spacing w:before="80" w:after="80"/>
              <w:ind w:left="0" w:right="-108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:rsidR="004F5199" w:rsidRPr="00DB0C15" w:rsidRDefault="004F5199" w:rsidP="001D4DEF">
            <w:pPr>
              <w:ind w:left="0"/>
              <w:jc w:val="left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Развитие партнерства с волонтерскими движениями</w:t>
            </w: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DB0C15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Количество партнеров, из числа волонтерских организаций  с которыми заключен договор</w:t>
            </w: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spacing w:before="80" w:after="80"/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4F5199" w:rsidRPr="00DB0C15" w:rsidRDefault="004F5199" w:rsidP="001D4DEF">
            <w:pPr>
              <w:spacing w:before="80" w:after="8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4F5199" w:rsidRPr="00DB0C15" w:rsidRDefault="004F5199" w:rsidP="001D4DEF">
            <w:pPr>
              <w:ind w:left="0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</w:tc>
      </w:tr>
    </w:tbl>
    <w:p w:rsidR="004F5199" w:rsidRDefault="004F5199" w:rsidP="002126DD">
      <w:pPr>
        <w:ind w:left="0"/>
        <w:rPr>
          <w:rFonts w:ascii="Arial Narrow" w:hAnsi="Arial Narrow" w:cs="Arial"/>
          <w:color w:val="000000" w:themeColor="text1"/>
          <w:sz w:val="18"/>
          <w:szCs w:val="18"/>
        </w:rPr>
      </w:pPr>
    </w:p>
    <w:p w:rsidR="00711D27" w:rsidRPr="00DB0C15" w:rsidRDefault="00D86776" w:rsidP="002126DD">
      <w:pPr>
        <w:ind w:left="0"/>
        <w:rPr>
          <w:rFonts w:ascii="Arial Narrow" w:hAnsi="Arial Narrow" w:cs="Arial"/>
          <w:color w:val="000000" w:themeColor="text1"/>
          <w:sz w:val="18"/>
          <w:szCs w:val="18"/>
        </w:rPr>
      </w:pPr>
      <w:r w:rsidRPr="00DB0C15">
        <w:rPr>
          <w:rFonts w:ascii="Arial Narrow" w:hAnsi="Arial Narrow" w:cs="Arial"/>
          <w:color w:val="000000" w:themeColor="text1"/>
          <w:sz w:val="18"/>
          <w:szCs w:val="18"/>
        </w:rPr>
        <w:t>Приложение №5. Цепочка социальных результатов</w:t>
      </w:r>
      <w:r w:rsidRPr="00DB0C15">
        <w:rPr>
          <w:rStyle w:val="aff"/>
          <w:rFonts w:ascii="Arial Narrow" w:hAnsi="Arial Narrow" w:cs="Arial"/>
          <w:color w:val="000000" w:themeColor="text1"/>
          <w:sz w:val="18"/>
          <w:szCs w:val="18"/>
        </w:rPr>
        <w:footnoteReference w:id="1"/>
      </w:r>
      <w:r w:rsidRPr="00DB0C15">
        <w:rPr>
          <w:rFonts w:ascii="Arial Narrow" w:hAnsi="Arial Narrow" w:cs="Arial"/>
          <w:color w:val="000000" w:themeColor="text1"/>
          <w:sz w:val="18"/>
          <w:szCs w:val="18"/>
        </w:rPr>
        <w:t xml:space="preserve"> (для благополучателей программы)</w:t>
      </w:r>
    </w:p>
    <w:p w:rsidR="00123F4A" w:rsidRPr="00DB0C15" w:rsidRDefault="00123F4A" w:rsidP="00711D27">
      <w:pPr>
        <w:rPr>
          <w:rFonts w:ascii="Arial Narrow" w:hAnsi="Arial Narrow" w:cs="Arial"/>
          <w:color w:val="000000" w:themeColor="text1"/>
          <w:sz w:val="18"/>
          <w:szCs w:val="18"/>
        </w:rPr>
      </w:pPr>
    </w:p>
    <w:p w:rsidR="00915A04" w:rsidRPr="00DB0C15" w:rsidRDefault="00915A04" w:rsidP="002126DD">
      <w:pPr>
        <w:ind w:left="0"/>
        <w:rPr>
          <w:rFonts w:ascii="Arial Narrow" w:hAnsi="Arial Narrow" w:cs="Arial"/>
          <w:color w:val="000000" w:themeColor="text1"/>
          <w:sz w:val="18"/>
          <w:szCs w:val="18"/>
        </w:rPr>
      </w:pPr>
    </w:p>
    <w:p w:rsidR="006F3B7E" w:rsidRPr="00DB0C15" w:rsidRDefault="006F3B7E" w:rsidP="006F3B7E">
      <w:pPr>
        <w:ind w:left="0"/>
        <w:rPr>
          <w:rFonts w:ascii="Arial Narrow" w:hAnsi="Arial Narrow" w:cs="Arial"/>
          <w:color w:val="000000" w:themeColor="text1"/>
          <w:sz w:val="18"/>
          <w:szCs w:val="18"/>
        </w:rPr>
      </w:pPr>
    </w:p>
    <w:p w:rsidR="00F1401D" w:rsidRPr="00DB0C15" w:rsidRDefault="00F1401D" w:rsidP="00850783">
      <w:pPr>
        <w:ind w:left="0"/>
        <w:rPr>
          <w:rFonts w:ascii="Arial Narrow" w:hAnsi="Arial Narrow" w:cs="Arial"/>
          <w:color w:val="000000" w:themeColor="text1"/>
          <w:sz w:val="18"/>
          <w:szCs w:val="18"/>
        </w:rPr>
      </w:pPr>
    </w:p>
    <w:sectPr w:rsidR="00F1401D" w:rsidRPr="00DB0C15" w:rsidSect="00711D27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F6CFC2" w16cid:durableId="1F5ED54A"/>
  <w16cid:commentId w16cid:paraId="2C8CFAD4" w16cid:durableId="1F5ED54B"/>
  <w16cid:commentId w16cid:paraId="2B3C7FB8" w16cid:durableId="1F5ED54C"/>
  <w16cid:commentId w16cid:paraId="4AFC8D6F" w16cid:durableId="1F5ED54D"/>
  <w16cid:commentId w16cid:paraId="55CAC220" w16cid:durableId="1F5ED54E"/>
  <w16cid:commentId w16cid:paraId="5BA85BEF" w16cid:durableId="1F5ED81C"/>
  <w16cid:commentId w16cid:paraId="64DBC87F" w16cid:durableId="1F5ED54F"/>
  <w16cid:commentId w16cid:paraId="5EA7A6D2" w16cid:durableId="1F5ED550"/>
  <w16cid:commentId w16cid:paraId="60B7BBB3" w16cid:durableId="1F5ED551"/>
  <w16cid:commentId w16cid:paraId="03A8B412" w16cid:durableId="1F5ED5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7D8" w:rsidRDefault="00DC77D8" w:rsidP="002126DD">
      <w:r>
        <w:separator/>
      </w:r>
    </w:p>
  </w:endnote>
  <w:endnote w:type="continuationSeparator" w:id="0">
    <w:p w:rsidR="00DC77D8" w:rsidRDefault="00DC77D8" w:rsidP="002126DD">
      <w:r>
        <w:continuationSeparator/>
      </w:r>
    </w:p>
  </w:endnote>
  <w:endnote w:id="1">
    <w:p w:rsidR="004F5199" w:rsidRDefault="004F5199" w:rsidP="004F5199">
      <w:pPr>
        <w:pStyle w:val="aff0"/>
      </w:pPr>
      <w:r>
        <w:rPr>
          <w:rStyle w:val="aff2"/>
        </w:rPr>
        <w:endnoteRef/>
      </w:r>
      <w:r>
        <w:t xml:space="preserve"> Оценивается при включении ребенка во внешние социальные контексты</w:t>
      </w:r>
    </w:p>
    <w:p w:rsidR="004F5199" w:rsidRDefault="004F5199" w:rsidP="004F5199">
      <w:pPr>
        <w:pStyle w:val="aff0"/>
      </w:pPr>
    </w:p>
    <w:p w:rsidR="004F5199" w:rsidRDefault="004F5199" w:rsidP="004F5199">
      <w:pPr>
        <w:pStyle w:val="aff0"/>
      </w:pPr>
      <w:r>
        <w:t xml:space="preserve">Эффективность в данной системе оценки и мониторинга понимается как повышение качества услуг (создании большей ценности) при затрате тех же ресурсов.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182764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0B0D28" w:rsidRPr="001B0447" w:rsidRDefault="00725D28" w:rsidP="000B0D28">
        <w:pPr>
          <w:pStyle w:val="af8"/>
          <w:jc w:val="right"/>
          <w:rPr>
            <w:rFonts w:ascii="Arial" w:hAnsi="Arial" w:cs="Arial"/>
          </w:rPr>
        </w:pPr>
        <w:r w:rsidRPr="001B0447">
          <w:rPr>
            <w:rFonts w:ascii="Arial" w:hAnsi="Arial" w:cs="Arial"/>
          </w:rPr>
          <w:fldChar w:fldCharType="begin"/>
        </w:r>
        <w:r w:rsidR="00AA2E29" w:rsidRPr="001B0447">
          <w:rPr>
            <w:rFonts w:ascii="Arial" w:hAnsi="Arial" w:cs="Arial"/>
          </w:rPr>
          <w:instrText>PAGE   \* MERGEFORMAT</w:instrText>
        </w:r>
        <w:r w:rsidRPr="001B0447">
          <w:rPr>
            <w:rFonts w:ascii="Arial" w:hAnsi="Arial" w:cs="Arial"/>
          </w:rPr>
          <w:fldChar w:fldCharType="separate"/>
        </w:r>
        <w:r w:rsidR="004F5199">
          <w:rPr>
            <w:rFonts w:ascii="Arial" w:hAnsi="Arial" w:cs="Arial"/>
            <w:noProof/>
          </w:rPr>
          <w:t>1</w:t>
        </w:r>
        <w:r w:rsidRPr="001B0447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7D8" w:rsidRDefault="00DC77D8" w:rsidP="002126DD">
      <w:r>
        <w:separator/>
      </w:r>
    </w:p>
  </w:footnote>
  <w:footnote w:type="continuationSeparator" w:id="0">
    <w:p w:rsidR="00DC77D8" w:rsidRDefault="00DC77D8" w:rsidP="002126DD">
      <w:r>
        <w:continuationSeparator/>
      </w:r>
    </w:p>
  </w:footnote>
  <w:footnote w:id="1">
    <w:p w:rsidR="00D86776" w:rsidRPr="00E133B4" w:rsidRDefault="00D86776" w:rsidP="00D86776">
      <w:pPr>
        <w:pStyle w:val="afd"/>
        <w:rPr>
          <w:rFonts w:ascii="Arial Narrow" w:hAnsi="Arial Narrow" w:cs="Arial"/>
          <w:sz w:val="18"/>
          <w:szCs w:val="18"/>
        </w:rPr>
      </w:pPr>
      <w:r w:rsidRPr="00E133B4">
        <w:rPr>
          <w:rStyle w:val="aff"/>
          <w:rFonts w:ascii="Arial Narrow" w:hAnsi="Arial Narrow"/>
          <w:sz w:val="18"/>
          <w:szCs w:val="18"/>
        </w:rPr>
        <w:footnoteRef/>
      </w:r>
      <w:r w:rsidRPr="00E133B4">
        <w:rPr>
          <w:rFonts w:ascii="Arial Narrow" w:hAnsi="Arial Narrow" w:cs="Arial"/>
          <w:sz w:val="18"/>
          <w:szCs w:val="18"/>
        </w:rPr>
        <w:t>Краткосрочные -</w:t>
      </w:r>
      <w:r>
        <w:rPr>
          <w:rFonts w:ascii="Arial Narrow" w:hAnsi="Arial Narrow" w:cs="Arial"/>
          <w:sz w:val="18"/>
          <w:szCs w:val="18"/>
        </w:rPr>
        <w:t xml:space="preserve"> </w:t>
      </w:r>
      <w:r w:rsidRPr="00E133B4">
        <w:rPr>
          <w:rFonts w:ascii="Arial Narrow" w:hAnsi="Arial Narrow" w:cs="Arial"/>
          <w:sz w:val="18"/>
          <w:szCs w:val="18"/>
        </w:rPr>
        <w:t>изменения за год</w:t>
      </w:r>
      <w:r>
        <w:rPr>
          <w:rFonts w:ascii="Arial Narrow" w:hAnsi="Arial Narrow" w:cs="Arial"/>
          <w:sz w:val="18"/>
          <w:szCs w:val="18"/>
        </w:rPr>
        <w:t xml:space="preserve">, </w:t>
      </w:r>
      <w:r w:rsidRPr="00E133B4">
        <w:rPr>
          <w:rFonts w:ascii="Arial Narrow" w:hAnsi="Arial Narrow" w:cs="Arial"/>
          <w:sz w:val="18"/>
          <w:szCs w:val="18"/>
        </w:rPr>
        <w:t>Среднесрочные изменения от нескольких лет до всего времени п</w:t>
      </w:r>
      <w:r>
        <w:rPr>
          <w:rFonts w:ascii="Arial Narrow" w:hAnsi="Arial Narrow" w:cs="Arial"/>
          <w:sz w:val="18"/>
          <w:szCs w:val="18"/>
        </w:rPr>
        <w:t xml:space="preserve">ребывания ребенка в учреждении. </w:t>
      </w:r>
      <w:r w:rsidRPr="00E133B4">
        <w:rPr>
          <w:rFonts w:ascii="Arial Narrow" w:hAnsi="Arial Narrow" w:cs="Arial"/>
          <w:sz w:val="18"/>
          <w:szCs w:val="18"/>
        </w:rPr>
        <w:t>Дальнесрочные - это социальные эффекты, от времени пребывания ребенка в учреждение до периода существования самого учреждения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28" w:rsidRPr="005C28D3" w:rsidRDefault="00DC77D8" w:rsidP="005C28D3">
    <w:pPr>
      <w:pStyle w:val="af6"/>
    </w:pPr>
  </w:p>
  <w:p w:rsidR="005C28D3" w:rsidRDefault="005C28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4" w15:restartNumberingAfterBreak="0">
    <w:nsid w:val="49AB6199"/>
    <w:multiLevelType w:val="hybridMultilevel"/>
    <w:tmpl w:val="15D03F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2"/>
  </w:num>
  <w:num w:numId="5">
    <w:abstractNumId w:val="19"/>
  </w:num>
  <w:num w:numId="6">
    <w:abstractNumId w:val="16"/>
  </w:num>
  <w:num w:numId="7">
    <w:abstractNumId w:val="5"/>
  </w:num>
  <w:num w:numId="8">
    <w:abstractNumId w:val="18"/>
  </w:num>
  <w:num w:numId="9">
    <w:abstractNumId w:val="6"/>
  </w:num>
  <w:num w:numId="10">
    <w:abstractNumId w:val="7"/>
  </w:num>
  <w:num w:numId="11">
    <w:abstractNumId w:val="15"/>
  </w:num>
  <w:num w:numId="12">
    <w:abstractNumId w:val="10"/>
  </w:num>
  <w:num w:numId="13">
    <w:abstractNumId w:val="13"/>
  </w:num>
  <w:num w:numId="14">
    <w:abstractNumId w:val="20"/>
  </w:num>
  <w:num w:numId="15">
    <w:abstractNumId w:val="12"/>
  </w:num>
  <w:num w:numId="16">
    <w:abstractNumId w:val="9"/>
  </w:num>
  <w:num w:numId="17">
    <w:abstractNumId w:val="8"/>
  </w:num>
  <w:num w:numId="18">
    <w:abstractNumId w:val="11"/>
  </w:num>
  <w:num w:numId="19">
    <w:abstractNumId w:val="21"/>
  </w:num>
  <w:num w:numId="20">
    <w:abstractNumId w:val="3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DD"/>
    <w:rsid w:val="000239F8"/>
    <w:rsid w:val="00026013"/>
    <w:rsid w:val="0005434B"/>
    <w:rsid w:val="00065428"/>
    <w:rsid w:val="00065AE1"/>
    <w:rsid w:val="000733F4"/>
    <w:rsid w:val="00094035"/>
    <w:rsid w:val="00096AE1"/>
    <w:rsid w:val="000A03E8"/>
    <w:rsid w:val="000A4BF9"/>
    <w:rsid w:val="000C0C81"/>
    <w:rsid w:val="00120682"/>
    <w:rsid w:val="00123F4A"/>
    <w:rsid w:val="00140618"/>
    <w:rsid w:val="00143927"/>
    <w:rsid w:val="001456B8"/>
    <w:rsid w:val="00147DAD"/>
    <w:rsid w:val="00155214"/>
    <w:rsid w:val="00156F50"/>
    <w:rsid w:val="00175989"/>
    <w:rsid w:val="001802F2"/>
    <w:rsid w:val="001A242D"/>
    <w:rsid w:val="001B0447"/>
    <w:rsid w:val="001B30DA"/>
    <w:rsid w:val="001B4696"/>
    <w:rsid w:val="001C2679"/>
    <w:rsid w:val="001C6664"/>
    <w:rsid w:val="001D23FA"/>
    <w:rsid w:val="001D3456"/>
    <w:rsid w:val="002126DD"/>
    <w:rsid w:val="00221C15"/>
    <w:rsid w:val="002315B6"/>
    <w:rsid w:val="00242B02"/>
    <w:rsid w:val="002667EC"/>
    <w:rsid w:val="00273E92"/>
    <w:rsid w:val="002878FD"/>
    <w:rsid w:val="00292370"/>
    <w:rsid w:val="002A49F8"/>
    <w:rsid w:val="002B343C"/>
    <w:rsid w:val="002C6CCC"/>
    <w:rsid w:val="002E3791"/>
    <w:rsid w:val="002E455A"/>
    <w:rsid w:val="002E5FE5"/>
    <w:rsid w:val="002F7ABE"/>
    <w:rsid w:val="003269FE"/>
    <w:rsid w:val="00363965"/>
    <w:rsid w:val="00365E06"/>
    <w:rsid w:val="00372B56"/>
    <w:rsid w:val="003762FE"/>
    <w:rsid w:val="0038764A"/>
    <w:rsid w:val="003A08B6"/>
    <w:rsid w:val="003A28A0"/>
    <w:rsid w:val="003A7C11"/>
    <w:rsid w:val="003C5591"/>
    <w:rsid w:val="00417DFE"/>
    <w:rsid w:val="00434268"/>
    <w:rsid w:val="004357C1"/>
    <w:rsid w:val="004630BD"/>
    <w:rsid w:val="0046352C"/>
    <w:rsid w:val="00485783"/>
    <w:rsid w:val="00494900"/>
    <w:rsid w:val="004A724A"/>
    <w:rsid w:val="004A7FA1"/>
    <w:rsid w:val="004D69C4"/>
    <w:rsid w:val="004E4E2D"/>
    <w:rsid w:val="004F5199"/>
    <w:rsid w:val="0051478E"/>
    <w:rsid w:val="00531706"/>
    <w:rsid w:val="00566149"/>
    <w:rsid w:val="00597D7C"/>
    <w:rsid w:val="005A7646"/>
    <w:rsid w:val="005B52FF"/>
    <w:rsid w:val="005C28D3"/>
    <w:rsid w:val="005D17E5"/>
    <w:rsid w:val="00614899"/>
    <w:rsid w:val="00641095"/>
    <w:rsid w:val="006453D1"/>
    <w:rsid w:val="0065537D"/>
    <w:rsid w:val="006632E2"/>
    <w:rsid w:val="00670E4A"/>
    <w:rsid w:val="00697E1F"/>
    <w:rsid w:val="006A5D90"/>
    <w:rsid w:val="006C668F"/>
    <w:rsid w:val="006F3B7E"/>
    <w:rsid w:val="00703868"/>
    <w:rsid w:val="00711D27"/>
    <w:rsid w:val="00723823"/>
    <w:rsid w:val="00724E1F"/>
    <w:rsid w:val="00725D28"/>
    <w:rsid w:val="00726DE4"/>
    <w:rsid w:val="007324DE"/>
    <w:rsid w:val="00732D1C"/>
    <w:rsid w:val="00741ED9"/>
    <w:rsid w:val="00762F81"/>
    <w:rsid w:val="00771CB3"/>
    <w:rsid w:val="00772FF2"/>
    <w:rsid w:val="00796476"/>
    <w:rsid w:val="007B4697"/>
    <w:rsid w:val="007B76BE"/>
    <w:rsid w:val="007D0544"/>
    <w:rsid w:val="007E43B2"/>
    <w:rsid w:val="007E6721"/>
    <w:rsid w:val="007F6F5F"/>
    <w:rsid w:val="00813DD2"/>
    <w:rsid w:val="00826CF7"/>
    <w:rsid w:val="00831D08"/>
    <w:rsid w:val="00850783"/>
    <w:rsid w:val="00850E85"/>
    <w:rsid w:val="00854563"/>
    <w:rsid w:val="00854E81"/>
    <w:rsid w:val="0086544B"/>
    <w:rsid w:val="008708A8"/>
    <w:rsid w:val="008A131E"/>
    <w:rsid w:val="008A16AF"/>
    <w:rsid w:val="008B033F"/>
    <w:rsid w:val="008B78FA"/>
    <w:rsid w:val="008D386E"/>
    <w:rsid w:val="008D7C09"/>
    <w:rsid w:val="00907BDD"/>
    <w:rsid w:val="00915A04"/>
    <w:rsid w:val="00937460"/>
    <w:rsid w:val="00947F43"/>
    <w:rsid w:val="00952635"/>
    <w:rsid w:val="0095510A"/>
    <w:rsid w:val="009650BA"/>
    <w:rsid w:val="009843E4"/>
    <w:rsid w:val="009B086D"/>
    <w:rsid w:val="009C3118"/>
    <w:rsid w:val="009C31A3"/>
    <w:rsid w:val="009C792A"/>
    <w:rsid w:val="009D2B57"/>
    <w:rsid w:val="009D7EB4"/>
    <w:rsid w:val="009F24FA"/>
    <w:rsid w:val="009F2B79"/>
    <w:rsid w:val="00A1418A"/>
    <w:rsid w:val="00A30014"/>
    <w:rsid w:val="00A65BB6"/>
    <w:rsid w:val="00A80100"/>
    <w:rsid w:val="00A83A85"/>
    <w:rsid w:val="00AA2E29"/>
    <w:rsid w:val="00AA2E98"/>
    <w:rsid w:val="00AC1B08"/>
    <w:rsid w:val="00AC2F06"/>
    <w:rsid w:val="00AC5CB6"/>
    <w:rsid w:val="00AD6DF4"/>
    <w:rsid w:val="00AF0365"/>
    <w:rsid w:val="00AF0B2A"/>
    <w:rsid w:val="00AF1476"/>
    <w:rsid w:val="00AF2E1C"/>
    <w:rsid w:val="00AF7F20"/>
    <w:rsid w:val="00B3630D"/>
    <w:rsid w:val="00B45DBE"/>
    <w:rsid w:val="00B478DE"/>
    <w:rsid w:val="00B54B63"/>
    <w:rsid w:val="00B67077"/>
    <w:rsid w:val="00BC3D98"/>
    <w:rsid w:val="00BD130B"/>
    <w:rsid w:val="00BF4CCC"/>
    <w:rsid w:val="00C04F9B"/>
    <w:rsid w:val="00C07B63"/>
    <w:rsid w:val="00C102DC"/>
    <w:rsid w:val="00C223F9"/>
    <w:rsid w:val="00C25B9F"/>
    <w:rsid w:val="00C42AA5"/>
    <w:rsid w:val="00C45D99"/>
    <w:rsid w:val="00C463D7"/>
    <w:rsid w:val="00C505F5"/>
    <w:rsid w:val="00CB6C38"/>
    <w:rsid w:val="00CC02B3"/>
    <w:rsid w:val="00CC5FBA"/>
    <w:rsid w:val="00CD0ED4"/>
    <w:rsid w:val="00CD2963"/>
    <w:rsid w:val="00CD4AA4"/>
    <w:rsid w:val="00CD7304"/>
    <w:rsid w:val="00CE0338"/>
    <w:rsid w:val="00CE7018"/>
    <w:rsid w:val="00CF3F1D"/>
    <w:rsid w:val="00D23036"/>
    <w:rsid w:val="00D32E64"/>
    <w:rsid w:val="00D65AAD"/>
    <w:rsid w:val="00D748C9"/>
    <w:rsid w:val="00D777C6"/>
    <w:rsid w:val="00D827D8"/>
    <w:rsid w:val="00D86776"/>
    <w:rsid w:val="00D87E38"/>
    <w:rsid w:val="00D90F8B"/>
    <w:rsid w:val="00DB07A0"/>
    <w:rsid w:val="00DB0C15"/>
    <w:rsid w:val="00DB64AF"/>
    <w:rsid w:val="00DC77D8"/>
    <w:rsid w:val="00E055CC"/>
    <w:rsid w:val="00E133B4"/>
    <w:rsid w:val="00E27766"/>
    <w:rsid w:val="00E45DF0"/>
    <w:rsid w:val="00E6400B"/>
    <w:rsid w:val="00E73FCD"/>
    <w:rsid w:val="00E92AF6"/>
    <w:rsid w:val="00EB04FD"/>
    <w:rsid w:val="00EB771C"/>
    <w:rsid w:val="00EC6C87"/>
    <w:rsid w:val="00EE66F1"/>
    <w:rsid w:val="00EF3224"/>
    <w:rsid w:val="00F0515F"/>
    <w:rsid w:val="00F1401D"/>
    <w:rsid w:val="00F70835"/>
    <w:rsid w:val="00F70E95"/>
    <w:rsid w:val="00F80381"/>
    <w:rsid w:val="00F8125E"/>
    <w:rsid w:val="00F81660"/>
    <w:rsid w:val="00F93DE1"/>
    <w:rsid w:val="00FA169D"/>
    <w:rsid w:val="00FB7736"/>
    <w:rsid w:val="00FC4B0D"/>
    <w:rsid w:val="00FC788E"/>
    <w:rsid w:val="00FD4C58"/>
    <w:rsid w:val="00FD532B"/>
    <w:rsid w:val="00FE5FC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659BA"/>
  <w15:docId w15:val="{75085D74-80A3-453A-B241-CCA2A19C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paragraph" w:styleId="aff0">
    <w:name w:val="endnote text"/>
    <w:basedOn w:val="a"/>
    <w:link w:val="aff1"/>
    <w:uiPriority w:val="99"/>
    <w:semiHidden/>
    <w:unhideWhenUsed/>
    <w:rsid w:val="003C5591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3C5591"/>
    <w:rPr>
      <w:sz w:val="20"/>
      <w:szCs w:val="20"/>
    </w:rPr>
  </w:style>
  <w:style w:type="character" w:styleId="aff2">
    <w:name w:val="endnote reference"/>
    <w:basedOn w:val="a0"/>
    <w:uiPriority w:val="99"/>
    <w:semiHidden/>
    <w:unhideWhenUsed/>
    <w:rsid w:val="003C5591"/>
    <w:rPr>
      <w:vertAlign w:val="superscript"/>
    </w:rPr>
  </w:style>
  <w:style w:type="character" w:styleId="aff3">
    <w:name w:val="annotation reference"/>
    <w:basedOn w:val="a0"/>
    <w:uiPriority w:val="99"/>
    <w:semiHidden/>
    <w:unhideWhenUsed/>
    <w:rsid w:val="00140618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140618"/>
    <w:rPr>
      <w:sz w:val="20"/>
      <w:szCs w:val="20"/>
    </w:rPr>
  </w:style>
  <w:style w:type="character" w:customStyle="1" w:styleId="aff5">
    <w:name w:val="Текст примечания Знак"/>
    <w:basedOn w:val="a0"/>
    <w:link w:val="aff4"/>
    <w:uiPriority w:val="99"/>
    <w:semiHidden/>
    <w:rsid w:val="00140618"/>
    <w:rPr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140618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1406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6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4EB1C-F190-4D8A-B9C1-5FEA72A2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Александра </cp:lastModifiedBy>
  <cp:revision>3</cp:revision>
  <cp:lastPrinted>2018-07-18T10:27:00Z</cp:lastPrinted>
  <dcterms:created xsi:type="dcterms:W3CDTF">2018-12-13T13:45:00Z</dcterms:created>
  <dcterms:modified xsi:type="dcterms:W3CDTF">2020-09-11T17:07:00Z</dcterms:modified>
</cp:coreProperties>
</file>