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AA" w:rsidRPr="00361034" w:rsidRDefault="00CD4DAA" w:rsidP="00CD4DAA">
      <w:pPr>
        <w:jc w:val="center"/>
        <w:rPr>
          <w:b/>
          <w:sz w:val="16"/>
          <w:szCs w:val="16"/>
        </w:rPr>
      </w:pPr>
      <w:r w:rsidRPr="00361034">
        <w:rPr>
          <w:b/>
          <w:sz w:val="16"/>
          <w:szCs w:val="16"/>
        </w:rPr>
        <w:t xml:space="preserve">Логическая модель проекта «Сохраним семью для ребенка» </w:t>
      </w:r>
      <w:bookmarkStart w:id="0" w:name="_GoBack"/>
      <w:bookmarkEnd w:id="0"/>
    </w:p>
    <w:tbl>
      <w:tblPr>
        <w:tblStyle w:val="a3"/>
        <w:tblW w:w="5417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625"/>
        <w:gridCol w:w="2249"/>
        <w:gridCol w:w="1980"/>
        <w:gridCol w:w="1980"/>
        <w:gridCol w:w="1618"/>
        <w:gridCol w:w="1531"/>
        <w:gridCol w:w="1621"/>
        <w:gridCol w:w="1890"/>
        <w:gridCol w:w="1525"/>
      </w:tblGrid>
      <w:tr w:rsidR="00CD4DAA" w:rsidRPr="00CD4DAA" w:rsidTr="009B61CC">
        <w:trPr>
          <w:trHeight w:val="655"/>
        </w:trPr>
        <w:tc>
          <w:tcPr>
            <w:tcW w:w="507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>Благо-получатель</w:t>
            </w:r>
          </w:p>
        </w:tc>
        <w:tc>
          <w:tcPr>
            <w:tcW w:w="702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>Деятельность по программе</w:t>
            </w:r>
          </w:p>
        </w:tc>
        <w:tc>
          <w:tcPr>
            <w:tcW w:w="618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>Непосредственные результаты</w:t>
            </w:r>
          </w:p>
        </w:tc>
        <w:tc>
          <w:tcPr>
            <w:tcW w:w="618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 xml:space="preserve">Показатель </w:t>
            </w:r>
          </w:p>
        </w:tc>
        <w:tc>
          <w:tcPr>
            <w:tcW w:w="505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 xml:space="preserve">Краткосрочный </w:t>
            </w:r>
            <w:r w:rsidR="009B61CC" w:rsidRPr="00361034">
              <w:rPr>
                <w:rFonts w:ascii="Cambria" w:eastAsia="Calibri" w:hAnsi="Cambria" w:cs="Arial"/>
                <w:i/>
                <w:sz w:val="14"/>
                <w:szCs w:val="14"/>
              </w:rPr>
              <w:t>с</w:t>
            </w: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>оциальный результат</w:t>
            </w:r>
          </w:p>
        </w:tc>
        <w:tc>
          <w:tcPr>
            <w:tcW w:w="478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 xml:space="preserve">Показатель </w:t>
            </w:r>
          </w:p>
        </w:tc>
        <w:tc>
          <w:tcPr>
            <w:tcW w:w="506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 xml:space="preserve">Среднесрочный социальный результат </w:t>
            </w:r>
          </w:p>
        </w:tc>
        <w:tc>
          <w:tcPr>
            <w:tcW w:w="590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 xml:space="preserve">Показатель </w:t>
            </w:r>
          </w:p>
        </w:tc>
        <w:tc>
          <w:tcPr>
            <w:tcW w:w="476" w:type="pct"/>
          </w:tcPr>
          <w:p w:rsidR="00CD4DAA" w:rsidRPr="00CD4DAA" w:rsidRDefault="00CD4DAA" w:rsidP="009B61CC">
            <w:pPr>
              <w:ind w:left="-45"/>
              <w:jc w:val="center"/>
              <w:rPr>
                <w:rFonts w:ascii="Cambria" w:eastAsia="Calibri" w:hAnsi="Cambria" w:cs="Arial"/>
                <w:i/>
                <w:sz w:val="14"/>
                <w:szCs w:val="14"/>
              </w:rPr>
            </w:pPr>
            <w:r w:rsidRPr="00CD4DAA">
              <w:rPr>
                <w:rFonts w:ascii="Cambria" w:eastAsia="Calibri" w:hAnsi="Cambria" w:cs="Arial"/>
                <w:i/>
                <w:sz w:val="14"/>
                <w:szCs w:val="14"/>
              </w:rPr>
              <w:t xml:space="preserve">Долгосрочный </w:t>
            </w:r>
          </w:p>
        </w:tc>
      </w:tr>
      <w:tr w:rsidR="00361034" w:rsidRPr="00361034" w:rsidTr="009B61CC">
        <w:trPr>
          <w:trHeight w:val="655"/>
        </w:trPr>
        <w:tc>
          <w:tcPr>
            <w:tcW w:w="507" w:type="pct"/>
            <w:vMerge w:val="restart"/>
          </w:tcPr>
          <w:p w:rsidR="00361034" w:rsidRPr="00361034" w:rsidRDefault="00361034" w:rsidP="001A1805">
            <w:pPr>
              <w:ind w:left="0"/>
              <w:jc w:val="left"/>
              <w:rPr>
                <w:rFonts w:cs="Times New Roman"/>
                <w:b/>
                <w:sz w:val="14"/>
                <w:szCs w:val="14"/>
              </w:rPr>
            </w:pPr>
            <w:r w:rsidRPr="00361034">
              <w:rPr>
                <w:rFonts w:cs="Times New Roman"/>
                <w:b/>
                <w:sz w:val="14"/>
                <w:szCs w:val="14"/>
              </w:rPr>
              <w:t>Дети и подростки (кровные кризисные семьи)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jc w:val="left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Услуга «Семейный репетитор» (для детей младшего школьного возраста) 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Проведены индивидуальные занятия с учителем начальных классов  для детей младшего школьного возраста  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принявших участие в занятиях по услуге «Семейный репетитор»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индивидуальных занятий с детьми, испытывающими трудности в обучении в рамках услуги "Семейный репетитор"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5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  <w:r w:rsidRPr="00361034">
              <w:rPr>
                <w:rFonts w:eastAsia="Calibri" w:cs="Times New Roman"/>
                <w:sz w:val="14"/>
                <w:szCs w:val="14"/>
              </w:rPr>
              <w:t>Повышена мотивация к обучению у детей</w:t>
            </w:r>
          </w:p>
        </w:tc>
        <w:tc>
          <w:tcPr>
            <w:tcW w:w="47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у которых наблюдается повышение интереса к учебе, положительное отношение к школе</w:t>
            </w:r>
          </w:p>
        </w:tc>
        <w:tc>
          <w:tcPr>
            <w:tcW w:w="506" w:type="pct"/>
          </w:tcPr>
          <w:p w:rsidR="00361034" w:rsidRPr="00361034" w:rsidRDefault="00361034" w:rsidP="001A1805">
            <w:pPr>
              <w:ind w:left="0"/>
              <w:jc w:val="left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Улучшение успеваемости у детей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у которых улучшились показатели успеваемости</w:t>
            </w:r>
          </w:p>
        </w:tc>
        <w:tc>
          <w:tcPr>
            <w:tcW w:w="476" w:type="pct"/>
            <w:vMerge w:val="restar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  <w:p w:rsidR="00361034" w:rsidRPr="00361034" w:rsidRDefault="00361034" w:rsidP="00361034">
            <w:pPr>
              <w:ind w:left="0"/>
              <w:jc w:val="left"/>
              <w:rPr>
                <w:rFonts w:ascii="Times New Roman" w:eastAsia="Calibri" w:hAnsi="Times New Roman" w:cs="Times New Roman"/>
                <w:b/>
                <w:sz w:val="14"/>
                <w:szCs w:val="14"/>
              </w:rPr>
            </w:pPr>
            <w:r w:rsidRPr="00361034">
              <w:rPr>
                <w:rFonts w:ascii="Times New Roman" w:eastAsia="Calibri" w:hAnsi="Times New Roman" w:cs="Times New Roman"/>
                <w:b/>
                <w:sz w:val="14"/>
                <w:szCs w:val="14"/>
              </w:rPr>
              <w:t>Улучшение благополучия детей</w:t>
            </w:r>
          </w:p>
        </w:tc>
      </w:tr>
      <w:tr w:rsidR="00361034" w:rsidRPr="00361034" w:rsidTr="009B61CC">
        <w:trPr>
          <w:trHeight w:val="655"/>
        </w:trPr>
        <w:tc>
          <w:tcPr>
            <w:tcW w:w="507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jc w:val="left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Групповые тренинги для подростков с </w:t>
            </w:r>
            <w:proofErr w:type="spellStart"/>
            <w:r w:rsidRPr="00361034">
              <w:rPr>
                <w:rFonts w:cs="Times New Roman"/>
                <w:sz w:val="14"/>
                <w:szCs w:val="14"/>
              </w:rPr>
              <w:t>девиантным</w:t>
            </w:r>
            <w:proofErr w:type="spellEnd"/>
            <w:r w:rsidRPr="00361034">
              <w:rPr>
                <w:rFonts w:cs="Times New Roman"/>
                <w:sz w:val="14"/>
                <w:szCs w:val="14"/>
              </w:rPr>
              <w:t xml:space="preserve"> поведением и склонных к </w:t>
            </w:r>
            <w:proofErr w:type="spellStart"/>
            <w:r w:rsidRPr="00361034">
              <w:rPr>
                <w:rFonts w:cs="Times New Roman"/>
                <w:sz w:val="14"/>
                <w:szCs w:val="14"/>
              </w:rPr>
              <w:t>девиантному</w:t>
            </w:r>
            <w:proofErr w:type="spellEnd"/>
            <w:r w:rsidRPr="00361034">
              <w:rPr>
                <w:rFonts w:cs="Times New Roman"/>
                <w:sz w:val="14"/>
                <w:szCs w:val="14"/>
              </w:rPr>
              <w:t xml:space="preserve"> поведению 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Проведены  циклы тренингов из 18 занятий по программе «Я познаю себя!» для группы подростков, склонных к </w:t>
            </w:r>
            <w:proofErr w:type="spellStart"/>
            <w:r w:rsidRPr="00361034">
              <w:rPr>
                <w:rFonts w:cs="Times New Roman"/>
                <w:sz w:val="14"/>
                <w:szCs w:val="14"/>
              </w:rPr>
              <w:t>девиантному</w:t>
            </w:r>
            <w:proofErr w:type="spellEnd"/>
            <w:r w:rsidRPr="00361034">
              <w:rPr>
                <w:rFonts w:cs="Times New Roman"/>
                <w:sz w:val="14"/>
                <w:szCs w:val="14"/>
              </w:rPr>
              <w:t xml:space="preserve"> поведению</w:t>
            </w: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принявших участие в цикле занятий по программе «Я познаю себя!»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групповых занятий с подростками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5" w:type="pc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Снижение уровня конфликтности и тревожности у детей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у которых наблюдается снижение уровня конфликтности и тревожности</w:t>
            </w:r>
          </w:p>
        </w:tc>
        <w:tc>
          <w:tcPr>
            <w:tcW w:w="506" w:type="pc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Улучшение психического состояния детей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улучшивших свое психического состояния</w:t>
            </w: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361034" w:rsidTr="00361034">
        <w:trPr>
          <w:trHeight w:val="1445"/>
        </w:trPr>
        <w:tc>
          <w:tcPr>
            <w:tcW w:w="507" w:type="pct"/>
            <w:vMerge w:val="restart"/>
          </w:tcPr>
          <w:p w:rsidR="00361034" w:rsidRPr="00361034" w:rsidRDefault="00361034" w:rsidP="001A1805">
            <w:pPr>
              <w:ind w:left="0"/>
              <w:rPr>
                <w:b/>
                <w:sz w:val="14"/>
                <w:szCs w:val="14"/>
              </w:rPr>
            </w:pPr>
            <w:r w:rsidRPr="00361034">
              <w:rPr>
                <w:b/>
                <w:sz w:val="14"/>
                <w:szCs w:val="14"/>
              </w:rPr>
              <w:t>Родители (кровные кризисные семьи)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Групповые занятия в ПАПА-школе 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rFonts w:eastAsia="Calibri" w:cs="Times New Roman"/>
                <w:sz w:val="14"/>
                <w:szCs w:val="14"/>
              </w:rPr>
            </w:pPr>
            <w:r w:rsidRPr="00361034">
              <w:rPr>
                <w:rFonts w:eastAsia="Calibri" w:cs="Times New Roman"/>
                <w:sz w:val="14"/>
                <w:szCs w:val="14"/>
              </w:rPr>
              <w:t>Проведены занятия для отцов из сопровождаемых семей в Папа-школе</w:t>
            </w:r>
          </w:p>
        </w:tc>
        <w:tc>
          <w:tcPr>
            <w:tcW w:w="618" w:type="pct"/>
          </w:tcPr>
          <w:p w:rsid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отцов, принявших участие в занятиях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групповых занятий, проведенных в Папа-школе</w:t>
            </w:r>
          </w:p>
        </w:tc>
        <w:tc>
          <w:tcPr>
            <w:tcW w:w="505" w:type="pct"/>
            <w:vMerge w:val="restart"/>
          </w:tcPr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Повышен уровень родительских компетенций по воспитанию и развитию детей у родителей сопровождаемых семей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  <w:vMerge w:val="restart"/>
          </w:tcPr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родителей, у которых наблюдается улучшение родительских компетенций</w:t>
            </w:r>
          </w:p>
        </w:tc>
        <w:tc>
          <w:tcPr>
            <w:tcW w:w="506" w:type="pct"/>
            <w:vMerge w:val="restar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Улучшение детско-родительских взаимоотношений в семьях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  <w:vMerge w:val="restar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в которых улучшились детско-родительские отношения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детей, улучшивших детско-родительские отношения</w:t>
            </w: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361034" w:rsidTr="009B61CC">
        <w:trPr>
          <w:trHeight w:val="655"/>
        </w:trPr>
        <w:tc>
          <w:tcPr>
            <w:tcW w:w="507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Занятия в Школе молодых мам (для родителей детей до 2 лет) (цикл из 4 занятий)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Проведены циклы занятий в Школе молодой мамы для семей с детьми до  2 лет 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принявших участие в занятиях в Школе молодой мамы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групповых занятий в Школе молодой мамы</w:t>
            </w:r>
          </w:p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5" w:type="pct"/>
            <w:vMerge/>
          </w:tcPr>
          <w:p w:rsidR="00361034" w:rsidRPr="00361034" w:rsidRDefault="00361034" w:rsidP="001A1805">
            <w:pPr>
              <w:ind w:left="0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  <w:vMerge/>
          </w:tcPr>
          <w:p w:rsidR="00361034" w:rsidRPr="00361034" w:rsidRDefault="00361034" w:rsidP="001A1805">
            <w:pPr>
              <w:ind w:left="0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6" w:type="pct"/>
            <w:vMerge/>
          </w:tcPr>
          <w:p w:rsidR="00361034" w:rsidRPr="00361034" w:rsidRDefault="00361034" w:rsidP="001A1805">
            <w:pPr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361034" w:rsidTr="009B61CC">
        <w:trPr>
          <w:trHeight w:val="655"/>
        </w:trPr>
        <w:tc>
          <w:tcPr>
            <w:tcW w:w="507" w:type="pct"/>
            <w:vMerge w:val="restart"/>
          </w:tcPr>
          <w:p w:rsidR="00361034" w:rsidRPr="00361034" w:rsidRDefault="00361034" w:rsidP="001A1805">
            <w:pPr>
              <w:ind w:left="0"/>
              <w:rPr>
                <w:b/>
                <w:sz w:val="14"/>
                <w:szCs w:val="14"/>
              </w:rPr>
            </w:pPr>
            <w:r w:rsidRPr="00361034">
              <w:rPr>
                <w:b/>
                <w:sz w:val="14"/>
                <w:szCs w:val="14"/>
              </w:rPr>
              <w:t>Кровные кризисные семьи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>Детско-родительские занятия в арт-терапевтической студии (цикл из 10 занятий)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>Проведены циклы детско-родительских занятий в арт-терапевтической студии по программе «Остров общения»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принявших участие в занятиях в арт-терапевтической студии  по программе «Остров общения»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групповых детско-родительских занятий/циклов занятий по программе «Остров общения» в арт-терапевтической студии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5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361034" w:rsidTr="009B61CC">
        <w:trPr>
          <w:trHeight w:val="655"/>
        </w:trPr>
        <w:tc>
          <w:tcPr>
            <w:tcW w:w="507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>Детско-родительские занятия в Школе осознанного родительства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 xml:space="preserve">Проведены детско-родительские занятия в Школе осознанного родительства  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принявших участие в занятиях в Школе осознанного родительства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групповых детско-родительских занятий в Школе осознанного родительства</w:t>
            </w:r>
          </w:p>
        </w:tc>
        <w:tc>
          <w:tcPr>
            <w:tcW w:w="505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6" w:type="pct"/>
            <w:vMerge w:val="restar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  <w:r w:rsidRPr="00361034">
              <w:rPr>
                <w:rFonts w:eastAsia="Calibri" w:cs="Times New Roman"/>
                <w:sz w:val="14"/>
                <w:szCs w:val="14"/>
              </w:rPr>
              <w:t>В муниципалитете сокращено количество отобраний (изъятий) детей из кровных семей: дети воспитываются в кровных семьях, где в полной мере удовлетворяются их потребности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  <w:vMerge w:val="restart"/>
          </w:tcPr>
          <w:p w:rsid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предотвращенных случаев отобрания/отказов от детей из кризисных кровных семей</w:t>
            </w:r>
          </w:p>
          <w:p w:rsidR="0089687F" w:rsidRDefault="0089687F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89687F" w:rsidRPr="00361034" w:rsidRDefault="0089687F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CC5127">
              <w:rPr>
                <w:rFonts w:eastAsia="Calibri" w:cs="Times New Roman"/>
                <w:i/>
                <w:sz w:val="14"/>
                <w:szCs w:val="14"/>
              </w:rPr>
              <w:t>Количество отобраний/ отказов от детей из кризисных кровных семей</w:t>
            </w: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361034" w:rsidTr="009B61CC">
        <w:trPr>
          <w:trHeight w:val="655"/>
        </w:trPr>
        <w:tc>
          <w:tcPr>
            <w:tcW w:w="507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Психолого-педагогические консультации для семей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>Проведены индивидуальные психолого-педагогические консультации для членов сопровождаемых семей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благополучателей, получивших консультации специалистов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психолого-педагогических индивидуальных консультаций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5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590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361034" w:rsidTr="00361034">
        <w:trPr>
          <w:trHeight w:val="1020"/>
        </w:trPr>
        <w:tc>
          <w:tcPr>
            <w:tcW w:w="507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Организация мероприятий в семейном клубе: студия для женщин, праздники, творческие мастер-классы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>Проведены досуговые мероприятия в семейном клубе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принявших участие в мероприятиях семейного клуба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проведенных групповых досуговых мероприятий в рамках работы семейного клуба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</w:tc>
        <w:tc>
          <w:tcPr>
            <w:tcW w:w="505" w:type="pct"/>
            <w:vMerge w:val="restar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Повышен уровень поддержки кризисных кровных семей 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478" w:type="pct"/>
            <w:vMerge w:val="restar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у которых повысился уровень поддержки со стороны окружения (родственники, друзья, школы, детские сады, соседи и пр.)</w:t>
            </w:r>
          </w:p>
        </w:tc>
        <w:tc>
          <w:tcPr>
            <w:tcW w:w="506" w:type="pct"/>
            <w:vMerge w:val="restart"/>
          </w:tcPr>
          <w:p w:rsidR="00361034" w:rsidRPr="00361034" w:rsidRDefault="00361034" w:rsidP="001A1805">
            <w:pPr>
              <w:ind w:left="29"/>
              <w:rPr>
                <w:rFonts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 xml:space="preserve">Повышен спрос на профессиональные услуги со стороны семей целевой группы: </w:t>
            </w:r>
          </w:p>
          <w:p w:rsidR="00361034" w:rsidRPr="00361034" w:rsidRDefault="00361034" w:rsidP="001A1805">
            <w:pPr>
              <w:ind w:left="29"/>
              <w:rPr>
                <w:rFonts w:eastAsia="Calibri" w:cs="Times New Roman"/>
                <w:sz w:val="14"/>
                <w:szCs w:val="14"/>
              </w:rPr>
            </w:pPr>
            <w:r w:rsidRPr="00361034">
              <w:rPr>
                <w:rFonts w:cs="Times New Roman"/>
                <w:sz w:val="14"/>
                <w:szCs w:val="14"/>
              </w:rPr>
              <w:t>родители мотивированы на сотрудничество и преодоление кризисной ситуации совместно со специалистами, обращаются за помощью при необходимости</w:t>
            </w:r>
          </w:p>
        </w:tc>
        <w:tc>
          <w:tcPr>
            <w:tcW w:w="590" w:type="pct"/>
            <w:vMerge w:val="restar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запросов на услуги (в области профилактики сиротства) со стороны семей целевых групп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родителей, которые готовы обращаться за помощью к специалистам Центра после завершения сопровождения</w:t>
            </w:r>
          </w:p>
        </w:tc>
        <w:tc>
          <w:tcPr>
            <w:tcW w:w="476" w:type="pct"/>
            <w:vMerge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</w:tr>
      <w:tr w:rsidR="00361034" w:rsidRPr="00CD4DAA" w:rsidTr="009B61CC">
        <w:trPr>
          <w:trHeight w:val="655"/>
        </w:trPr>
        <w:tc>
          <w:tcPr>
            <w:tcW w:w="507" w:type="pct"/>
            <w:vMerge/>
          </w:tcPr>
          <w:p w:rsidR="00361034" w:rsidRPr="001A1805" w:rsidRDefault="00361034" w:rsidP="001A1805">
            <w:pPr>
              <w:ind w:left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702" w:type="pct"/>
          </w:tcPr>
          <w:p w:rsidR="00361034" w:rsidRPr="00361034" w:rsidRDefault="00361034" w:rsidP="001A1805">
            <w:pPr>
              <w:ind w:left="0"/>
              <w:jc w:val="center"/>
              <w:rPr>
                <w:rFonts w:cs="Times New Roman"/>
                <w:color w:val="000000" w:themeColor="text1"/>
                <w:sz w:val="14"/>
                <w:szCs w:val="14"/>
              </w:rPr>
            </w:pPr>
            <w:r w:rsidRPr="00361034">
              <w:rPr>
                <w:rFonts w:cs="Times New Roman"/>
                <w:color w:val="000000" w:themeColor="text1"/>
                <w:sz w:val="14"/>
                <w:szCs w:val="14"/>
              </w:rPr>
              <w:t>Индивидуально-реабилитационная работа по технологии работы со случаем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rPr>
                <w:sz w:val="14"/>
                <w:szCs w:val="14"/>
              </w:rPr>
            </w:pPr>
            <w:r w:rsidRPr="00361034">
              <w:rPr>
                <w:sz w:val="14"/>
                <w:szCs w:val="14"/>
              </w:rPr>
              <w:t>Кризисные кровные семьи сопровождаются в рамках технологии работы со случаем по согласованному индивидуальному плану реабилитации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sz w:val="14"/>
                <w:szCs w:val="14"/>
              </w:rPr>
            </w:pPr>
          </w:p>
        </w:tc>
        <w:tc>
          <w:tcPr>
            <w:tcW w:w="618" w:type="pct"/>
          </w:tcPr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сопровождаемых по технологии работы со случаем</w:t>
            </w: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</w:p>
          <w:p w:rsidR="00361034" w:rsidRPr="00361034" w:rsidRDefault="00361034" w:rsidP="001A1805">
            <w:pPr>
              <w:ind w:left="0"/>
              <w:jc w:val="left"/>
              <w:rPr>
                <w:rFonts w:eastAsia="Calibri" w:cs="Times New Roman"/>
                <w:i/>
                <w:sz w:val="14"/>
                <w:szCs w:val="14"/>
              </w:rPr>
            </w:pPr>
            <w:r w:rsidRPr="00361034">
              <w:rPr>
                <w:rFonts w:eastAsia="Calibri" w:cs="Times New Roman"/>
                <w:i/>
                <w:sz w:val="14"/>
                <w:szCs w:val="14"/>
              </w:rPr>
              <w:t>Количество семей, получивших поддержку в рамках проекта</w:t>
            </w:r>
          </w:p>
        </w:tc>
        <w:tc>
          <w:tcPr>
            <w:tcW w:w="505" w:type="pct"/>
            <w:vMerge/>
          </w:tcPr>
          <w:p w:rsidR="00361034" w:rsidRPr="001A1805" w:rsidRDefault="00361034" w:rsidP="001A1805">
            <w:pPr>
              <w:ind w:left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478" w:type="pct"/>
            <w:vMerge/>
          </w:tcPr>
          <w:p w:rsidR="00361034" w:rsidRPr="001A1805" w:rsidRDefault="00361034" w:rsidP="001A1805">
            <w:pPr>
              <w:ind w:left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506" w:type="pct"/>
            <w:vMerge/>
          </w:tcPr>
          <w:p w:rsidR="00361034" w:rsidRPr="001A1805" w:rsidRDefault="00361034" w:rsidP="001A1805">
            <w:pPr>
              <w:ind w:left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590" w:type="pct"/>
            <w:vMerge/>
          </w:tcPr>
          <w:p w:rsidR="00361034" w:rsidRPr="001A1805" w:rsidRDefault="00361034" w:rsidP="001A1805">
            <w:pPr>
              <w:ind w:left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361034" w:rsidRPr="001A1805" w:rsidRDefault="00361034" w:rsidP="001A1805">
            <w:pPr>
              <w:ind w:left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</w:tbl>
    <w:p w:rsidR="00CD4DAA" w:rsidRDefault="00CD4DAA" w:rsidP="00CD4DAA">
      <w:pPr>
        <w:jc w:val="center"/>
      </w:pPr>
    </w:p>
    <w:p w:rsidR="00CD4DAA" w:rsidRDefault="00CD4DAA"/>
    <w:sectPr w:rsidR="00CD4DAA" w:rsidSect="0036103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AA"/>
    <w:rsid w:val="000E37B3"/>
    <w:rsid w:val="00136569"/>
    <w:rsid w:val="001A1805"/>
    <w:rsid w:val="002F0CA8"/>
    <w:rsid w:val="00361034"/>
    <w:rsid w:val="004C5E8A"/>
    <w:rsid w:val="005F7F17"/>
    <w:rsid w:val="006761DC"/>
    <w:rsid w:val="007452F0"/>
    <w:rsid w:val="008524F6"/>
    <w:rsid w:val="0089687F"/>
    <w:rsid w:val="009B61CC"/>
    <w:rsid w:val="00AF7B0A"/>
    <w:rsid w:val="00CC5127"/>
    <w:rsid w:val="00CD4DAA"/>
    <w:rsid w:val="00DD22E3"/>
    <w:rsid w:val="00EF53AC"/>
    <w:rsid w:val="00F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13AEEB-FB04-44AE-924C-C8F047DC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cq-messagetextblock">
    <w:name w:val="icq-message__textblock"/>
    <w:basedOn w:val="a0"/>
    <w:rsid w:val="00CD4DAA"/>
  </w:style>
  <w:style w:type="table" w:styleId="a3">
    <w:name w:val="Table Grid"/>
    <w:basedOn w:val="a1"/>
    <w:uiPriority w:val="59"/>
    <w:rsid w:val="00CD4DAA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Александра </cp:lastModifiedBy>
  <cp:revision>3</cp:revision>
  <dcterms:created xsi:type="dcterms:W3CDTF">2018-12-13T14:01:00Z</dcterms:created>
  <dcterms:modified xsi:type="dcterms:W3CDTF">2020-05-08T13:13:00Z</dcterms:modified>
</cp:coreProperties>
</file>